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Aptos Display" w:hAnsi="Aptos Display"/>
          <w:b/>
          <w:color w:val="174A5B"/>
          <w:sz w:val="46"/>
        </w:rPr>
        <w:t>ToS CORPUS &amp; RIGHTS REGISTRY</w:t>
      </w:r>
    </w:p>
    <w:p>
      <w:pPr>
        <w:spacing w:before="200" w:after="80"/>
        <w:jc w:val="center"/>
      </w:pPr>
      <w:r>
        <w:rPr>
          <w:rFonts w:ascii="Aptos Display" w:hAnsi="Aptos Display"/>
          <w:b/>
          <w:color w:val="6B3A2A"/>
          <w:sz w:val="68"/>
        </w:rPr>
        <w:t>A11</w:t>
      </w:r>
    </w:p>
    <w:p>
      <w:pPr>
        <w:spacing w:after="320"/>
        <w:jc w:val="center"/>
      </w:pPr>
      <w:r>
        <w:rPr>
          <w:rFonts w:ascii="Aptos Display" w:hAnsi="Aptos Display"/>
          <w:b/>
          <w:color w:val="1F2937"/>
          <w:sz w:val="36"/>
        </w:rPr>
        <w:t>Западная Азия - Угарит и ранний</w:t>
        <w:br/>
        <w:t>северо-западносемитский алфавитный мир</w:t>
      </w:r>
    </w:p>
    <w:p>
      <w:pPr>
        <w:jc w:val="center"/>
      </w:pPr>
      <w:r>
        <w:rPr>
          <w:i/>
          <w:color w:val="2C6779"/>
          <w:sz w:val="24"/>
        </w:rPr>
        <w:t>Исследовательский отчёт о корпусе, доступе и правах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space="0" w:color="FFFFFF"/>
          <w:left w:val="single" w:sz="10" w:space="0" w:color="FFFFFF"/>
          <w:bottom w:val="single" w:sz="10" w:space="0" w:color="FFFFFF"/>
          <w:right w:val="single" w:sz="10" w:space="0" w:color="FFFFFF"/>
          <w:insideH w:val="single" w:sz="10" w:space="0" w:color="FFFFFF"/>
          <w:insideV w:val="single" w:sz="10" w:space="0" w:color="FFFFFF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324"/>
            <w:shd w:fill="DDEBF7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74A5B"/>
                <w:sz w:val="38"/>
              </w:rPr>
              <w:t>89</w:t>
              <w:br/>
            </w:r>
            <w:r>
              <w:rPr>
                <w:color w:val="1F2937"/>
                <w:sz w:val="17"/>
              </w:rPr>
              <w:t>проверенных способов доступа</w:t>
            </w:r>
          </w:p>
        </w:tc>
        <w:tc>
          <w:tcPr>
            <w:tcW w:type="dxa" w:w="2324"/>
            <w:shd w:fill="FFF2CC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74A5B"/>
                <w:sz w:val="38"/>
              </w:rPr>
              <w:t>15</w:t>
              <w:br/>
            </w:r>
            <w:r>
              <w:rPr>
                <w:color w:val="1F2937"/>
                <w:sz w:val="17"/>
              </w:rPr>
              <w:t>зафиксированных пробелов</w:t>
            </w:r>
          </w:p>
        </w:tc>
        <w:tc>
          <w:tcPr>
            <w:tcW w:type="dxa" w:w="2324"/>
            <w:shd w:fill="E2F0D9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74A5B"/>
                <w:sz w:val="38"/>
              </w:rPr>
              <w:t>63</w:t>
              <w:br/>
            </w:r>
            <w:r>
              <w:rPr>
                <w:color w:val="1F2937"/>
                <w:sz w:val="17"/>
              </w:rPr>
              <w:t>записи с высокой уверенностью по правам</w:t>
            </w:r>
          </w:p>
        </w:tc>
        <w:tc>
          <w:tcPr>
            <w:tcW w:type="dxa" w:w="2324"/>
            <w:shd w:fill="F5EAE6"/>
            <w:tcMar>
              <w:top w:w="130" w:type="dxa"/>
              <w:start w:w="90" w:type="dxa"/>
              <w:bottom w:w="13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174A5B"/>
                <w:sz w:val="38"/>
              </w:rPr>
              <w:t>69</w:t>
              <w:br/>
            </w:r>
            <w:r>
              <w:rPr>
                <w:color w:val="1F2937"/>
                <w:sz w:val="17"/>
              </w:rPr>
              <w:t>записей с полным бесплатным чтением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" w:space="0" w:color="EAF3F5"/>
          <w:left w:val="single" w:sz="1" w:space="0" w:color="EAF3F5"/>
          <w:bottom w:val="single" w:sz="1" w:space="0" w:color="EAF3F5"/>
          <w:right w:val="single" w:sz="1" w:space="0" w:color="EAF3F5"/>
          <w:insideH w:val="single" w:sz="1" w:space="0" w:color="EAF3F5"/>
          <w:insideV w:val="single" w:sz="1" w:space="0" w:color="EAF3F5"/>
        </w:tblBorders>
      </w:tblPr>
      <w:tblGrid>
        <w:gridCol w:w="9866"/>
      </w:tblGrid>
      <w:tr>
        <w:tc>
          <w:tcPr>
            <w:tcW w:type="dxa" w:w="9866"/>
            <w:shd w:fill="EAF3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4A5B"/>
              </w:rPr>
              <w:t>Исходная рамка</w:t>
            </w:r>
            <w:r>
              <w:br/>
              <w:t>ID и статус мастер-строки сохранены без изменений: A11, статус B, исходная уверенность 4. Формальное ядро строки - около 1400-200 гг. до н.э.; исследовательский ореол расширен назад к раннеалфавитным предшественникам и вперёд к греко-латинским каналам сохранения Punic.</w:t>
            </w:r>
          </w:p>
        </w:tc>
      </w:tr>
    </w:tbl>
    <w:p>
      <w:pPr>
        <w:spacing w:before="240"/>
        <w:jc w:val="center"/>
      </w:pPr>
      <w:r>
        <w:rPr>
          <w:color w:val="4B5563"/>
          <w:sz w:val="19"/>
        </w:rPr>
        <w:t>Проверено: 3 сентября 2026 года</w:t>
      </w:r>
    </w:p>
    <w:p>
      <w:pPr>
        <w:jc w:val="center"/>
      </w:pPr>
      <w:r>
        <w:rPr>
          <w:color w:val="4B5563"/>
          <w:sz w:val="17"/>
        </w:rPr>
        <w:t>Исходный документ: ToS Deep Research_ A11 - Западная Азия - Угарит и ранний северо-западносемитский алфавитный мир (1).docx</w:t>
      </w:r>
    </w:p>
    <w:p>
      <w:pPr>
        <w:spacing w:before="280"/>
      </w:pPr>
      <w:r>
        <w:rPr>
          <w:b/>
          <w:color w:val="174A5B"/>
          <w:sz w:val="24"/>
        </w:rPr>
        <w:t>Содержание</w:t>
      </w:r>
    </w:p>
    <w:p>
      <w:pPr>
        <w:pStyle w:val="BodyText"/>
        <w:spacing w:after="20"/>
        <w:ind w:left="397"/>
      </w:pPr>
      <w:r>
        <w:rPr>
          <w:sz w:val="18"/>
        </w:rPr>
        <w:t>1. Паспорт</w:t>
      </w:r>
    </w:p>
    <w:p>
      <w:pPr>
        <w:pStyle w:val="BodyText"/>
        <w:spacing w:after="20"/>
        <w:ind w:left="397"/>
      </w:pPr>
      <w:r>
        <w:rPr>
          <w:sz w:val="18"/>
        </w:rPr>
        <w:t>2. Охват корпуса</w:t>
      </w:r>
    </w:p>
    <w:p>
      <w:pPr>
        <w:pStyle w:val="BodyText"/>
        <w:spacing w:after="20"/>
        <w:ind w:left="397"/>
      </w:pPr>
      <w:r>
        <w:rPr>
          <w:sz w:val="18"/>
        </w:rPr>
        <w:t>3. Лучшие пути доступа</w:t>
      </w:r>
    </w:p>
    <w:p>
      <w:pPr>
        <w:pStyle w:val="BodyText"/>
        <w:spacing w:after="20"/>
        <w:ind w:left="397"/>
      </w:pPr>
      <w:r>
        <w:rPr>
          <w:sz w:val="18"/>
        </w:rPr>
        <w:t>4. Карта прав и практического использования</w:t>
      </w:r>
    </w:p>
    <w:p>
      <w:pPr>
        <w:pStyle w:val="BodyText"/>
        <w:spacing w:after="20"/>
        <w:ind w:left="397"/>
      </w:pPr>
      <w:r>
        <w:rPr>
          <w:sz w:val="18"/>
        </w:rPr>
        <w:t>5. Характерные правовые тонкости</w:t>
      </w:r>
    </w:p>
    <w:p>
      <w:pPr>
        <w:pStyle w:val="BodyText"/>
        <w:spacing w:after="20"/>
        <w:ind w:left="397"/>
      </w:pPr>
      <w:r>
        <w:rPr>
          <w:sz w:val="18"/>
        </w:rPr>
        <w:t>6. Пробелы и дальнейший поиск</w:t>
      </w:r>
    </w:p>
    <w:p>
      <w:pPr>
        <w:pStyle w:val="BodyText"/>
        <w:spacing w:after="20"/>
        <w:ind w:left="397"/>
      </w:pPr>
      <w:r>
        <w:rPr>
          <w:sz w:val="18"/>
        </w:rPr>
        <w:t>7. Итоговая оценка</w:t>
      </w:r>
    </w:p>
    <w:p>
      <w:r>
        <w:br w:type="page"/>
      </w:r>
    </w:p>
    <w:p>
      <w:pPr>
        <w:pStyle w:val="Heading1"/>
        <w:keepNext/>
      </w:pPr>
      <w: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9"/>
          <w:left w:val="single" w:sz="4" w:space="0" w:color="C7D2D9"/>
          <w:bottom w:val="single" w:sz="4" w:space="0" w:color="C7D2D9"/>
          <w:right w:val="single" w:sz="4" w:space="0" w:color="C7D2D9"/>
          <w:insideH w:val="single" w:sz="4" w:space="0" w:color="C7D2D9"/>
          <w:insideV w:val="single" w:sz="4" w:space="0" w:color="C7D2D9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2721"/>
            <w:shd w:fill="EAF3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ID и название</w:t>
            </w:r>
          </w:p>
        </w:tc>
        <w:tc>
          <w:tcPr>
            <w:tcW w:type="dxa" w:w="623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A11 - Западная Азия - Угарит и ранний северо-западносемитский алфавитный мир</w:t>
            </w:r>
          </w:p>
        </w:tc>
      </w:tr>
      <w:tr>
        <w:trPr>
          <w:cantSplit/>
        </w:trPr>
        <w:tc>
          <w:tcPr>
            <w:tcW w:type="dxa" w:w="2721"/>
            <w:shd w:fill="F6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Исходный статус</w:t>
            </w:r>
          </w:p>
        </w:tc>
        <w:tc>
          <w:tcPr>
            <w:tcW w:type="dxa" w:w="6237"/>
            <w:shd w:fill="FAFAFA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B; исходная уверенность 4. Статус не изменялся.</w:t>
            </w:r>
          </w:p>
        </w:tc>
      </w:tr>
      <w:tr>
        <w:trPr>
          <w:cantSplit/>
        </w:trPr>
        <w:tc>
          <w:tcPr>
            <w:tcW w:type="dxa" w:w="2721"/>
            <w:shd w:fill="EAF3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Историческое ядро</w:t>
            </w:r>
          </w:p>
        </w:tc>
        <w:tc>
          <w:tcPr>
            <w:tcW w:type="dxa" w:w="623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Формально около 1400-200 гг. до н.э.; угаритское ядро XIV-XII вв. до н.э.; финикийско-пуническая эпиграфика главным образом X/IX-II вв. до н.э.</w:t>
            </w:r>
          </w:p>
        </w:tc>
      </w:tr>
      <w:tr>
        <w:trPr>
          <w:cantSplit/>
        </w:trPr>
        <w:tc>
          <w:tcPr>
            <w:tcW w:type="dxa" w:w="2721"/>
            <w:shd w:fill="F6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Открытый контур</w:t>
            </w:r>
          </w:p>
        </w:tc>
        <w:tc>
          <w:tcPr>
            <w:tcW w:type="dxa" w:w="6237"/>
            <w:shd w:fill="FAFAFA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Раннеалфавитные предшественники II тыс. до н.э.; поздние Neo-Punic, Latino-Punic и греко-латинские каналы сохранения до поздней античности.</w:t>
            </w:r>
          </w:p>
        </w:tc>
      </w:tr>
      <w:tr>
        <w:trPr>
          <w:cantSplit/>
        </w:trPr>
        <w:tc>
          <w:tcPr>
            <w:tcW w:type="dxa" w:w="2721"/>
            <w:shd w:fill="EAF3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Исходный DR</w:t>
            </w:r>
          </w:p>
        </w:tc>
        <w:tc>
          <w:tcPr>
            <w:tcW w:type="dxa" w:w="623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ToS Deep Research_ A11 - Западная Азия - Угарит и ранний северо-западносемитский алфавитный мир (1).docx</w:t>
            </w:r>
          </w:p>
        </w:tc>
      </w:tr>
      <w:tr>
        <w:trPr>
          <w:cantSplit/>
        </w:trPr>
        <w:tc>
          <w:tcPr>
            <w:tcW w:type="dxa" w:w="2721"/>
            <w:shd w:fill="F6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Дата проверки</w:t>
            </w:r>
          </w:p>
        </w:tc>
        <w:tc>
          <w:tcPr>
            <w:tcW w:type="dxa" w:w="6237"/>
            <w:shd w:fill="FAFAFA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2026-09-03</w:t>
            </w:r>
          </w:p>
        </w:tc>
      </w:tr>
      <w:tr>
        <w:trPr>
          <w:cantSplit/>
        </w:trPr>
        <w:tc>
          <w:tcPr>
            <w:tcW w:type="dxa" w:w="2721"/>
            <w:shd w:fill="EAF3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Языки поиска</w:t>
            </w:r>
          </w:p>
        </w:tc>
        <w:tc>
          <w:tcPr>
            <w:tcW w:type="dxa" w:w="623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Русский, английский, немецкий, французский, итальянский; названия и идентификаторы на угаритском, финикийском, пуническом, греческом и латинском.</w:t>
            </w:r>
          </w:p>
        </w:tc>
      </w:tr>
      <w:tr>
        <w:trPr>
          <w:cantSplit/>
        </w:trPr>
        <w:tc>
          <w:tcPr>
            <w:tcW w:type="dxa" w:w="2721"/>
            <w:shd w:fill="F6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Ядро корпуса</w:t>
            </w:r>
          </w:p>
        </w:tc>
        <w:tc>
          <w:tcPr>
            <w:tcW w:type="dxa" w:w="6237"/>
            <w:shd w:fill="FAFAFA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Угаритская поэзия, ритуал, лексикография и архив; финикийско-пуническая царская, посвятительная, нормативная, погребальная и билингвальная эпиграфика; поздние тексты сохранения.</w:t>
            </w:r>
          </w:p>
        </w:tc>
      </w:tr>
      <w:tr>
        <w:trPr>
          <w:cantSplit/>
        </w:trPr>
        <w:tc>
          <w:tcPr>
            <w:tcW w:type="dxa" w:w="2721"/>
            <w:shd w:fill="EAF3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Типы объектов</w:t>
            </w:r>
          </w:p>
        </w:tc>
        <w:tc>
          <w:tcPr>
            <w:tcW w:type="dxa" w:w="623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Произведения, корпуса, конкретные таблички и надписи, переводы и издания, цифровые тексты/факсимиле, datasets/API, каталоги и ограниченная вторичная навигация.</w:t>
            </w:r>
          </w:p>
        </w:tc>
      </w:tr>
    </w:tbl>
    <w:p>
      <w:pPr>
        <w:pStyle w:val="Heading2"/>
        <w:keepNext/>
      </w:pPr>
      <w:r>
        <w:t>Метод проверки</w:t>
      </w:r>
    </w:p>
    <w:p>
      <w:pPr>
        <w:pStyle w:val="BodyText"/>
      </w:pPr>
      <w:r>
        <w:t>Исследование началось с инвентаризации произведений, корпусов, свидетелей и цифровых проектов, названных в исходном DR. Затем проведены отдельные проходы по официальным академическим проектам, издательствам, библиотекам, музейным каталогам, репозиториям открытых данных и публичнодоменным историческим изданиям. Для каждого способа доступа отдельно оценивались полнота, способ чтения/скачивания, права на древнее произведение, права на конкретную редакцию или перевод, права на цифровой объект и условия платформы.</w:t>
      </w:r>
    </w:p>
    <w:p>
      <w:pPr>
        <w:pStyle w:val="BodyText"/>
      </w:pPr>
      <w:r>
        <w:t>Проверка прав строилась по принципу «сильное действие требует сильного доказательства». Теги зеркалирования, индексации, embeddings и собственного перевода назначались только в пределах указанного rights_scope и coverage. Общий доступ на сайте не переносился автоматически на изображения, комментарии, научный аппарат или материалы третьих лиц.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" w:space="0" w:color="EAF3F5"/>
          <w:left w:val="single" w:sz="1" w:space="0" w:color="EAF3F5"/>
          <w:bottom w:val="single" w:sz="1" w:space="0" w:color="EAF3F5"/>
          <w:right w:val="single" w:sz="1" w:space="0" w:color="EAF3F5"/>
          <w:insideH w:val="single" w:sz="1" w:space="0" w:color="EAF3F5"/>
          <w:insideV w:val="single" w:sz="1" w:space="0" w:color="EAF3F5"/>
        </w:tblBorders>
      </w:tblPr>
      <w:tblGrid>
        <w:gridCol w:w="9866"/>
      </w:tblGrid>
      <w:tr>
        <w:tc>
          <w:tcPr>
            <w:tcW w:type="dxa" w:w="9866"/>
            <w:shd w:fill="EAF3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4A5B"/>
              </w:rPr>
              <w:t>Проверяемость</w:t>
            </w:r>
            <w:r>
              <w:br/>
              <w:t>Каждая строка XLSX содержит landing_url, при наличии direct_download_url, отдельный rights_evidence_url, дату проверки, статус верификации и уровень уверенности. Отчёт ниже суммирует реестр, но не заменяет построчную проверку.</w:t>
            </w:r>
          </w:p>
        </w:tc>
      </w:tr>
    </w:tbl>
    <w:p>
      <w:pPr>
        <w:pStyle w:val="Heading1"/>
        <w:keepNext/>
      </w:pPr>
      <w:r>
        <w:t>2. Охват корпуса</w:t>
      </w:r>
    </w:p>
    <w:p>
      <w:pPr>
        <w:pStyle w:val="Heading2"/>
        <w:keepNext/>
      </w:pPr>
      <w:r>
        <w:t>2.1. Ядро, извлечённое из исходного DR</w:t>
      </w:r>
    </w:p>
    <w:p>
      <w:pPr>
        <w:pStyle w:val="BodyText"/>
      </w:pPr>
      <w:r>
        <w:t>Исходный DR задаёт две несливаемые сцены. Первая - позднебронзовый Угарит как многоязычная дворцово-храмовая и писцовая экосистема, где алфавитная клинопись обслуживает поэзию, ритуал, лексикографию, письмо, хозяйство и практическое знание. Вторая - финикийско-пунический алфавитный мир, сохранившийся прежде всего в распределённой эпиграфике: царской, погребальной, посвятительной, тарифной, билингвальной и трилингвальной.</w:t>
      </w:r>
    </w:p>
    <w:p>
      <w:pPr>
        <w:pStyle w:val="ListBullet"/>
      </w:pPr>
      <w:r>
        <w:t>Угаритский поэтический корпус: Бааловый цикл (KTU 1.1-1.6), Кирта (KTU 1.14-1.16), Акхат (KTU 1.17-1.19), Рапиʾума (KTU 1.20-1.22).</w:t>
      </w:r>
    </w:p>
    <w:p>
      <w:pPr>
        <w:pStyle w:val="ListBullet"/>
      </w:pPr>
      <w:r>
        <w:t>Угаритские ритуальные тексты, включая большой массив жертвенных и календарных предписаний.</w:t>
      </w:r>
    </w:p>
    <w:p>
      <w:pPr>
        <w:pStyle w:val="ListBullet"/>
      </w:pPr>
      <w:r>
        <w:t>Лексические и билингвальные списки, письма, договоры, административно-хозяйственные и медицинские/hippiatric тексты.</w:t>
      </w:r>
    </w:p>
    <w:p>
      <w:pPr>
        <w:pStyle w:val="ListBullet"/>
      </w:pPr>
      <w:r>
        <w:t>Ранние и классические финикийские якоря: саркофаг Ахирама (KAI 1), библские царские надписи, саркофаг Эшмуназара II (KAI 14), стела Йехавмилка.</w:t>
      </w:r>
    </w:p>
    <w:p>
      <w:pPr>
        <w:pStyle w:val="ListBullet"/>
      </w:pPr>
      <w:r>
        <w:t>Билингвы и трансмиссионные объекты: Идалийская билингва (KAI 38), Пиргийские таблички (KAI 277), Мальтийские циппусы, Квинт Марций.</w:t>
      </w:r>
    </w:p>
    <w:p>
      <w:pPr>
        <w:pStyle w:val="ListBullet"/>
      </w:pPr>
      <w:r>
        <w:t>Пуническая нормативность и позднее выживание: Марсельский тариф (KAI 69), посвятительные и погребальные надписи, Neo-Punic и Latino-Punic.</w:t>
      </w:r>
    </w:p>
    <w:p>
      <w:pPr>
        <w:pStyle w:val="Heading2"/>
        <w:keepNext/>
      </w:pPr>
      <w:r>
        <w:t>2.2. Что добавил веб-поиск</w:t>
      </w:r>
    </w:p>
    <w:p>
      <w:pPr>
        <w:pStyle w:val="BodyText"/>
      </w:pPr>
      <w:r>
        <w:t>Веб-поиск расширил карту не общей историей Финикии, а конкретными способами доступа. Для Угарита найдены EUPT, RSTI, CDLI, открытые PDF отдельных транскрипций, официальный полный доступ к двум фасцикулам Ras Shamra-Ougarit XII, библиотечная выдача KTU2 и современные научные издания. Для финикийско-пунической эпиграфики добавлены публичнодоменные CIS, Gesenius, Lidzbarski, Cooke, Renan и Répertoire d’épigraphie sémitique, а также item-level записи I.Sicily, IRT и музейные карточки.</w:t>
      </w:r>
    </w:p>
    <w:p>
      <w:pPr>
        <w:pStyle w:val="BodyText"/>
      </w:pPr>
      <w:r>
        <w:t>Особенно важным стало восстановление поздней линии сохранения: Sanchuniathon/Philo of Byblos через Eusebius, Перипл Ганнона, Punic в Plautus, тирские записи через Josephus/Menander, свидетельство Augustine о пунических книгах и языке, а также свидетельство Varro о двадцативосьми книгах Магона.</w:t>
      </w:r>
    </w:p>
    <w:p>
      <w:pPr>
        <w:pStyle w:val="Heading2"/>
        <w:keepNext/>
      </w:pPr>
      <w:r>
        <w:t>2.3. Хронологический ореол: поиск назад</w:t>
      </w:r>
    </w:p>
    <w:p>
      <w:pPr>
        <w:pStyle w:val="BodyText"/>
      </w:pPr>
      <w:r>
        <w:t>В качестве antecedent включены не любые более ранние ближневосточные тексты, а только объекты, конкретно связанные с формированием раннеалфавитного письма: археологические публикации по Серабит эль-Хадим, статья Gardiner 1916 о семитском алфавите, корпус табличек и плит Sinai I, а также современная публикация Wadi el-Hol.</w:t>
      </w:r>
    </w:p>
    <w:p>
      <w:pPr>
        <w:pStyle w:val="BodyText"/>
      </w:pPr>
      <w:r>
        <w:t>Их роль ограничена: они показывают региональный графический эксперимент и раннюю алфавитизацию до Угарита, но не доказывают простую прямую генеалогию каждого угаритского или финикийского знака. Сиро-месопотамская писцовая и лексикографическая koine остаётся важным входящим контекстом, однако в реестре не разрастается в самостоятельную общую историю Месопотамии.</w:t>
      </w:r>
    </w:p>
    <w:p>
      <w:pPr>
        <w:pStyle w:val="Heading2"/>
        <w:keepNext/>
      </w:pPr>
      <w:r>
        <w:t>2.4. Хронологический ореол: поиск вперёд</w:t>
      </w:r>
    </w:p>
    <w:p>
      <w:pPr>
        <w:pStyle w:val="BodyText"/>
      </w:pPr>
      <w:r>
        <w:t>Поздние continuation-записи представлены прежде всего Neo-Punic и многоязычными надписями римской Триполитании (IRT 229, 318, 319, 321, 322, 338, 654). Они документируют не просто «эхо» Карфагена, а конкретное письменное выживание Punic в римской гражданской, посвятительной и погребальной среде.</w:t>
      </w:r>
    </w:p>
    <w:p>
      <w:pPr>
        <w:pStyle w:val="BodyText"/>
      </w:pPr>
      <w:r>
        <w:t>Каналы transmission_or_preservation включены потому, что через них сохранились сведения об утраченном книжном мире: Eusebius сохраняет греческую переработку финикийской теогонии; Hanno - греческое продолжение/перевод пунического документа; Plautus - латинографический Punic; Josephus - выдержки из тирских записей; Augustine - позднее свидетельство о живом языке и пунических книгах; Varro - сведения о Mago и его греческих эпитомах.</w:t>
      </w:r>
    </w:p>
    <w:p>
      <w:pPr>
        <w:pStyle w:val="Heading2"/>
        <w:keepNext/>
      </w:pPr>
      <w:r>
        <w:t>2.5. Количественный итог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9"/>
          <w:left w:val="single" w:sz="4" w:space="0" w:color="C7D2D9"/>
          <w:bottom w:val="single" w:sz="4" w:space="0" w:color="C7D2D9"/>
          <w:right w:val="single" w:sz="4" w:space="0" w:color="C7D2D9"/>
          <w:insideH w:val="single" w:sz="4" w:space="0" w:color="C7D2D9"/>
          <w:insideV w:val="single" w:sz="4" w:space="0" w:color="C7D2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005"/>
            <w:shd w:fill="174A5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360"/>
            <w:shd w:fill="174A5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Число записей</w:t>
            </w:r>
          </w:p>
        </w:tc>
        <w:tc>
          <w:tcPr>
            <w:tcW w:type="dxa" w:w="4592"/>
            <w:shd w:fill="174A5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Все способы доступа</w:t>
            </w:r>
          </w:p>
        </w:tc>
        <w:tc>
          <w:tcPr>
            <w:tcW w:type="dxa" w:w="1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89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Одна строка = практически отличимый путь доступа.</w:t>
            </w:r>
          </w:p>
        </w:tc>
      </w:tr>
      <w:tr>
        <w:trPr>
          <w:cantSplit/>
        </w:trPr>
        <w:tc>
          <w:tcPr>
            <w:tcW w:type="dxa" w:w="3005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core</w:t>
            </w:r>
          </w:p>
        </w:tc>
        <w:tc>
          <w:tcPr>
            <w:tcW w:type="dxa" w:w="1360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31</w:t>
            </w:r>
          </w:p>
        </w:tc>
        <w:tc>
          <w:tcPr>
            <w:tcW w:type="dxa" w:w="4592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Центральные тексты, корпуса, свидетели и издания.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same_corpus_or_tradition</w:t>
            </w:r>
          </w:p>
        </w:tc>
        <w:tc>
          <w:tcPr>
            <w:tcW w:type="dxa" w:w="1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Прямые члены той же текстовой/эпиграфической семьи.</w:t>
            </w:r>
          </w:p>
        </w:tc>
      </w:tr>
      <w:tr>
        <w:trPr>
          <w:cantSplit/>
        </w:trPr>
        <w:tc>
          <w:tcPr>
            <w:tcW w:type="dxa" w:w="3005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antecedent</w:t>
            </w:r>
          </w:p>
        </w:tc>
        <w:tc>
          <w:tcPr>
            <w:tcW w:type="dxa" w:w="1360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4592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Раннеалфавитные предшественники.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continuation</w:t>
            </w:r>
          </w:p>
        </w:tc>
        <w:tc>
          <w:tcPr>
            <w:tcW w:type="dxa" w:w="1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Neo-Punic и поздние эпиграфические продолжения.</w:t>
            </w:r>
          </w:p>
        </w:tc>
      </w:tr>
      <w:tr>
        <w:trPr>
          <w:cantSplit/>
        </w:trPr>
        <w:tc>
          <w:tcPr>
            <w:tcW w:type="dxa" w:w="3005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transmission_or_preservation</w:t>
            </w:r>
          </w:p>
        </w:tc>
        <w:tc>
          <w:tcPr>
            <w:tcW w:type="dxa" w:w="1360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4592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Поздние переводы, testimonia и тексты сохранения.</w:t>
            </w:r>
          </w:p>
        </w:tc>
      </w:tr>
      <w:tr>
        <w:trPr>
          <w:cantSplit/>
        </w:trPr>
        <w:tc>
          <w:tcPr>
            <w:tcW w:type="dxa" w:w="30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supporting + infrastructure</w:t>
            </w:r>
          </w:p>
        </w:tc>
        <w:tc>
          <w:tcPr>
            <w:tcW w:type="dxa" w:w="13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type="dxa" w:w="459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7"/>
              </w:rPr>
              <w:t>Инструменты поиска, идентификации и доступа.</w:t>
            </w:r>
          </w:p>
        </w:tc>
      </w:tr>
    </w:tbl>
    <w:p>
      <w:pPr>
        <w:pStyle w:val="BodyText"/>
      </w:pPr>
      <w:r>
        <w:t>Эти числа описывают записи доступа, а не количество уникальных произведений. После объединения повторных изданий, языковых версий и item-level свидетелей реестр покрывает не менее трёх десятков первичных произведений, корпусов и отдельных физических/эпиграфических объектов, а также несколько ключевых инфраструктур. Точная «сумма произведений» намеренно не искусственна: Бааловый цикл можно считать одним произведением, шестью табличками или несколькими редакционными блоками.</w:t>
      </w:r>
    </w:p>
    <w:p>
      <w:pPr>
        <w:pStyle w:val="Heading1"/>
        <w:keepNext/>
      </w:pPr>
      <w:r>
        <w:t>3. Лучшие пути доступа</w:t>
      </w:r>
    </w:p>
    <w:p>
      <w:pPr>
        <w:pStyle w:val="Heading2"/>
        <w:keepNext/>
      </w:pPr>
      <w:r>
        <w:t>3.1. Угаритский поэтический корпус</w:t>
      </w:r>
    </w:p>
    <w:p>
      <w:pPr>
        <w:pStyle w:val="BodyText"/>
      </w:pPr>
      <w:r>
        <w:t>Лучший бесплатный способ чтения - развивающееся цифровое критическое издание EUPT. Оно даёт work-level входы к Бааловому циклу, Кирте, Акхату и Рапиʾума, а также отдельные открытые транскрипционные PDF. Для KTU 1.1, 1.3, 1.82, 1.100, 1.107, 1.114 и 1.169 подтверждена лицензия CC BY-SA 4.0.</w:t>
      </w:r>
    </w:p>
    <w:p>
      <w:pPr>
        <w:pStyle w:val="BodyText"/>
      </w:pPr>
      <w:r>
        <w:rPr>
          <w:b/>
        </w:rPr>
        <w:t xml:space="preserve">Чтение: </w:t>
      </w:r>
      <w:hyperlink r:id="rId11">
        <w:r>
          <w:rPr>
            <w:color w:val="0563C1"/>
            <w:u w:val="single"/>
            <w:rFonts w:ascii="Aptos" w:hAnsi="Aptos"/>
            <w:sz w:val="20"/>
          </w:rPr>
          <w:t>EUPT - главное меню издания</w:t>
        </w:r>
      </w:hyperlink>
    </w:p>
    <w:p>
      <w:pPr>
        <w:pStyle w:val="BodyText"/>
      </w:pPr>
      <w:r>
        <w:rPr>
          <w:b/>
        </w:rPr>
        <w:t xml:space="preserve">Машиночитаемый слой: </w:t>
      </w:r>
      <w:hyperlink r:id="rId12">
        <w:r>
          <w:rPr>
            <w:color w:val="0563C1"/>
            <w:u w:val="single"/>
            <w:rFonts w:ascii="Aptos" w:hAnsi="Aptos"/>
            <w:sz w:val="20"/>
          </w:rPr>
          <w:t>EUPT XML / TextAPI / AnnotationAPI</w:t>
        </w:r>
      </w:hyperlink>
    </w:p>
    <w:p>
      <w:pPr>
        <w:pStyle w:val="BodyText"/>
      </w:pPr>
      <w:r>
        <w:rPr>
          <w:b/>
        </w:rPr>
        <w:t xml:space="preserve">Свободное скачивание: </w:t>
      </w:r>
      <w:hyperlink r:id="rId13">
        <w:r>
          <w:rPr>
            <w:color w:val="0563C1"/>
            <w:u w:val="single"/>
            <w:rFonts w:ascii="Aptos" w:hAnsi="Aptos"/>
            <w:sz w:val="20"/>
          </w:rPr>
          <w:t>KTU 1.1 PDF</w:t>
        </w:r>
      </w:hyperlink>
    </w:p>
    <w:p>
      <w:pPr>
        <w:pStyle w:val="BodyText"/>
      </w:pPr>
      <w:r>
        <w:t>Лучший современный научный вариант - двухтомное издание Mark S. Smith / Wayne T. Pitard The Ugaritic Baal Cycle (Brill). Для обзорного доступа к повествовательной поэзии полезен Ugaritic Narrative Poetry; для полного англоязычного знакомства - Wyatt или Gibson. Эти современные переводы и аппараты защищены и подходят для покупки, библиотеки или preview, но не для зеркалирования.</w:t>
      </w:r>
    </w:p>
    <w:p>
      <w:pPr>
        <w:pStyle w:val="BodyText"/>
      </w:pPr>
      <w:r>
        <w:rPr>
          <w:b/>
        </w:rPr>
        <w:t xml:space="preserve">Современная критика: </w:t>
      </w:r>
      <w:hyperlink r:id="rId14">
        <w:r>
          <w:rPr>
            <w:color w:val="0563C1"/>
            <w:u w:val="single"/>
            <w:rFonts w:ascii="Aptos" w:hAnsi="Aptos"/>
            <w:sz w:val="20"/>
          </w:rPr>
          <w:t>Brill: The Ugaritic Baal Cycle, Vol. I</w:t>
        </w:r>
      </w:hyperlink>
    </w:p>
    <w:p>
      <w:pPr>
        <w:pStyle w:val="BodyText"/>
      </w:pPr>
      <w:r>
        <w:rPr>
          <w:b/>
        </w:rPr>
        <w:t xml:space="preserve">Библиотечная выдача: </w:t>
      </w:r>
      <w:hyperlink r:id="rId15">
        <w:r>
          <w:rPr>
            <w:color w:val="0563C1"/>
            <w:u w:val="single"/>
            <w:rFonts w:ascii="Aptos" w:hAnsi="Aptos"/>
            <w:sz w:val="20"/>
          </w:rPr>
          <w:t>Internet Archive: Religious Texts from Ugarit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" w:space="0" w:color="EAF3F5"/>
          <w:left w:val="single" w:sz="1" w:space="0" w:color="EAF3F5"/>
          <w:bottom w:val="single" w:sz="1" w:space="0" w:color="EAF3F5"/>
          <w:right w:val="single" w:sz="1" w:space="0" w:color="EAF3F5"/>
          <w:insideH w:val="single" w:sz="1" w:space="0" w:color="EAF3F5"/>
          <w:insideV w:val="single" w:sz="1" w:space="0" w:color="EAF3F5"/>
        </w:tblBorders>
      </w:tblPr>
      <w:tblGrid>
        <w:gridCol w:w="9866"/>
      </w:tblGrid>
      <w:tr>
        <w:tc>
          <w:tcPr>
            <w:tcW w:type="dxa" w:w="9866"/>
            <w:shd w:fill="EAF3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4A5B"/>
              </w:rPr>
              <w:t>Наиболее свободный слой</w:t>
            </w:r>
            <w:r>
              <w:br/>
              <w:t>EUPT PDF/TEI под CC BY-SA 4.0. ToS может хранить, индексировать, строить embeddings, создавать собственный перевод и зеркалировать этот конкретный цифровой слой при атрибуции и соблюдении ShareAlike. Это не означает, что все KTU/CAT-тексты уже открыты.</w:t>
            </w:r>
          </w:p>
        </w:tc>
      </w:tr>
    </w:tbl>
    <w:p>
      <w:pPr>
        <w:pStyle w:val="Heading2"/>
        <w:keepNext/>
      </w:pPr>
      <w:r>
        <w:t>3.2. Угаритские ритуальные тексты</w:t>
      </w:r>
    </w:p>
    <w:p>
      <w:pPr>
        <w:pStyle w:val="BodyText"/>
      </w:pPr>
      <w:r>
        <w:t>Лучший бесплатный полный путь - официальные PDF двух фасцикулов Les textes rituels, Ras Shamra-Ougarit XII на сайте Mission archéologique française de Ras Shamra-Ougarit. Это сильный доступ для чтения и локальной исследовательской копии, но открытая лицензия на повторное размещение не найдена.</w:t>
      </w:r>
    </w:p>
    <w:p>
      <w:pPr>
        <w:pStyle w:val="BodyText"/>
      </w:pPr>
      <w:r>
        <w:rPr>
          <w:b/>
        </w:rPr>
        <w:t xml:space="preserve">PDF: </w:t>
      </w:r>
      <w:hyperlink r:id="rId16">
        <w:r>
          <w:rPr>
            <w:color w:val="0563C1"/>
            <w:u w:val="single"/>
            <w:rFonts w:ascii="Aptos" w:hAnsi="Aptos"/>
            <w:sz w:val="20"/>
          </w:rPr>
          <w:t>RSO XII, fascicule 1</w:t>
        </w:r>
      </w:hyperlink>
    </w:p>
    <w:p>
      <w:pPr>
        <w:pStyle w:val="BodyText"/>
      </w:pPr>
      <w:r>
        <w:rPr>
          <w:b/>
        </w:rPr>
        <w:t xml:space="preserve">PDF: </w:t>
      </w:r>
      <w:hyperlink r:id="rId17">
        <w:r>
          <w:rPr>
            <w:color w:val="0563C1"/>
            <w:u w:val="single"/>
            <w:rFonts w:ascii="Aptos" w:hAnsi="Aptos"/>
            <w:sz w:val="20"/>
          </w:rPr>
          <w:t>RSO XII, fascicule 2</w:t>
        </w:r>
      </w:hyperlink>
    </w:p>
    <w:p>
      <w:pPr>
        <w:pStyle w:val="BodyText"/>
      </w:pPr>
      <w:r>
        <w:rPr>
          <w:b/>
        </w:rPr>
        <w:t xml:space="preserve">Краткая навигация: </w:t>
      </w:r>
      <w:hyperlink r:id="rId18">
        <w:r>
          <w:rPr>
            <w:color w:val="0563C1"/>
            <w:u w:val="single"/>
            <w:rFonts w:ascii="Aptos" w:hAnsi="Aptos"/>
            <w:sz w:val="20"/>
          </w:rPr>
          <w:t>ISAC: обзор ритуального корпуса</w:t>
        </w:r>
      </w:hyperlink>
    </w:p>
    <w:p>
      <w:pPr>
        <w:pStyle w:val="BodyText"/>
      </w:pPr>
      <w:r>
        <w:t>Лучший современный научный вариант - Dennis Pardee, Ritual and Cult at Ugarit (Brill). Для ToS он полезен как защищённый контрольный перевод и жанровое описание, но не как свободный исходный слой.</w:t>
      </w:r>
    </w:p>
    <w:p>
      <w:pPr>
        <w:pStyle w:val="BodyText"/>
      </w:pPr>
      <w:r>
        <w:rPr>
          <w:b/>
        </w:rPr>
        <w:t xml:space="preserve">Издание: </w:t>
      </w:r>
      <w:hyperlink r:id="rId19">
        <w:r>
          <w:rPr>
            <w:color w:val="0563C1"/>
            <w:u w:val="single"/>
            <w:rFonts w:ascii="Aptos" w:hAnsi="Aptos"/>
            <w:sz w:val="20"/>
          </w:rPr>
          <w:t>Brill: Ritual and Cult at Ugarit</w:t>
        </w:r>
      </w:hyperlink>
    </w:p>
    <w:p>
      <w:pPr>
        <w:pStyle w:val="Heading2"/>
        <w:keepNext/>
      </w:pPr>
      <w:r>
        <w:t>3.3. KTU/CAT, каталоги и угаритская филология</w:t>
      </w:r>
    </w:p>
    <w:p>
      <w:pPr>
        <w:pStyle w:val="BodyText"/>
      </w:pPr>
      <w:r>
        <w:t>KTU/CAT остаётся стандартным индексом. KTU2 доступен через Controlled Digital Lending после регистрации; KTU3 найден через библиотечные и издательские записи. RSTI даёт лучший объектно-каталожный вход, CDLI - дополнительный текстовый и визуальный слой. Для быстрого языкового входа полезны A Primer on Ugaritic и An Introduction to Ugaritic.</w:t>
      </w:r>
    </w:p>
    <w:p>
      <w:pPr>
        <w:pStyle w:val="BodyText"/>
      </w:pPr>
      <w:r>
        <w:rPr>
          <w:b/>
        </w:rPr>
        <w:t xml:space="preserve">Выдача: </w:t>
      </w:r>
      <w:hyperlink r:id="rId20">
        <w:r>
          <w:rPr>
            <w:color w:val="0563C1"/>
            <w:u w:val="single"/>
            <w:rFonts w:ascii="Aptos" w:hAnsi="Aptos"/>
            <w:sz w:val="20"/>
          </w:rPr>
          <w:t>KTU2 - library borrow</w:t>
        </w:r>
      </w:hyperlink>
    </w:p>
    <w:p>
      <w:pPr>
        <w:pStyle w:val="BodyText"/>
      </w:pPr>
      <w:r>
        <w:rPr>
          <w:b/>
        </w:rPr>
        <w:t xml:space="preserve">Библиотечная запись: </w:t>
      </w:r>
      <w:hyperlink r:id="rId21">
        <w:r>
          <w:rPr>
            <w:color w:val="0563C1"/>
            <w:u w:val="single"/>
            <w:rFonts w:ascii="Aptos" w:hAnsi="Aptos"/>
            <w:sz w:val="20"/>
          </w:rPr>
          <w:t>KTU3 - NLI record</w:t>
        </w:r>
      </w:hyperlink>
    </w:p>
    <w:p>
      <w:pPr>
        <w:pStyle w:val="BodyText"/>
      </w:pPr>
      <w:r>
        <w:rPr>
          <w:b/>
        </w:rPr>
        <w:t xml:space="preserve">Каталог/объекты: </w:t>
      </w:r>
      <w:hyperlink r:id="rId22">
        <w:r>
          <w:rPr>
            <w:color w:val="0563C1"/>
            <w:u w:val="single"/>
            <w:rFonts w:ascii="Aptos" w:hAnsi="Aptos"/>
            <w:sz w:val="20"/>
          </w:rPr>
          <w:t>Ras Shamra Tablet Inventory</w:t>
        </w:r>
      </w:hyperlink>
    </w:p>
    <w:p>
      <w:pPr>
        <w:pStyle w:val="BodyText"/>
      </w:pPr>
      <w:r>
        <w:rPr>
          <w:b/>
        </w:rPr>
        <w:t xml:space="preserve">Дополнительный поиск: </w:t>
      </w:r>
      <w:hyperlink r:id="rId23">
        <w:r>
          <w:rPr>
            <w:color w:val="0563C1"/>
            <w:u w:val="single"/>
            <w:rFonts w:ascii="Aptos" w:hAnsi="Aptos"/>
            <w:sz w:val="20"/>
          </w:rPr>
          <w:t>CDLI search</w:t>
        </w:r>
      </w:hyperlink>
    </w:p>
    <w:p>
      <w:pPr>
        <w:pStyle w:val="BodyText"/>
      </w:pPr>
      <w:r>
        <w:t>RSTI лицензирован CC BY-NC-ND 4.0: неизменённое некоммерческое распространение допустимо с атрибуцией, но производные версии набора/карточек не разрешены. У CDLI текстовые данные и изображения имеют разные правовые режимы; лицензия на транслитерацию не переносится на фотографию таблички.</w:t>
      </w:r>
    </w:p>
    <w:p>
      <w:pPr>
        <w:pStyle w:val="Heading2"/>
        <w:keepNext/>
      </w:pPr>
      <w:r>
        <w:t>3.4. Финикийско-пуническая эпиграфика: старые и современные корпуса</w:t>
      </w:r>
    </w:p>
    <w:p>
      <w:pPr>
        <w:pStyle w:val="BodyText"/>
      </w:pPr>
      <w:r>
        <w:t>Лучший свободный исторический фундамент - Corpus Inscriptionum Semiticarum, Gesenius, Lidzbarski, Cooke, Mission de Phénicie и Répertoire d’épigraphie sémitique. Их достоинство - публичнодоменный текстовый и факсимильный слой; недостаток - устаревшие чтения, датировки и нумерация.</w:t>
      </w:r>
    </w:p>
    <w:p>
      <w:pPr>
        <w:pStyle w:val="BodyText"/>
      </w:pPr>
      <w:r>
        <w:rPr>
          <w:b/>
        </w:rPr>
        <w:t xml:space="preserve">Public Domain Mark: </w:t>
      </w:r>
      <w:hyperlink r:id="rId24">
        <w:r>
          <w:rPr>
            <w:color w:val="0563C1"/>
            <w:u w:val="single"/>
            <w:rFonts w:ascii="Aptos" w:hAnsi="Aptos"/>
            <w:sz w:val="20"/>
          </w:rPr>
          <w:t>CIS I, tomus I</w:t>
        </w:r>
      </w:hyperlink>
    </w:p>
    <w:p>
      <w:pPr>
        <w:pStyle w:val="BodyText"/>
      </w:pPr>
      <w:r>
        <w:rPr>
          <w:b/>
        </w:rPr>
        <w:t xml:space="preserve">Public Domain Mark: </w:t>
      </w:r>
      <w:hyperlink r:id="rId25">
        <w:r>
          <w:rPr>
            <w:color w:val="0563C1"/>
            <w:u w:val="single"/>
            <w:rFonts w:ascii="Aptos" w:hAnsi="Aptos"/>
            <w:sz w:val="20"/>
          </w:rPr>
          <w:t>Lidzbarski - Textband</w:t>
        </w:r>
      </w:hyperlink>
    </w:p>
    <w:p>
      <w:pPr>
        <w:pStyle w:val="BodyText"/>
      </w:pPr>
      <w:r>
        <w:rPr>
          <w:b/>
        </w:rPr>
        <w:t xml:space="preserve">Факсимиле: </w:t>
      </w:r>
      <w:hyperlink r:id="rId26">
        <w:r>
          <w:rPr>
            <w:color w:val="0563C1"/>
            <w:u w:val="single"/>
            <w:rFonts w:ascii="Aptos" w:hAnsi="Aptos"/>
            <w:sz w:val="20"/>
          </w:rPr>
          <w:t>Lidzbarski - Tafelband</w:t>
        </w:r>
      </w:hyperlink>
    </w:p>
    <w:p>
      <w:pPr>
        <w:pStyle w:val="BodyText"/>
      </w:pPr>
      <w:r>
        <w:t>Лучший современный стандарт - KAI; для языка - Krahmalkov, A Phoenician-Punic Grammar; для позднего слоя - Jongeling, Handbook of Neo-Punic Inscriptions; для корпуса надписей - Gibson, Textbook of Syrian Semitic Inscriptions, vol. 3. Эти издания преимущественно purchase/borrow/institutional.</w:t>
      </w:r>
    </w:p>
    <w:p>
      <w:pPr>
        <w:pStyle w:val="BodyText"/>
      </w:pPr>
      <w:r>
        <w:rPr>
          <w:b/>
        </w:rPr>
        <w:t xml:space="preserve">Современный стандарт: </w:t>
      </w:r>
      <w:hyperlink r:id="rId27">
        <w:r>
          <w:rPr>
            <w:color w:val="0563C1"/>
            <w:u w:val="single"/>
            <w:rFonts w:ascii="Aptos" w:hAnsi="Aptos"/>
            <w:sz w:val="20"/>
          </w:rPr>
          <w:t>KAI - издательская страница</w:t>
        </w:r>
      </w:hyperlink>
    </w:p>
    <w:p>
      <w:pPr>
        <w:pStyle w:val="BodyText"/>
      </w:pPr>
      <w:r>
        <w:rPr>
          <w:b/>
        </w:rPr>
        <w:t xml:space="preserve">Грамматика: </w:t>
      </w:r>
      <w:hyperlink r:id="rId28">
        <w:r>
          <w:rPr>
            <w:color w:val="0563C1"/>
            <w:u w:val="single"/>
            <w:rFonts w:ascii="Aptos" w:hAnsi="Aptos"/>
            <w:sz w:val="20"/>
          </w:rPr>
          <w:t>Krahmalkov grammar</w:t>
        </w:r>
      </w:hyperlink>
    </w:p>
    <w:p>
      <w:pPr>
        <w:pStyle w:val="BodyText"/>
      </w:pPr>
      <w:r>
        <w:rPr>
          <w:b/>
        </w:rPr>
        <w:t xml:space="preserve">Поздний корпус: </w:t>
      </w:r>
      <w:hyperlink r:id="rId29">
        <w:r>
          <w:rPr>
            <w:color w:val="0563C1"/>
            <w:u w:val="single"/>
            <w:rFonts w:ascii="Aptos" w:hAnsi="Aptos"/>
            <w:sz w:val="20"/>
          </w:rPr>
          <w:t>Jongeling Neo-Punic</w:t>
        </w:r>
      </w:hyperlink>
    </w:p>
    <w:p>
      <w:pPr>
        <w:pStyle w:val="Heading2"/>
        <w:keepNext/>
      </w:pPr>
      <w:r>
        <w:t>3.5. Машиночитаемые надписи</w:t>
      </w:r>
    </w:p>
    <w:p>
      <w:pPr>
        <w:pStyle w:val="BodyText"/>
      </w:pPr>
      <w:r>
        <w:t>I.Sicily - лучший открытый машиночитаемый слой для пунических и билингвальных надписей Сицилии и Мальты: HTML, EpiDoc XML, GitHub/Zenodo и лицензия CC BY 4.0. IRT 2021 даёт Neo-Punic и многоязычные надписи Триполитании под CC BY-NC-SA 4.0. Эти проекты пригодны для локального корпуса, полнотекстового поиска, embeddings и собственного перевода конкретных транскрибированных надписей.</w:t>
      </w:r>
    </w:p>
    <w:p>
      <w:pPr>
        <w:pStyle w:val="BodyText"/>
      </w:pPr>
      <w:r>
        <w:rPr>
          <w:b/>
        </w:rPr>
        <w:t xml:space="preserve">Открытые данные: </w:t>
      </w:r>
      <w:hyperlink r:id="rId30">
        <w:r>
          <w:rPr>
            <w:color w:val="0563C1"/>
            <w:u w:val="single"/>
            <w:rFonts w:ascii="Aptos" w:hAnsi="Aptos"/>
            <w:sz w:val="20"/>
          </w:rPr>
          <w:t>I.Sicily: how to use and licence</w:t>
        </w:r>
      </w:hyperlink>
    </w:p>
    <w:p>
      <w:pPr>
        <w:pStyle w:val="BodyText"/>
      </w:pPr>
      <w:r>
        <w:rPr>
          <w:b/>
        </w:rPr>
        <w:t xml:space="preserve">Dataset: </w:t>
      </w:r>
      <w:hyperlink r:id="rId31">
        <w:r>
          <w:rPr>
            <w:color w:val="0563C1"/>
            <w:u w:val="single"/>
            <w:rFonts w:ascii="Aptos" w:hAnsi="Aptos"/>
            <w:sz w:val="20"/>
          </w:rPr>
          <w:t>I.Sicily GitHub</w:t>
        </w:r>
      </w:hyperlink>
    </w:p>
    <w:p>
      <w:pPr>
        <w:pStyle w:val="BodyText"/>
      </w:pPr>
      <w:r>
        <w:rPr>
          <w:b/>
        </w:rPr>
        <w:t xml:space="preserve">Neo-Punic dataset: </w:t>
      </w:r>
      <w:hyperlink r:id="rId32">
        <w:r>
          <w:rPr>
            <w:color w:val="0563C1"/>
            <w:u w:val="single"/>
            <w:rFonts w:ascii="Aptos" w:hAnsi="Aptos"/>
            <w:sz w:val="20"/>
          </w:rPr>
          <w:t>IRT 2021 EpiDoc dataset</w:t>
        </w:r>
      </w:hyperlink>
    </w:p>
    <w:p>
      <w:pPr>
        <w:pStyle w:val="BodyText"/>
      </w:pPr>
      <w:r>
        <w:t>В реестр внесены восемь конкретных I.Sicily item records и семь IRT item records. Это не выбор «лучших надписей вообще», а проверенный набор репрезентативных путей к посвятительным, погребальным, алфавитным и многоязычным объектам.</w:t>
      </w:r>
    </w:p>
    <w:p>
      <w:pPr>
        <w:pStyle w:val="Heading2"/>
        <w:keepNext/>
      </w:pPr>
      <w:r>
        <w:t>3.6. Ключевые физические свидетели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9"/>
          <w:left w:val="single" w:sz="4" w:space="0" w:color="C7D2D9"/>
          <w:bottom w:val="single" w:sz="4" w:space="0" w:color="C7D2D9"/>
          <w:right w:val="single" w:sz="4" w:space="0" w:color="C7D2D9"/>
          <w:insideH w:val="single" w:sz="4" w:space="0" w:color="C7D2D9"/>
          <w:insideV w:val="single" w:sz="4" w:space="0" w:color="C7D2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154"/>
            <w:shd w:fill="174A5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3969"/>
            <w:shd w:fill="174A5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Лучший найденный вход</w:t>
            </w:r>
          </w:p>
        </w:tc>
        <w:tc>
          <w:tcPr>
            <w:tcW w:type="dxa" w:w="2948"/>
            <w:shd w:fill="174A5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Практический вывод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Ахирам / KAI 1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CC BY-SA 4.0 фотография на Wikimedia Commons; дополнительно старые CIS-плиты.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Лучший открытый визуальный слой.</w:t>
            </w:r>
          </w:p>
        </w:tc>
      </w:tr>
      <w:tr>
        <w:trPr>
          <w:cantSplit/>
        </w:trPr>
        <w:tc>
          <w:tcPr>
            <w:tcW w:type="dxa" w:w="2154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Эшмуназар II / KAI 14</w:t>
            </w:r>
          </w:p>
        </w:tc>
        <w:tc>
          <w:tcPr>
            <w:tcW w:type="dxa" w:w="3969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Louvre item + JSON; метаданные Etalab Open Licence, музейная фотография ограничена.</w:t>
            </w:r>
          </w:p>
        </w:tc>
        <w:tc>
          <w:tcPr>
            <w:tcW w:type="dxa" w:w="2948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Лучший официальный каталог; изображение проверять отдельно.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Идалийская билингва / KAI 38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British Museum item; automated 403, exact image eligibility not confirmed.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Ссылка полезна, но до ручной проверки link/metadata only.</w:t>
            </w:r>
          </w:p>
        </w:tc>
      </w:tr>
      <w:tr>
        <w:trPr>
          <w:cantSplit/>
        </w:trPr>
        <w:tc>
          <w:tcPr>
            <w:tcW w:type="dxa" w:w="2154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Пиргийские таблички / KAI 277</w:t>
            </w:r>
          </w:p>
        </w:tc>
        <w:tc>
          <w:tcPr>
            <w:tcW w:type="dxa" w:w="3969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Museo Nazionale Etrusco; site text CC BY 3.0 Italy, images separate.</w:t>
            </w:r>
          </w:p>
        </w:tc>
        <w:tc>
          <w:tcPr>
            <w:tcW w:type="dxa" w:w="2948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Метаданные переиспользуемы с атрибуцией; фото требует разрешения.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Марсельский тариф / KAI 69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Official Marseille museum page; full open transcription/licence not found.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Чтение/метаданные; зеркалирование не рекомендовано.</w:t>
            </w:r>
          </w:p>
        </w:tc>
      </w:tr>
      <w:tr>
        <w:trPr>
          <w:cantSplit/>
        </w:trPr>
        <w:tc>
          <w:tcPr>
            <w:tcW w:type="dxa" w:w="2154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Квинт Марций</w:t>
            </w:r>
          </w:p>
        </w:tc>
        <w:tc>
          <w:tcPr>
            <w:tcW w:type="dxa" w:w="3969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Louvre item + open metadata; photograph under limited museum conditions.</w:t>
            </w:r>
          </w:p>
        </w:tc>
        <w:tc>
          <w:tcPr>
            <w:tcW w:type="dxa" w:w="2948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Ключевой трилингвальный поздний witness.</w:t>
            </w:r>
          </w:p>
        </w:tc>
      </w:tr>
    </w:tbl>
    <w:p>
      <w:pPr>
        <w:pStyle w:val="BodyText"/>
      </w:pPr>
      <w:r>
        <w:rPr>
          <w:b/>
        </w:rPr>
        <w:t xml:space="preserve">Открытая фотография: </w:t>
      </w:r>
      <w:hyperlink r:id="rId33">
        <w:r>
          <w:rPr>
            <w:color w:val="0563C1"/>
            <w:u w:val="single"/>
            <w:rFonts w:ascii="Aptos" w:hAnsi="Aptos"/>
            <w:sz w:val="20"/>
          </w:rPr>
          <w:t>Ahiram - CC BY-SA image</w:t>
        </w:r>
      </w:hyperlink>
    </w:p>
    <w:p>
      <w:pPr>
        <w:pStyle w:val="BodyText"/>
      </w:pPr>
      <w:r>
        <w:rPr>
          <w:b/>
        </w:rPr>
        <w:t xml:space="preserve">Официальная карточка: </w:t>
      </w:r>
      <w:hyperlink r:id="rId34">
        <w:r>
          <w:rPr>
            <w:color w:val="0563C1"/>
            <w:u w:val="single"/>
            <w:rFonts w:ascii="Aptos" w:hAnsi="Aptos"/>
            <w:sz w:val="20"/>
          </w:rPr>
          <w:t>Eshmunazar II - Louvre</w:t>
        </w:r>
      </w:hyperlink>
    </w:p>
    <w:p>
      <w:pPr>
        <w:pStyle w:val="BodyText"/>
      </w:pPr>
      <w:r>
        <w:rPr>
          <w:b/>
        </w:rPr>
        <w:t xml:space="preserve">Официальная карточка: </w:t>
      </w:r>
      <w:hyperlink r:id="rId35">
        <w:r>
          <w:rPr>
            <w:color w:val="0563C1"/>
            <w:u w:val="single"/>
            <w:rFonts w:ascii="Aptos" w:hAnsi="Aptos"/>
            <w:sz w:val="20"/>
          </w:rPr>
          <w:t>Idalion bilingual - British Museum</w:t>
        </w:r>
      </w:hyperlink>
    </w:p>
    <w:p>
      <w:pPr>
        <w:pStyle w:val="BodyText"/>
      </w:pPr>
      <w:r>
        <w:rPr>
          <w:b/>
        </w:rPr>
        <w:t xml:space="preserve">Официальная карточка: </w:t>
      </w:r>
      <w:hyperlink r:id="rId36">
        <w:r>
          <w:rPr>
            <w:color w:val="0563C1"/>
            <w:u w:val="single"/>
            <w:rFonts w:ascii="Aptos" w:hAnsi="Aptos"/>
            <w:sz w:val="20"/>
          </w:rPr>
          <w:t>Pyrgi Tablets - Museo ETRU</w:t>
        </w:r>
      </w:hyperlink>
    </w:p>
    <w:p>
      <w:pPr>
        <w:pStyle w:val="BodyText"/>
      </w:pPr>
      <w:r>
        <w:rPr>
          <w:b/>
        </w:rPr>
        <w:t xml:space="preserve">Официальная карточка: </w:t>
      </w:r>
      <w:hyperlink r:id="rId37">
        <w:r>
          <w:rPr>
            <w:color w:val="0563C1"/>
            <w:u w:val="single"/>
            <w:rFonts w:ascii="Aptos" w:hAnsi="Aptos"/>
            <w:sz w:val="20"/>
          </w:rPr>
          <w:t>Marseille Tariff - official museum page</w:t>
        </w:r>
      </w:hyperlink>
    </w:p>
    <w:p>
      <w:pPr>
        <w:pStyle w:val="Heading2"/>
        <w:keepNext/>
      </w:pPr>
      <w:r>
        <w:t>3.7. Поздние тексты сохранения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9"/>
          <w:left w:val="single" w:sz="4" w:space="0" w:color="C7D2D9"/>
          <w:bottom w:val="single" w:sz="4" w:space="0" w:color="C7D2D9"/>
          <w:right w:val="single" w:sz="4" w:space="0" w:color="C7D2D9"/>
          <w:insideH w:val="single" w:sz="4" w:space="0" w:color="C7D2D9"/>
          <w:insideV w:val="single" w:sz="4" w:space="0" w:color="C7D2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shd w:fill="174A5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Линия</w:t>
            </w:r>
          </w:p>
        </w:tc>
        <w:tc>
          <w:tcPr>
            <w:tcW w:type="dxa" w:w="3969"/>
            <w:shd w:fill="174A5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Лучший доступ</w:t>
            </w:r>
          </w:p>
        </w:tc>
        <w:tc>
          <w:tcPr>
            <w:tcW w:type="dxa" w:w="2664"/>
            <w:shd w:fill="174A5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Роль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Sanchuniathon / Philo / Eusebius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Greek Scaife + TEI XML CC BY-SA 4.0; Gifford 1903 English free.</w:t>
            </w:r>
          </w:p>
        </w:tc>
        <w:tc>
          <w:tcPr>
            <w:tcW w:type="dxa" w:w="26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Лучший open original-language preservation witness.</w:t>
            </w:r>
          </w:p>
        </w:tc>
      </w:tr>
      <w:tr>
        <w:trPr>
          <w:cantSplit/>
        </w:trPr>
        <w:tc>
          <w:tcPr>
            <w:tcW w:type="dxa" w:w="2438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Hanno</w:t>
            </w:r>
          </w:p>
        </w:tc>
        <w:tc>
          <w:tcPr>
            <w:tcW w:type="dxa" w:w="3969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1912 Schoff scan on Internet Archive; tagged public-domain text on ToposText.</w:t>
            </w:r>
          </w:p>
        </w:tc>
        <w:tc>
          <w:tcPr>
            <w:tcW w:type="dxa" w:w="2664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Free read/download; Greek mediation must be explicit.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Plautus, Poenulus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Latin/Punic and English Perseus TEI, both CC BY-SA 4.0; modern Loeb protected.</w:t>
            </w:r>
          </w:p>
        </w:tc>
        <w:tc>
          <w:tcPr>
            <w:tcW w:type="dxa" w:w="26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Strong machine-readable Latino-Punic witness.</w:t>
            </w:r>
          </w:p>
        </w:tc>
      </w:tr>
      <w:tr>
        <w:trPr>
          <w:cantSplit/>
        </w:trPr>
        <w:tc>
          <w:tcPr>
            <w:tcW w:type="dxa" w:w="2438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Josephus / Menander</w:t>
            </w:r>
          </w:p>
        </w:tc>
        <w:tc>
          <w:tcPr>
            <w:tcW w:type="dxa" w:w="3969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Against Apion I free HTML.</w:t>
            </w:r>
          </w:p>
        </w:tc>
        <w:tc>
          <w:tcPr>
            <w:tcW w:type="dxa" w:w="2664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Tyrian records survive through layered Greek/Jewish mediation.</w:t>
            </w:r>
          </w:p>
        </w:tc>
      </w:tr>
      <w:tr>
        <w:trPr>
          <w:cantSplit/>
        </w:trPr>
        <w:tc>
          <w:tcPr>
            <w:tcW w:type="dxa" w:w="24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Augustine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Letter 17 free HTML.</w:t>
            </w:r>
          </w:p>
        </w:tc>
        <w:tc>
          <w:tcPr>
            <w:tcW w:type="dxa" w:w="26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Direct late testimony to Punic names, books and living language.</w:t>
            </w:r>
          </w:p>
        </w:tc>
      </w:tr>
      <w:tr>
        <w:trPr>
          <w:cantSplit/>
        </w:trPr>
        <w:tc>
          <w:tcPr>
            <w:tcW w:type="dxa" w:w="2438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Mago</w:t>
            </w:r>
          </w:p>
        </w:tc>
        <w:tc>
          <w:tcPr>
            <w:tcW w:type="dxa" w:w="3969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Varro De re rustica I.1.10 public-domain page.</w:t>
            </w:r>
          </w:p>
        </w:tc>
        <w:tc>
          <w:tcPr>
            <w:tcW w:type="dxa" w:w="2664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Only a testimonium to the lost 28-book Punic work.</w:t>
            </w:r>
          </w:p>
        </w:tc>
      </w:tr>
    </w:tbl>
    <w:p>
      <w:pPr>
        <w:pStyle w:val="BodyText"/>
      </w:pPr>
      <w:r>
        <w:rPr>
          <w:b/>
        </w:rPr>
        <w:t xml:space="preserve">Открытый XML: </w:t>
      </w:r>
      <w:hyperlink r:id="rId38">
        <w:r>
          <w:rPr>
            <w:color w:val="0563C1"/>
            <w:u w:val="single"/>
            <w:rFonts w:ascii="Aptos" w:hAnsi="Aptos"/>
            <w:sz w:val="20"/>
          </w:rPr>
          <w:t>Eusebius Greek TEI</w:t>
        </w:r>
      </w:hyperlink>
    </w:p>
    <w:p>
      <w:pPr>
        <w:pStyle w:val="BodyText"/>
      </w:pPr>
      <w:r>
        <w:rPr>
          <w:b/>
        </w:rPr>
        <w:t xml:space="preserve">Открытый XML: </w:t>
      </w:r>
      <w:hyperlink r:id="rId39">
        <w:r>
          <w:rPr>
            <w:color w:val="0563C1"/>
            <w:u w:val="single"/>
            <w:rFonts w:ascii="Aptos" w:hAnsi="Aptos"/>
            <w:sz w:val="20"/>
          </w:rPr>
          <w:t>Poenulus Latin/Punic TEI</w:t>
        </w:r>
      </w:hyperlink>
    </w:p>
    <w:p>
      <w:pPr>
        <w:pStyle w:val="BodyText"/>
      </w:pPr>
      <w:r>
        <w:rPr>
          <w:b/>
        </w:rPr>
        <w:t xml:space="preserve">Public-domain testimonium: </w:t>
      </w:r>
      <w:hyperlink r:id="rId40">
        <w:r>
          <w:rPr>
            <w:color w:val="0563C1"/>
            <w:u w:val="single"/>
            <w:rFonts w:ascii="Aptos" w:hAnsi="Aptos"/>
            <w:sz w:val="20"/>
          </w:rPr>
          <w:t>Varro on Mago</w:t>
        </w:r>
      </w:hyperlink>
    </w:p>
    <w:p>
      <w:pPr>
        <w:pStyle w:val="Heading1"/>
        <w:keepNext/>
      </w:pPr>
      <w:r>
        <w:t>4. Карта прав и практического использования</w:t>
      </w:r>
    </w:p>
    <w:p>
      <w:pPr>
        <w:pStyle w:val="BodyText"/>
      </w:pPr>
      <w:r>
        <w:t>Ниже действия описаны не для «произведения вообще», а для конкретного цифрового слоя. Например, открытая транскрипция EpiDoc не открывает музейную фотографию; публичнодоменный древний текст не открывает современный перевод; лицензия кода не открывает dataset.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9"/>
          <w:left w:val="single" w:sz="4" w:space="0" w:color="C7D2D9"/>
          <w:bottom w:val="single" w:sz="4" w:space="0" w:color="C7D2D9"/>
          <w:right w:val="single" w:sz="4" w:space="0" w:color="C7D2D9"/>
          <w:insideH w:val="single" w:sz="4" w:space="0" w:color="C7D2D9"/>
          <w:insideV w:val="single" w:sz="4" w:space="0" w:color="C7D2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154"/>
            <w:shd w:fill="174A5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Правовой слой</w:t>
            </w:r>
          </w:p>
        </w:tc>
        <w:tc>
          <w:tcPr>
            <w:tcW w:type="dxa" w:w="3061"/>
            <w:shd w:fill="174A5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Примеры</w:t>
            </w:r>
          </w:p>
        </w:tc>
        <w:tc>
          <w:tcPr>
            <w:tcW w:type="dxa" w:w="3969"/>
            <w:shd w:fill="174A5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Практика ToS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Явно открытые данные/тексты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EUPT PDF/TEI; I.Sicily; Perseus/OpenGreekAndLatin TEI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Зеркалирование с атрибуцией; для BY-SA - ShareAlike; индекс/embeddings и производные допустимы в пределах лицензии.</w:t>
            </w:r>
          </w:p>
        </w:tc>
      </w:tr>
      <w:tr>
        <w:trPr>
          <w:cantSplit/>
        </w:trPr>
        <w:tc>
          <w:tcPr>
            <w:tcW w:type="dxa" w:w="2154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Некоммерческий открытый слой</w:t>
            </w:r>
          </w:p>
        </w:tc>
        <w:tc>
          <w:tcPr>
            <w:tcW w:type="dxa" w:w="3061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IRT 2021 CC BY-NC-SA; RSTI CC BY-NC-ND</w:t>
            </w:r>
          </w:p>
        </w:tc>
        <w:tc>
          <w:tcPr>
            <w:tcW w:type="dxa" w:w="3969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IRT можно перерабатывать некоммерчески с BY+SA. RSTI можно распространять только неизменённым, некоммерчески, с атрибуцией.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Public Domain / PDM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CIS, Lidzbarski, часть Gesenius/Cooke, Varro page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Хранение, OCR, индексация и зеркалирование обычно допустимы; учитывать юрисдикцию и не путать Public Domain Mark с лицензией.</w:t>
            </w:r>
          </w:p>
        </w:tc>
      </w:tr>
      <w:tr>
        <w:trPr>
          <w:cantSplit/>
        </w:trPr>
        <w:tc>
          <w:tcPr>
            <w:tcW w:type="dxa" w:w="2154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Смешанные музейные права</w:t>
            </w:r>
          </w:p>
        </w:tc>
        <w:tc>
          <w:tcPr>
            <w:tcW w:type="dxa" w:w="3061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Louvre, British Museum, Museo ETRU</w:t>
            </w:r>
          </w:p>
        </w:tc>
        <w:tc>
          <w:tcPr>
            <w:tcW w:type="dxa" w:w="3969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Метаданные и изображения могут иметь разные режимы. Использовать item-level statement; фото не зеркалировать по общей лицензии каталога.</w:t>
            </w:r>
          </w:p>
        </w:tc>
      </w:tr>
      <w:tr>
        <w:trPr>
          <w:cantSplit/>
        </w:trPr>
        <w:tc>
          <w:tcPr>
            <w:tcW w:type="dxa" w:w="21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Бесплатно доступно без открытой лицензии</w:t>
            </w:r>
          </w:p>
        </w:tc>
        <w:tc>
          <w:tcPr>
            <w:tcW w:type="dxa" w:w="30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Mission Ougarit RSO XII; ISAC PDF; Ugarit Texts Database без licence; Phoinikeia</w:t>
            </w:r>
          </w:p>
        </w:tc>
        <w:tc>
          <w:tcPr>
            <w:tcW w:type="dxa" w:w="396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LINK_OK, чтение/скачивание и локальная исследовательская копия; публичное зеркало/массовая выдача не доказаны.</w:t>
            </w:r>
          </w:p>
        </w:tc>
      </w:tr>
      <w:tr>
        <w:trPr>
          <w:cantSplit/>
        </w:trPr>
        <w:tc>
          <w:tcPr>
            <w:tcW w:type="dxa" w:w="2154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Защищённые научные издания</w:t>
            </w:r>
          </w:p>
        </w:tc>
        <w:tc>
          <w:tcPr>
            <w:tcW w:type="dxa" w:w="3061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Brill, OUP, CUP, Ugarit-Verlag, Loeb, Mohr Siebeck</w:t>
            </w:r>
          </w:p>
        </w:tc>
        <w:tc>
          <w:tcPr>
            <w:tcW w:type="dxa" w:w="3969"/>
            <w:shd w:fill="F7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Preview, institutional, library borrow или purchase. Нельзя копировать перевод, аппарат и современную реконструкцию в публичный ToS.</w:t>
            </w:r>
          </w:p>
        </w:tc>
      </w:tr>
    </w:tbl>
    <w:p>
      <w:pPr>
        <w:pStyle w:val="Heading2"/>
        <w:keepNext/>
      </w:pPr>
      <w:r>
        <w:t>4.1. Что потенциально можно зеркалировать</w:t>
      </w:r>
    </w:p>
    <w:p>
      <w:pPr>
        <w:pStyle w:val="BodyText"/>
      </w:pPr>
      <w:r>
        <w:t>В реестре 28 записей имеют MIRROR_WITH_ATTRIBUTION, 16 - MIRROR_NONCOMMERCIAL и 7 - MIRROR_OK. Эти количества пересекаются с другими тегами и не означают разрешения на зеркалирование всей страницы или всего корпуса. Наиболее надёжные кандидаты:</w:t>
      </w:r>
    </w:p>
    <w:p>
      <w:pPr>
        <w:pStyle w:val="ListBullet"/>
      </w:pPr>
      <w:r>
        <w:t>EUPT item-level PDF/TEI: CC BY-SA 4.0; атрибуция и ShareAlike обязательны.</w:t>
      </w:r>
    </w:p>
    <w:p>
      <w:pPr>
        <w:pStyle w:val="ListBullet"/>
      </w:pPr>
      <w:r>
        <w:t>I.Sicily EpiDoc/data: CC BY 4.0; указывать источник, редакторов и stable identifiers.</w:t>
      </w:r>
    </w:p>
    <w:p>
      <w:pPr>
        <w:pStyle w:val="ListBullet"/>
      </w:pPr>
      <w:r>
        <w:t>IRT 2021 EpiDoc: CC BY-NC-SA 4.0; только некоммерчески, с атрибуцией и ShareAlike.</w:t>
      </w:r>
    </w:p>
    <w:p>
      <w:pPr>
        <w:pStyle w:val="ListBullet"/>
      </w:pPr>
      <w:r>
        <w:t>Perseus/OpenGreekAndLatin TEI для Eusebius и Plautus: CC BY-SA 4.0 в item-level TEI header.</w:t>
      </w:r>
    </w:p>
    <w:p>
      <w:pPr>
        <w:pStyle w:val="ListBullet"/>
      </w:pPr>
      <w:r>
        <w:t>Wikimedia Commons photograph of Ahiram: CC BY-SA 4.0, с соблюдением credit line и ShareAlike.</w:t>
      </w:r>
    </w:p>
    <w:p>
      <w:pPr>
        <w:pStyle w:val="ListBullet"/>
      </w:pPr>
      <w:r>
        <w:t>CIS/Lidzbarski и другие item-level Public Domain Mark copies: зеркалирование возможно после сохранения metadata и юрисдикционной проверки.</w:t>
      </w:r>
    </w:p>
    <w:p>
      <w:pPr>
        <w:pStyle w:val="Heading2"/>
        <w:keepNext/>
      </w:pPr>
      <w:r>
        <w:t>4.2. Чтение, скачивание и локальные копии без права повторного размещения</w:t>
      </w:r>
    </w:p>
    <w:p>
      <w:pPr>
        <w:pStyle w:val="BodyText"/>
      </w:pPr>
      <w:r>
        <w:t>Бесплатный PDF не равен открытому лицензионному файлу. Официальные Mission Ougarit RSO XII PDFs особенно ценны, но в отсутствии явной лицензии их безопасный режим - LINK_OK, FREE_READ, FREE_DOWNLOAD и LOCAL_RESEARCH_COPY. То же относится к ряду ISAC, музейных и Zenodo-объектов, где право загрузки не даёт право публично раздавать копию.</w:t>
      </w:r>
    </w:p>
    <w:p>
      <w:pPr>
        <w:pStyle w:val="Heading2"/>
        <w:keepNext/>
      </w:pPr>
      <w:r>
        <w:t>4.3. OCR, полнотекстовая индексация и embeddings</w:t>
      </w:r>
    </w:p>
    <w:p>
      <w:pPr>
        <w:pStyle w:val="BodyText"/>
      </w:pPr>
      <w:r>
        <w:t>В реестре 22 записей получили OCR_OK, 47 - FULLTEXT_INDEX_OK, 49 - EMBEDDINGS_OK. Эти действия разделены намеренно. OCR свободного факсимиле может быть допустим, но публикация OCR современного издания - уже иное действие. Embeddings над локальной исследовательской копией могут быть технически возможны, но публичная выдача восстановимых фрагментов защищённого текста остаётся рискованной.</w:t>
      </w:r>
    </w:p>
    <w:p>
      <w:pPr>
        <w:pStyle w:val="BodyText"/>
      </w:pPr>
      <w:r>
        <w:t>Для открытых EpiDoc/TEI datasets индекс и embeddings можно строить в пределах лицензии. Для protected editions безопаснее хранить только библиографические метаданные, собственные заметки и невосстановимые аналитические признаки, не публикуя существенные фрагменты.</w:t>
      </w:r>
    </w:p>
    <w:p>
      <w:pPr>
        <w:pStyle w:val="Heading2"/>
        <w:keepNext/>
      </w:pPr>
      <w:r>
        <w:t>4.4. Основа для собственного перевода ToS</w:t>
      </w:r>
    </w:p>
    <w:p>
      <w:pPr>
        <w:pStyle w:val="BodyText"/>
      </w:pPr>
      <w:r>
        <w:t>Тег OWN_TRANSLATION_POSSIBLE присутствует у 41 записей, но почти всегда ограничен single_witness, selected_sections или конкретным dataset. Наиболее чистые основы:</w:t>
      </w:r>
    </w:p>
    <w:p>
      <w:pPr>
        <w:pStyle w:val="ListBullet"/>
      </w:pPr>
      <w:r>
        <w:t>EUPT CC BY-SA transcription for specific Ugaritic tablets.</w:t>
      </w:r>
    </w:p>
    <w:p>
      <w:pPr>
        <w:pStyle w:val="ListBullet"/>
      </w:pPr>
      <w:r>
        <w:t>I.Sicily and IRT EpiDoc transcriptions for specific Punic/Neo-Punic inscriptions.</w:t>
      </w:r>
    </w:p>
    <w:p>
      <w:pPr>
        <w:pStyle w:val="ListBullet"/>
      </w:pPr>
      <w:r>
        <w:t>Public-domain CIS/Lidzbarski/Cooke transcriptions and plates, with the caveat of obsolete readings.</w:t>
      </w:r>
    </w:p>
    <w:p>
      <w:pPr>
        <w:pStyle w:val="ListBullet"/>
      </w:pPr>
      <w:r>
        <w:t>CC BY-SA photograph of the Ahiram inscription, limited to legible signs in that image.</w:t>
      </w:r>
    </w:p>
    <w:p>
      <w:pPr>
        <w:pStyle w:val="ListBullet"/>
      </w:pPr>
      <w:r>
        <w:t>Open Greek/Latin TEI for late preservation witnesses such as Eusebius and Plautus.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" w:space="0" w:color="EAF3F5"/>
          <w:left w:val="single" w:sz="1" w:space="0" w:color="EAF3F5"/>
          <w:bottom w:val="single" w:sz="1" w:space="0" w:color="EAF3F5"/>
          <w:right w:val="single" w:sz="1" w:space="0" w:color="EAF3F5"/>
          <w:insideH w:val="single" w:sz="1" w:space="0" w:color="EAF3F5"/>
          <w:insideV w:val="single" w:sz="1" w:space="0" w:color="EAF3F5"/>
        </w:tblBorders>
      </w:tblPr>
      <w:tblGrid>
        <w:gridCol w:w="9866"/>
      </w:tblGrid>
      <w:tr>
        <w:tc>
          <w:tcPr>
            <w:tcW w:type="dxa" w:w="9866"/>
            <w:shd w:fill="EAF3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4A5B"/>
              </w:rPr>
              <w:t>Граница OWN_TRANSLATION_POSSIBLE</w:t>
            </w:r>
            <w:r>
              <w:br/>
              <w:t>Ни одна запись не даёт автоматического права объявить свободным перевод всего KTU, всего KAI или утраченного финикийско-пунического книжного корпуса. Если доступный текст зависит от защищённой современной реконструкции, нужен отдельный rights review или независимая работа по открытому оригинальному свидетельству.</w:t>
            </w:r>
          </w:p>
        </w:tc>
      </w:tr>
    </w:tbl>
    <w:p>
      <w:pPr>
        <w:pStyle w:val="Heading1"/>
        <w:keepNext/>
      </w:pPr>
      <w:r>
        <w:t>5. Характерные правовые тонкости</w:t>
      </w:r>
    </w:p>
    <w:p>
      <w:pPr>
        <w:pStyle w:val="Heading2"/>
        <w:keepNext/>
      </w:pPr>
      <w:r>
        <w:t>5.1. Древний оригинал и современная версия</w:t>
      </w:r>
    </w:p>
    <w:p>
      <w:pPr>
        <w:pStyle w:val="BodyText"/>
      </w:pPr>
      <w:r>
        <w:t>Угаритский, финикийский или пунический исходный текст находится вне авторского права, но современная реконструкция лакун, критический текст, перевод, комментарий и аппарат могут охраняться. Поэтому Brill/OUP/KTU/KAI нельзя зеркалировать только потому, что табличка или надпись древняя.</w:t>
      </w:r>
    </w:p>
    <w:p>
      <w:pPr>
        <w:pStyle w:val="Heading2"/>
        <w:keepNext/>
      </w:pPr>
      <w:r>
        <w:t>5.2. Текст, данные, код и изображение</w:t>
      </w:r>
    </w:p>
    <w:p>
      <w:pPr>
        <w:pStyle w:val="BodyText"/>
      </w:pPr>
      <w:r>
        <w:t>CDLI, EUPT, I.Sicily, IRT и музеи могут открывать разные компоненты по разным правилам. Открытые метаданные Louvre не означают открытые high-resolution photographs; CC BY data I.Sicily не должны автоматически приписываться внешним изображениям.</w:t>
      </w:r>
    </w:p>
    <w:p>
      <w:pPr>
        <w:pStyle w:val="Heading2"/>
        <w:keepNext/>
      </w:pPr>
      <w:r>
        <w:t>5.3. Public Domain Mark - не лицензия</w:t>
      </w:r>
    </w:p>
    <w:p>
      <w:pPr>
        <w:pStyle w:val="BodyText"/>
      </w:pPr>
      <w:r>
        <w:t>PDM сообщает о статусе объекта, но не создаёт договорную лицензию. Он является сильным item-level сигналом для CIS/Lidzbarski, однако ToS всё равно должен сохранять provenance, проверять юрисдикцию и отличать древнюю пластину от нового OCR/интерфейса.</w:t>
      </w:r>
    </w:p>
    <w:p>
      <w:pPr>
        <w:pStyle w:val="Heading2"/>
        <w:keepNext/>
      </w:pPr>
      <w:r>
        <w:t>5.4. NoDerivatives у RSTI</w:t>
      </w:r>
    </w:p>
    <w:p>
      <w:pPr>
        <w:pStyle w:val="BodyText"/>
      </w:pPr>
      <w:r>
        <w:t>CC BY-NC-ND разрешает некоммерчески делиться неизменённым лицензированным материалом с атрибуцией, но не распространять изменённые версии. Собственные аналитические данные ToS следует хранить отдельно, не выдавая изменённую карточку RSTI за лицензированный объект.</w:t>
      </w:r>
    </w:p>
    <w:p>
      <w:pPr>
        <w:pStyle w:val="Heading2"/>
        <w:keepNext/>
      </w:pPr>
      <w:r>
        <w:t>5.5. ShareAlike и переводы</w:t>
      </w:r>
    </w:p>
    <w:p>
      <w:pPr>
        <w:pStyle w:val="BodyText"/>
      </w:pPr>
      <w:r>
        <w:t>При использовании CC BY-SA материала перевод и адаптированная транскрипция обычно являются adapted material и должны распространяться под совместимой BY-SA лицензией. Это условие касается переработки лицензированного цифрового текста, а не автоматически любой независимой транскрипции с древнего объекта.</w:t>
      </w:r>
    </w:p>
    <w:p>
      <w:pPr>
        <w:pStyle w:val="Heading2"/>
        <w:keepNext/>
      </w:pPr>
      <w:r>
        <w:t>5.6. Некоммерческий режим</w:t>
      </w:r>
    </w:p>
    <w:p>
      <w:pPr>
        <w:pStyle w:val="BodyText"/>
      </w:pPr>
      <w:r>
        <w:t>CC BY-NC-SA у IRT совместим с текущим публичным образовательным ToS, но не должен незаметно перетекать в коммерческий продукт или API. При изменении бизнес-модели потребуется новый обзор прав.</w:t>
      </w:r>
    </w:p>
    <w:p>
      <w:pPr>
        <w:pStyle w:val="Heading2"/>
        <w:keepNext/>
      </w:pPr>
      <w:r>
        <w:t>5.7. Библиотечная выдача и preview</w:t>
      </w:r>
    </w:p>
    <w:p>
      <w:pPr>
        <w:pStyle w:val="BodyText"/>
      </w:pPr>
      <w:r>
        <w:t>Controlled Digital Lending, preview и institutional access - законные и полезные пути, но они не превращают книгу в свободный файл. ToS может давать ссылку и библиографическую карточку, но не извлекать и раздавать защищённый PDF.</w:t>
      </w:r>
    </w:p>
    <w:p>
      <w:pPr>
        <w:pStyle w:val="Heading2"/>
        <w:keepNext/>
      </w:pPr>
      <w:r>
        <w:t>5.8. Поздняя медиация не равна оригиналу</w:t>
      </w:r>
    </w:p>
    <w:p>
      <w:pPr>
        <w:pStyle w:val="BodyText"/>
      </w:pPr>
      <w:r>
        <w:t>Eusebius/Philo/Sanchuniathon, Hanno, Plautus, Josephus, Augustine и Varro открывают важные слои передачи, но их собственные тексты, жанры и полемические цели должны быть видимы. Открытая лицензия греческого или латинского TEI не устраняет историческую дистанцию до утраченного Phoenician/Punic оригинала.</w:t>
      </w:r>
    </w:p>
    <w:p>
      <w:pPr>
        <w:pStyle w:val="Heading1"/>
        <w:keepNext/>
      </w:pPr>
      <w:r>
        <w:t>6. Пробелы и дальнейший поиск</w:t>
      </w:r>
    </w:p>
    <w:p>
      <w:pPr>
        <w:pStyle w:val="BodyText"/>
      </w:pPr>
      <w:r>
        <w:t>Лист gaps содержит 15 конкретных незавершённых направлений. Ниже - десять наиболее полезных follow-up задач, расположенных по отдаче для корпуса, а не по общей исторической значимости.</w:t>
      </w:r>
    </w:p>
    <w:p>
      <w:pPr>
        <w:pStyle w:val="ListNumber"/>
      </w:pPr>
      <w:r>
        <w:t>Разобрать EUPT API/GitLab до item-level: получить стабильные TEI IDs и downloads для всех KTU 1.1-1.6, 1.14-1.22; построить KTU ↔ RS ↔ EUPT concordance.</w:t>
      </w:r>
    </w:p>
    <w:p>
      <w:pPr>
        <w:pStyle w:val="ListNumber"/>
      </w:pPr>
      <w:r>
        <w:t>Собрать отдельный подреестр угаритских лексических и билингвальных списков с точными RS/KTU номерами, текстом, изображениями и компонентными правами.</w:t>
      </w:r>
    </w:p>
    <w:p>
      <w:pPr>
        <w:pStyle w:val="ListNumber"/>
      </w:pPr>
      <w:r>
        <w:t>Сделать репрезентативный item-level набор писем, договоров и административно-хозяйственных текстов Угарита вместо одной общей portal-ссылки.</w:t>
      </w:r>
    </w:p>
    <w:p>
      <w:pPr>
        <w:pStyle w:val="ListNumber"/>
      </w:pPr>
      <w:r>
        <w:t>Идентифицировать медицинские и hippiatric witnesses Угарита; проверить, существуют ли открытые транслитерации и факсимиле.</w:t>
      </w:r>
    </w:p>
    <w:p>
      <w:pPr>
        <w:pStyle w:val="ListNumber"/>
      </w:pPr>
      <w:r>
        <w:t>Найти официальный item record саркофага Ахирама в National Museum of Beirut и item-level условия фотографий; параллельно добавить Tabnit/KAI 13.</w:t>
      </w:r>
    </w:p>
    <w:p>
      <w:pPr>
        <w:pStyle w:val="ListNumber"/>
      </w:pPr>
      <w:r>
        <w:t>Повторно проверить Phoinikeia после восстановления сервиса: извлечь стабильные item URLs, форматы, API и точную лицензию.</w:t>
      </w:r>
    </w:p>
    <w:p>
      <w:pPr>
        <w:pStyle w:val="ListNumber"/>
      </w:pPr>
      <w:r>
        <w:t>Найти авторитетный открытый KAI ↔ CIS ↔ museum concordance либо подготовить собственный только из лицензированных метаданных.</w:t>
      </w:r>
    </w:p>
    <w:p>
      <w:pPr>
        <w:pStyle w:val="ListNumber"/>
      </w:pPr>
      <w:r>
        <w:t>Для Idalion, Marseille Tariff и Quintus Marcius найти полные открытые транскрипции и отдельно подтвердить права на изображения.</w:t>
      </w:r>
    </w:p>
    <w:p>
      <w:pPr>
        <w:pStyle w:val="ListNumber"/>
      </w:pPr>
      <w:r>
        <w:t>Собрать полный список Mago fragments/testimonia по Varro, Columella, Pliny и другим авторам с открытыми Latin/Greek sources; не смешивать testimonia с реконструкцией.</w:t>
      </w:r>
    </w:p>
    <w:p>
      <w:pPr>
        <w:pStyle w:val="ListNumber"/>
      </w:pPr>
      <w:r>
        <w:t>Найти современное критическое издание Sanchuniathon/Philo fragments и расширить поздний Punic слой по Augustine/Latino-Punic, сохраняя distinction original - witness - modern edition.</w:t>
      </w:r>
    </w:p>
    <w:p>
      <w:pPr>
        <w:pStyle w:val="Heading2"/>
        <w:keepNext/>
      </w:pPr>
      <w:r>
        <w:t>6.1. Основные не полностью покрытые объекты</w:t>
      </w:r>
    </w:p>
    <w:p>
      <w:pPr>
        <w:pStyle w:val="ListBullet"/>
      </w:pPr>
      <w:r>
        <w:t>Полный KTU/CAT corpus: lawful borrow/purchase found, but not complete openly licensed digital text.</w:t>
      </w:r>
    </w:p>
    <w:p>
      <w:pPr>
        <w:pStyle w:val="ListBullet"/>
      </w:pPr>
      <w:r>
        <w:t>Kirta, Aqhat and Rapiʾuma: work-level EUPT access found; stable item-level downloads remain incomplete.</w:t>
      </w:r>
    </w:p>
    <w:p>
      <w:pPr>
        <w:pStyle w:val="ListBullet"/>
      </w:pPr>
      <w:r>
        <w:t>Lexical lists, letters/contracts and medical texts: known as corpus categories from the DR, but representative item-level access remains a gap.</w:t>
      </w:r>
    </w:p>
    <w:p>
      <w:pPr>
        <w:pStyle w:val="ListBullet"/>
      </w:pPr>
      <w:r>
        <w:t>Marseille Tariff and Idalion bilingual: official metadata found, but a clean openly licensed transcription/facsimile was not established.</w:t>
      </w:r>
    </w:p>
    <w:p>
      <w:pPr>
        <w:pStyle w:val="ListBullet"/>
      </w:pPr>
      <w:r>
        <w:t>Mago and Sanchuniathon: preservation witnesses found; comprehensive modern critical fragment access remains incomplete.</w:t>
      </w:r>
    </w:p>
    <w:p>
      <w:pPr>
        <w:pStyle w:val="Heading2"/>
        <w:keepNext/>
      </w:pPr>
      <w:r>
        <w:t>6.2. Ссылки и права, требующие ручной проверки</w:t>
      </w:r>
    </w:p>
    <w:p>
      <w:pPr>
        <w:pStyle w:val="BodyText"/>
      </w:pPr>
      <w:r>
        <w:t>Во время автоматической проверки Phoinikeia был временно недоступен; British Museum item pages returned 403 to automated access; Loeb’s Poenulus URL returned an internal error. Эти записи сохранены как полезные законные входы, но получили verification notes и не использовались для сильных рекомендаций по повторному размещению.</w:t>
      </w:r>
    </w:p>
    <w:p>
      <w:pPr>
        <w:pStyle w:val="BodyText"/>
      </w:pPr>
      <w:r>
        <w:t>Наиболее заметные rights_unknown/review_required zones: Ugarit Texts Database на Zenodo без явно найденной лицензии, Mission Ougarit PDFs без open licence, Phoinikeia component rights, British Museum item-level image eligibility, Louvre medium photographs, Museo ETRU images, historical scans with only inferred public-domain status.</w:t>
      </w:r>
    </w:p>
    <w:p>
      <w:pPr>
        <w:pStyle w:val="Heading1"/>
        <w:keepNext/>
      </w:pPr>
      <w: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7D2D9"/>
          <w:left w:val="single" w:sz="4" w:space="0" w:color="C7D2D9"/>
          <w:bottom w:val="single" w:sz="4" w:space="0" w:color="C7D2D9"/>
          <w:right w:val="single" w:sz="4" w:space="0" w:color="C7D2D9"/>
          <w:insideH w:val="single" w:sz="4" w:space="0" w:color="C7D2D9"/>
          <w:insideV w:val="single" w:sz="4" w:space="0" w:color="C7D2D9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2721"/>
            <w:shd w:fill="EAF3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Охват корпуса</w:t>
            </w:r>
          </w:p>
        </w:tc>
        <w:tc>
          <w:tcPr>
            <w:tcW w:type="dxa" w:w="623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Высокий для основных угаритских поэтических текстов, ритуального корпуса, главных финикийско-пунических якорей, старых корпусов и поздней передачи; средний для лексических, административных и медицинских жанров.</w:t>
            </w:r>
          </w:p>
        </w:tc>
      </w:tr>
      <w:tr>
        <w:trPr>
          <w:cantSplit/>
        </w:trPr>
        <w:tc>
          <w:tcPr>
            <w:tcW w:type="dxa" w:w="2721"/>
            <w:shd w:fill="F6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Доступность оригиналов</w:t>
            </w:r>
          </w:p>
        </w:tc>
        <w:tc>
          <w:tcPr>
            <w:tcW w:type="dxa" w:w="6237"/>
            <w:shd w:fill="FAFAFA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Хорошая для выбранных EUPT транскрипций и открытой эпиграфики; неровная для полного KTU/CAT и музейных high-resolution изображений.</w:t>
            </w:r>
          </w:p>
        </w:tc>
      </w:tr>
      <w:tr>
        <w:trPr>
          <w:cantSplit/>
        </w:trPr>
        <w:tc>
          <w:tcPr>
            <w:tcW w:type="dxa" w:w="2721"/>
            <w:shd w:fill="EAF3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Доступность переводов</w:t>
            </w:r>
          </w:p>
        </w:tc>
        <w:tc>
          <w:tcPr>
            <w:tcW w:type="dxa" w:w="623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Современные научные переводы доступны преимущественно через покупку/библиотеки; свободные старые переводы существуют, но неполны и филологически устарели.</w:t>
            </w:r>
          </w:p>
        </w:tc>
      </w:tr>
      <w:tr>
        <w:trPr>
          <w:cantSplit/>
        </w:trPr>
        <w:tc>
          <w:tcPr>
            <w:tcW w:type="dxa" w:w="2721"/>
            <w:shd w:fill="F6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Наиболее свободный слой</w:t>
            </w:r>
          </w:p>
        </w:tc>
        <w:tc>
          <w:tcPr>
            <w:tcW w:type="dxa" w:w="6237"/>
            <w:shd w:fill="FAFAFA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EUPT CC BY-SA, I.Sicily CC BY, IRT CC BY-NC-SA, Perseus/OpenGreekAndLatin CC BY-SA, Wikimedia Commons CC BY-SA и публичнодоменные CIS/Lidzbarski.</w:t>
            </w:r>
          </w:p>
        </w:tc>
      </w:tr>
      <w:tr>
        <w:trPr>
          <w:cantSplit/>
        </w:trPr>
        <w:tc>
          <w:tcPr>
            <w:tcW w:type="dxa" w:w="2721"/>
            <w:shd w:fill="EAF3F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Главные ограничения</w:t>
            </w:r>
          </w:p>
        </w:tc>
        <w:tc>
          <w:tcPr>
            <w:tcW w:type="dxa" w:w="6237"/>
            <w:shd w:fill="FFFFFF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Современные критические издания и переводы; смешанные музейные права; неполные item-level concordances; утраченный Phoenician-Punic book corpus; неодинаковая полнота EUPT.</w:t>
            </w:r>
          </w:p>
        </w:tc>
      </w:tr>
      <w:tr>
        <w:trPr>
          <w:cantSplit/>
        </w:trPr>
        <w:tc>
          <w:tcPr>
            <w:tcW w:type="dxa" w:w="2721"/>
            <w:shd w:fill="F6FAFB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74A5B"/>
              </w:rPr>
              <w:t>Готовность к Codex</w:t>
            </w:r>
          </w:p>
        </w:tc>
        <w:tc>
          <w:tcPr>
            <w:tcW w:type="dxa" w:w="6237"/>
            <w:shd w:fill="FAFAFA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Да. Реестр содержит 89 нормализованных способов доступа с A11-R001-A11-R089, 32 обязательными полями, отдельным листом из 15 gaps и построчными evidence URLs.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" w:space="0" w:color="EAF3F5"/>
          <w:left w:val="single" w:sz="1" w:space="0" w:color="EAF3F5"/>
          <w:bottom w:val="single" w:sz="1" w:space="0" w:color="EAF3F5"/>
          <w:right w:val="single" w:sz="1" w:space="0" w:color="EAF3F5"/>
          <w:insideH w:val="single" w:sz="1" w:space="0" w:color="EAF3F5"/>
          <w:insideV w:val="single" w:sz="1" w:space="0" w:color="EAF3F5"/>
        </w:tblBorders>
      </w:tblPr>
      <w:tblGrid>
        <w:gridCol w:w="9866"/>
      </w:tblGrid>
      <w:tr>
        <w:tc>
          <w:tcPr>
            <w:tcW w:type="dxa" w:w="9866"/>
            <w:shd w:fill="EAF3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174A5B"/>
              </w:rPr>
              <w:t>Вердикт</w:t>
            </w:r>
            <w:r>
              <w:br/>
              <w:t>Пакет пригоден для передачи Codex как исследовательский слой. Он не заменяет глобальную дедупликацию и онтологию, но уже разделяет произведение, редакцию, цифровой объект, доступ, rights scope и практическое действие ToS. Статус мастер-строки остаётся B.</w:t>
            </w:r>
          </w:p>
        </w:tc>
      </w:tr>
    </w:tbl>
    <w:p>
      <w:pPr>
        <w:pStyle w:val="Heading2"/>
        <w:keepNext/>
      </w:pPr>
      <w:r>
        <w:t>Файлы пакета</w:t>
      </w:r>
    </w:p>
    <w:p>
      <w:pPr>
        <w:pStyle w:val="BodyText"/>
      </w:pPr>
      <w:r>
        <w:t>1. ToS_Corpus_Rights_A11_registry.xlsx - основной лист registry и лист gaps.</w:t>
      </w:r>
    </w:p>
    <w:p>
      <w:pPr>
        <w:pStyle w:val="BodyText"/>
      </w:pPr>
      <w:r>
        <w:t>2. ToS_Corpus_Rights_A11_report.docx - данный человекочитаемый отчёт.</w:t>
      </w:r>
    </w:p>
    <w:p>
      <w:pPr>
        <w:spacing w:before="240" w:after="0"/>
        <w:jc w:val="center"/>
      </w:pPr>
      <w:r>
        <w:rPr>
          <w:color w:val="4B5563"/>
          <w:sz w:val="17"/>
        </w:rPr>
        <w:t>ToS / Древо Софии  •  A11  •  Corpus &amp; Rights Registry  •  2026-09-03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4B5563"/>
        <w:sz w:val="17"/>
      </w:rPr>
      <w:t>A11  •  Проверено 2026-09-03</w:t>
    </w:r>
    <w:r>
      <w:t xml:space="preserve"> 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B5563"/>
        <w:sz w:val="17"/>
      </w:rPr>
      <w:t>ToS / Древо Софии  •  Corpus &amp; Rights Registry  •  A11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Aptos" w:hAnsi="Aptos" w:eastAsia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A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A5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40" w:after="10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6B3A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50" w:lineRule="auto"/>
      <w:contextualSpacing/>
    </w:pPr>
    <w:rPr>
      <w:rFonts w:ascii="Aptos" w:hAnsi="Aptos"/>
      <w:color w:val="1F293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50" w:lineRule="auto"/>
      <w:contextualSpacing/>
    </w:pPr>
    <w:rPr>
      <w:rFonts w:ascii="Aptos" w:hAnsi="Aptos"/>
      <w:color w:val="1F2937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50" w:lineRule="auto"/>
      <w:contextualSpacing/>
    </w:pPr>
    <w:rPr>
      <w:rFonts w:ascii="Aptos" w:hAnsi="Aptos"/>
      <w:color w:val="1F293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">
    <w:name w:val="BodyText"/>
    <w:pPr>
      <w:widowControl/>
      <w:spacing w:after="120" w:line="259" w:lineRule="auto"/>
    </w:pPr>
    <w:rPr>
      <w:rFonts w:ascii="Aptos" w:hAnsi="Aptos" w:eastAsia="Aptos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upt.uni-goettingen.de/edition.html" TargetMode="External"/><Relationship Id="rId12" Type="http://schemas.openxmlformats.org/officeDocument/2006/relationships/hyperlink" Target="https://eupt.uni-goettingen.de/Technische-Dokumentation.html" TargetMode="External"/><Relationship Id="rId13" Type="http://schemas.openxmlformats.org/officeDocument/2006/relationships/hyperlink" Target="https://eupt.uni-goettingen.de/assets/images-content/Steinberger_KTU_1.1.pdf" TargetMode="External"/><Relationship Id="rId14" Type="http://schemas.openxmlformats.org/officeDocument/2006/relationships/hyperlink" Target="https://brill.com/display/title/1061" TargetMode="External"/><Relationship Id="rId15" Type="http://schemas.openxmlformats.org/officeDocument/2006/relationships/hyperlink" Target="https://archive.org/details/religioustextsfr0000wyat" TargetMode="External"/><Relationship Id="rId16" Type="http://schemas.openxmlformats.org/officeDocument/2006/relationships/hyperlink" Target="https://www.mission-ougarit.fr/wp-content/pdf/mission_ougarit_publication_rso_121.pdf" TargetMode="External"/><Relationship Id="rId17" Type="http://schemas.openxmlformats.org/officeDocument/2006/relationships/hyperlink" Target="https://www.mission-ougarit.fr/wp-content/pdf/mission_ougarit_publication_rso_122.pdf" TargetMode="External"/><Relationship Id="rId18" Type="http://schemas.openxmlformats.org/officeDocument/2006/relationships/hyperlink" Target="https://isac.uchicago.edu/sites/default/files/uploads/shared/docs/nn172.pdf" TargetMode="External"/><Relationship Id="rId19" Type="http://schemas.openxmlformats.org/officeDocument/2006/relationships/hyperlink" Target="https://brill.com/display/title/7756" TargetMode="External"/><Relationship Id="rId20" Type="http://schemas.openxmlformats.org/officeDocument/2006/relationships/hyperlink" Target="https://archive.org/details/cuneiformalphabe0008unse" TargetMode="External"/><Relationship Id="rId21" Type="http://schemas.openxmlformats.org/officeDocument/2006/relationships/hyperlink" Target="https://www.nli.org.il/en/books/NNL_ALEPH990036648410205171/NLI" TargetMode="External"/><Relationship Id="rId22" Type="http://schemas.openxmlformats.org/officeDocument/2006/relationships/hyperlink" Target="https://ochre.lib.uchicago.edu/RSTI/" TargetMode="External"/><Relationship Id="rId23" Type="http://schemas.openxmlformats.org/officeDocument/2006/relationships/hyperlink" Target="https://cdli.earth/search" TargetMode="External"/><Relationship Id="rId24" Type="http://schemas.openxmlformats.org/officeDocument/2006/relationships/hyperlink" Target="https://archive.org/details/CorpusInscriptionumSemiticarumI1" TargetMode="External"/><Relationship Id="rId25" Type="http://schemas.openxmlformats.org/officeDocument/2006/relationships/hyperlink" Target="https://archive.org/details/bub_gb_ejZbAAAAQAAJ" TargetMode="External"/><Relationship Id="rId26" Type="http://schemas.openxmlformats.org/officeDocument/2006/relationships/hyperlink" Target="https://archive.org/details/bub_gb_UzZbAAAAQAAJ" TargetMode="External"/><Relationship Id="rId27" Type="http://schemas.openxmlformats.org/officeDocument/2006/relationships/hyperlink" Target="https://www.harrassowitz-verlag.de/title_544.ahtml" TargetMode="External"/><Relationship Id="rId28" Type="http://schemas.openxmlformats.org/officeDocument/2006/relationships/hyperlink" Target="https://brill.com/display/title/6978" TargetMode="External"/><Relationship Id="rId29" Type="http://schemas.openxmlformats.org/officeDocument/2006/relationships/hyperlink" Target="https://www.mohrsiebeck.com/en/book/handbook-of-neo-punic-inscriptions-9783161672538/" TargetMode="External"/><Relationship Id="rId30" Type="http://schemas.openxmlformats.org/officeDocument/2006/relationships/hyperlink" Target="https://isicily.org/how-to/" TargetMode="External"/><Relationship Id="rId31" Type="http://schemas.openxmlformats.org/officeDocument/2006/relationships/hyperlink" Target="https://github.com/ISicily/ISicily" TargetMode="External"/><Relationship Id="rId32" Type="http://schemas.openxmlformats.org/officeDocument/2006/relationships/hyperlink" Target="https://kcl.figshare.com/articles/dataset/Inscriptions_of_Roman_Tripolitania_2021_The_EpiDoc_files/19312202" TargetMode="External"/><Relationship Id="rId33" Type="http://schemas.openxmlformats.org/officeDocument/2006/relationships/hyperlink" Target="https://commons.wikimedia.org/wiki/File:National_Museum_of_Beirut_%E2%80%93_Ahiram_sarcophagus_inscription_1.jpg" TargetMode="External"/><Relationship Id="rId34" Type="http://schemas.openxmlformats.org/officeDocument/2006/relationships/hyperlink" Target="https://collections.louvre.fr/en/ark:/53355/cl010120357" TargetMode="External"/><Relationship Id="rId35" Type="http://schemas.openxmlformats.org/officeDocument/2006/relationships/hyperlink" Target="https://www.britishmuseum.org/collection/object/W_1872-0816-84" TargetMode="External"/><Relationship Id="rId36" Type="http://schemas.openxmlformats.org/officeDocument/2006/relationships/hyperlink" Target="https://www.museoetru.it/works/lamine-doro-da-pyrgi" TargetMode="External"/><Relationship Id="rId37" Type="http://schemas.openxmlformats.org/officeDocument/2006/relationships/hyperlink" Target="https://musees.marseille.fr/tarif-sacrificiel-de-marseille" TargetMode="External"/><Relationship Id="rId38" Type="http://schemas.openxmlformats.org/officeDocument/2006/relationships/hyperlink" Target="https://raw.githubusercontent.com/OpenGreekAndLatin/First1KGreek/master/data/tlg2018/tlg001/tlg2018.tlg001.1st1K-grc1.xml" TargetMode="External"/><Relationship Id="rId39" Type="http://schemas.openxmlformats.org/officeDocument/2006/relationships/hyperlink" Target="https://raw.githubusercontent.com/PerseusDL/canonical-latinLit/master/data/phi0119/phi015/phi0119.phi015.perseus-lat2.xml" TargetMode="External"/><Relationship Id="rId40" Type="http://schemas.openxmlformats.org/officeDocument/2006/relationships/hyperlink" Target="https://penelope.uchicago.edu/Thayer/e/roman/texts/varro/de_re_rustica/1%2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A11</dc:title>
  <dc:subject>Угарит и ранний северо-западносемитский алфавитный мир</dc:subject>
  <dc:creator>ToS / Древо Софии</dc:creator>
  <cp:keywords>ToS, A11, Ugarit, Phoenician, Punic, corpus, rights, access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