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66"/>
      </w:tblGrid>
      <w:tr>
        <w:trPr>
          <w:cantSplit/>
        </w:trPr>
        <w:tc>
          <w:tcPr>
            <w:tcW w:type="dxa" w:w="9865"/>
            <w:shd w:fill="173A4F" w:val="clear"/>
            <w:tcMar>
              <w:top w:w="260" w:type="dxa"/>
              <w:start w:w="250" w:type="dxa"/>
              <w:bottom w:w="260" w:type="dxa"/>
              <w:end w:w="250" w:type="dxa"/>
            </w:tcMar>
          </w:tcPr>
          <w:p>
            <w:pPr>
              <w:jc w:val="center"/>
            </w:pPr>
            <w:r>
              <w:rPr>
                <w:rFonts w:ascii="Noto Sans" w:hAnsi="Noto Sans" w:eastAsia="Noto Sans" w:cs="Noto Sans"/>
                <w:b/>
                <w:color w:val="FFFFFF"/>
                <w:sz w:val="36"/>
              </w:rPr>
              <w:t>ToS CORPUS &amp; RIGHTS REGISTRY</w:t>
            </w:r>
          </w:p>
          <w:p>
            <w:pPr>
              <w:jc w:val="center"/>
            </w:pPr>
            <w:r>
              <w:rPr>
                <w:rFonts w:ascii="Noto Serif" w:hAnsi="Noto Serif" w:eastAsia="Noto Serif" w:cs="Noto Serif"/>
                <w:b/>
                <w:color w:val="FFFFFF"/>
                <w:sz w:val="44"/>
              </w:rPr>
              <w:t>A25 — Европа — Классическая афинская философия</w:t>
            </w:r>
          </w:p>
          <w:p>
            <w:pPr>
              <w:jc w:val="center"/>
            </w:pPr>
            <w:r>
              <w:rPr>
                <w:rFonts w:ascii="Noto Sans" w:hAnsi="Noto Sans" w:eastAsia="Noto Sans" w:cs="Noto Sans"/>
                <w:color w:val="D9E8EE"/>
                <w:sz w:val="22"/>
              </w:rPr>
              <w:t>Карта законного доступа, цифровой сохранности и практического использования для ToS</w:t>
            </w:r>
          </w:p>
        </w:tc>
      </w:tr>
    </w:tbl>
    <w:p>
      <w:pPr>
        <w:spacing w:after="60"/>
      </w:pP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466"/>
        <w:gridCol w:w="2466"/>
        <w:gridCol w:w="2466"/>
        <w:gridCol w:w="2466"/>
      </w:tblGrid>
      <w:tr>
        <w:trPr>
          <w:cantSplit/>
        </w:trPr>
        <w:tc>
          <w:tcPr>
            <w:tcW w:type="dxa" w:w="2466"/>
            <w:shd w:fill="EAF3F6" w:val="clear"/>
            <w:tcMar>
              <w:top w:w="170" w:type="dxa"/>
              <w:start w:w="100" w:type="dxa"/>
              <w:bottom w:w="150" w:type="dxa"/>
              <w:end w:w="100" w:type="dxa"/>
            </w:tcMar>
          </w:tcPr>
          <w:p>
            <w:pPr>
              <w:jc w:val="center"/>
            </w:pPr>
            <w:r>
              <w:rPr>
                <w:rFonts w:ascii="Noto Sans" w:hAnsi="Noto Sans" w:eastAsia="Noto Sans" w:cs="Noto Sans"/>
                <w:b/>
                <w:color w:val="173A4F"/>
                <w:sz w:val="36"/>
              </w:rPr>
              <w:t>A</w:t>
            </w:r>
          </w:p>
          <w:p>
            <w:pPr>
              <w:jc w:val="center"/>
            </w:pPr>
            <w:r>
              <w:rPr>
                <w:rFonts w:ascii="Noto Sans" w:hAnsi="Noto Sans" w:eastAsia="Noto Sans" w:cs="Noto Sans"/>
                <w:color w:val="5B6670"/>
                <w:sz w:val="17"/>
              </w:rPr>
              <w:t>исходный статус</w:t>
            </w:r>
          </w:p>
        </w:tc>
        <w:tc>
          <w:tcPr>
            <w:tcW w:type="dxa" w:w="2466"/>
            <w:shd w:fill="E9F4F2" w:val="clear"/>
            <w:tcMar>
              <w:top w:w="170" w:type="dxa"/>
              <w:start w:w="100" w:type="dxa"/>
              <w:bottom w:w="150" w:type="dxa"/>
              <w:end w:w="100" w:type="dxa"/>
            </w:tcMar>
          </w:tcPr>
          <w:p>
            <w:pPr>
              <w:jc w:val="center"/>
            </w:pPr>
            <w:r>
              <w:rPr>
                <w:rFonts w:ascii="Noto Sans" w:hAnsi="Noto Sans" w:eastAsia="Noto Sans" w:cs="Noto Sans"/>
                <w:b/>
                <w:color w:val="173A4F"/>
                <w:sz w:val="36"/>
              </w:rPr>
              <w:t>135</w:t>
            </w:r>
          </w:p>
          <w:p>
            <w:pPr>
              <w:jc w:val="center"/>
            </w:pPr>
            <w:r>
              <w:rPr>
                <w:rFonts w:ascii="Noto Sans" w:hAnsi="Noto Sans" w:eastAsia="Noto Sans" w:cs="Noto Sans"/>
                <w:color w:val="5B6670"/>
                <w:sz w:val="17"/>
              </w:rPr>
              <w:t>способов доступа</w:t>
            </w:r>
          </w:p>
        </w:tc>
        <w:tc>
          <w:tcPr>
            <w:tcW w:type="dxa" w:w="2466"/>
            <w:shd w:fill="EAF3F6" w:val="clear"/>
            <w:tcMar>
              <w:top w:w="170" w:type="dxa"/>
              <w:start w:w="100" w:type="dxa"/>
              <w:bottom w:w="150" w:type="dxa"/>
              <w:end w:w="100" w:type="dxa"/>
            </w:tcMar>
          </w:tcPr>
          <w:p>
            <w:pPr>
              <w:jc w:val="center"/>
            </w:pPr>
            <w:r>
              <w:rPr>
                <w:rFonts w:ascii="Noto Sans" w:hAnsi="Noto Sans" w:eastAsia="Noto Sans" w:cs="Noto Sans"/>
                <w:b/>
                <w:color w:val="173A4F"/>
                <w:sz w:val="36"/>
              </w:rPr>
              <w:t>100</w:t>
            </w:r>
          </w:p>
          <w:p>
            <w:pPr>
              <w:jc w:val="center"/>
            </w:pPr>
            <w:r>
              <w:rPr>
                <w:rFonts w:ascii="Noto Sans" w:hAnsi="Noto Sans" w:eastAsia="Noto Sans" w:cs="Noto Sans"/>
                <w:color w:val="5B6670"/>
                <w:sz w:val="17"/>
              </w:rPr>
              <w:t>уникальных title-level меток</w:t>
            </w:r>
          </w:p>
        </w:tc>
        <w:tc>
          <w:tcPr>
            <w:tcW w:type="dxa" w:w="2466"/>
            <w:shd w:fill="E9F4F2" w:val="clear"/>
            <w:tcMar>
              <w:top w:w="170" w:type="dxa"/>
              <w:start w:w="100" w:type="dxa"/>
              <w:bottom w:w="150" w:type="dxa"/>
              <w:end w:w="100" w:type="dxa"/>
            </w:tcMar>
          </w:tcPr>
          <w:p>
            <w:pPr>
              <w:jc w:val="center"/>
            </w:pPr>
            <w:r>
              <w:rPr>
                <w:rFonts w:ascii="Noto Sans" w:hAnsi="Noto Sans" w:eastAsia="Noto Sans" w:cs="Noto Sans"/>
                <w:b/>
                <w:color w:val="173A4F"/>
                <w:sz w:val="36"/>
              </w:rPr>
              <w:t>15</w:t>
            </w:r>
          </w:p>
          <w:p>
            <w:pPr>
              <w:jc w:val="center"/>
            </w:pPr>
            <w:r>
              <w:rPr>
                <w:rFonts w:ascii="Noto Sans" w:hAnsi="Noto Sans" w:eastAsia="Noto Sans" w:cs="Noto Sans"/>
                <w:color w:val="5B6670"/>
                <w:sz w:val="17"/>
              </w:rPr>
              <w:t>зафиксированных пробелов</w:t>
            </w:r>
          </w:p>
        </w:tc>
      </w:tr>
    </w:tbl>
    <w:p>
      <w:pPr>
        <w:spacing w:after="80"/>
      </w:pP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4933"/>
        <w:gridCol w:w="4933"/>
      </w:tblGrid>
      <w:tr>
        <w:trPr>
          <w:tblHeader w:val="true"/>
          <w:cantSplit/>
        </w:trPr>
        <w:tc>
          <w:tcPr>
            <w:tcW w:type="dxa" w:w="2324"/>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Поле</w:t>
            </w:r>
          </w:p>
        </w:tc>
        <w:tc>
          <w:tcPr>
            <w:tcW w:type="dxa" w:w="7427"/>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Значение</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ID / строка</w:t>
            </w:r>
          </w:p>
        </w:tc>
        <w:tc>
          <w:tcPr>
            <w:tcW w:type="dxa" w:w="742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A25 / Таблица I, строка 32</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Историческое ядро</w:t>
            </w:r>
          </w:p>
        </w:tc>
        <w:tc>
          <w:tcPr>
            <w:tcW w:type="dxa" w:w="742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c. 450–322 до н.э.; письменная фиксация главным образом IV в. до н.э.</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Хронологический ореол</w:t>
            </w:r>
          </w:p>
        </w:tc>
        <w:tc>
          <w:tcPr>
            <w:tcW w:type="dxa" w:w="742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Сократические и досократические входы → эллинистические и позднеантичные комментарии → сирийско-арабская и латинская передача</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Исходный документ</w:t>
            </w:r>
          </w:p>
        </w:tc>
        <w:tc>
          <w:tcPr>
            <w:tcW w:type="dxa" w:w="742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ToS Deep Research_ A25 — Европа — Классическая афинская философия(1).docx</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Дата проверки</w:t>
            </w:r>
          </w:p>
        </w:tc>
        <w:tc>
          <w:tcPr>
            <w:tcW w:type="dxa" w:w="742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2026-09-03</w:t>
            </w:r>
          </w:p>
        </w:tc>
      </w:tr>
    </w:tbl>
    <w:p>
      <w:pPr>
        <w:spacing w:after="40"/>
      </w:pPr>
    </w:p>
    <w:tbl>
      <w:tblPr>
        <w:tblW w:type="auto" w:w="0"/>
        <w:jc w:val="center"/>
        <w:tblLayout w:type="fixed"/>
        <w:tblLook w:firstColumn="1" w:firstRow="1" w:lastColumn="0" w:lastRow="0" w:noHBand="0" w:noVBand="1" w:val="04A0"/>
        <w:tblBorders>
          <w:top w:val="single" w:sz="8" w:space="0" w:color="B88A44"/>
          <w:left w:val="single" w:sz="8" w:space="0" w:color="B88A44"/>
          <w:bottom w:val="single" w:sz="8" w:space="0" w:color="B88A44"/>
          <w:right w:val="single" w:sz="8" w:space="0" w:color="B88A44"/>
          <w:insideH w:val="single" w:sz="8" w:space="0" w:color="B88A44"/>
          <w:insideV w:val="single" w:sz="8" w:space="0" w:color="B88A44"/>
        </w:tblBorders>
      </w:tblPr>
      <w:tblGrid>
        <w:gridCol w:w="9866"/>
      </w:tblGrid>
      <w:tr>
        <w:trPr>
          <w:cantSplit/>
        </w:trPr>
        <w:tc>
          <w:tcPr>
            <w:tcW w:type="dxa" w:w="9751"/>
            <w:shd w:fill="F7F0E3" w:val="clear"/>
            <w:tcMar>
              <w:top w:w="140" w:type="dxa"/>
              <w:start w:w="180" w:type="dxa"/>
              <w:bottom w:w="140" w:type="dxa"/>
              <w:end w:w="180" w:type="dxa"/>
            </w:tcMar>
          </w:tcPr>
          <w:p>
            <w:pPr>
              <w:spacing w:after="60"/>
            </w:pPr>
            <w:r>
              <w:rPr>
                <w:rFonts w:ascii="Noto Sans" w:hAnsi="Noto Sans" w:eastAsia="Noto Sans" w:cs="Noto Sans"/>
                <w:b/>
                <w:color w:val="173A4F"/>
                <w:sz w:val="20"/>
              </w:rPr>
              <w:t>Основной принцип</w:t>
            </w:r>
          </w:p>
          <w:p>
            <w:pPr>
              <w:spacing w:after="0" w:line="252" w:lineRule="auto"/>
            </w:pPr>
            <w:r>
              <w:rPr>
                <w:rFonts w:ascii="Noto Sans" w:hAnsi="Noto Sans" w:eastAsia="Noto Sans" w:cs="Noto Sans"/>
                <w:color w:val="24303A"/>
                <w:sz w:val="19"/>
              </w:rPr>
              <w:t>Реестр не сводит A25 к «канону великих имён». Он разводит платоновский диалог, аристотелевский школьно-трактатный корпус, физические свидетели, позднеантичный комментарий и переводческие линии. Бесплатный доступ не приравнен к праву зеркалирования.</w:t>
            </w:r>
          </w:p>
        </w:tc>
      </w:tr>
    </w:tbl>
    <w:p>
      <w:pPr>
        <w:spacing w:after="20"/>
      </w:pPr>
    </w:p>
    <w:p>
      <w:pPr>
        <w:jc w:val="center"/>
      </w:pPr>
      <w:r>
        <w:rPr>
          <w:rFonts w:ascii="Noto Sans" w:hAnsi="Noto Sans" w:eastAsia="Noto Sans" w:cs="Noto Sans"/>
          <w:i/>
          <w:color w:val="5B6670"/>
          <w:sz w:val="18"/>
        </w:rPr>
        <w:t>Исследовательский отчёт к файлу ToS_Corpus_Rights_A25_registry.xlsx</w:t>
      </w:r>
    </w:p>
    <w:p>
      <w:r>
        <w:br w:type="page"/>
      </w:r>
    </w:p>
    <w:p>
      <w:pPr>
        <w:pStyle w:val="Heading1"/>
        <w:keepNext/>
        <w:keepLines/>
      </w:pPr>
      <w:r>
        <w:rPr>
          <w:rFonts w:ascii="Noto Sans" w:hAnsi="Noto Sans" w:eastAsia="Noto Sans" w:cs="Noto Sans"/>
          <w:b/>
          <w:color w:val="173A4F"/>
          <w:sz w:val="30"/>
        </w:rPr>
        <w:t>1. Паспорт</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4933"/>
        <w:gridCol w:w="4933"/>
      </w:tblGrid>
      <w:tr>
        <w:trPr>
          <w:tblHeader w:val="true"/>
          <w:cantSplit/>
        </w:trPr>
        <w:tc>
          <w:tcPr>
            <w:tcW w:type="dxa" w:w="2494"/>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Параметр</w:t>
            </w:r>
          </w:p>
        </w:tc>
        <w:tc>
          <w:tcPr>
            <w:tcW w:type="dxa" w:w="7257"/>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Зафиксировано</w:t>
            </w:r>
          </w:p>
        </w:tc>
      </w:tr>
      <w:tr>
        <w:trPr>
          <w:cantSplit/>
        </w:trPr>
        <w:tc>
          <w:tcPr>
            <w:tcW w:type="dxa" w:w="249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ID и название</w:t>
            </w:r>
          </w:p>
        </w:tc>
        <w:tc>
          <w:tcPr>
            <w:tcW w:type="dxa" w:w="725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A25 — Европа — Классическая афинская философия</w:t>
            </w:r>
          </w:p>
        </w:tc>
      </w:tr>
      <w:tr>
        <w:trPr>
          <w:cantSplit/>
        </w:trPr>
        <w:tc>
          <w:tcPr>
            <w:tcW w:type="dxa" w:w="249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Исходный статус</w:t>
            </w:r>
          </w:p>
        </w:tc>
        <w:tc>
          <w:tcPr>
            <w:tcW w:type="dxa" w:w="725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A; статус и ID не изменялись</w:t>
            </w:r>
          </w:p>
        </w:tc>
      </w:tr>
      <w:tr>
        <w:trPr>
          <w:cantSplit/>
        </w:trPr>
        <w:tc>
          <w:tcPr>
            <w:tcW w:type="dxa" w:w="249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Исходный DR</w:t>
            </w:r>
          </w:p>
        </w:tc>
        <w:tc>
          <w:tcPr>
            <w:tcW w:type="dxa" w:w="725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ToS Deep Research_ A25 — Европа — Классическая афинская философия(1).docx</w:t>
            </w:r>
          </w:p>
        </w:tc>
      </w:tr>
      <w:tr>
        <w:trPr>
          <w:cantSplit/>
        </w:trPr>
        <w:tc>
          <w:tcPr>
            <w:tcW w:type="dxa" w:w="249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Дата проверки</w:t>
            </w:r>
          </w:p>
        </w:tc>
        <w:tc>
          <w:tcPr>
            <w:tcW w:type="dxa" w:w="725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2026-09-03</w:t>
            </w:r>
          </w:p>
        </w:tc>
      </w:tr>
      <w:tr>
        <w:trPr>
          <w:cantSplit/>
        </w:trPr>
        <w:tc>
          <w:tcPr>
            <w:tcW w:type="dxa" w:w="249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Языки поиска</w:t>
            </w:r>
          </w:p>
        </w:tc>
        <w:tc>
          <w:tcPr>
            <w:tcW w:type="dxa" w:w="725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Русский, английский, древнегреческий (названия и CTS-идентификаторы), латинский, французский, немецкий, итальянский, арабский</w:t>
            </w:r>
          </w:p>
        </w:tc>
      </w:tr>
      <w:tr>
        <w:trPr>
          <w:cantSplit/>
        </w:trPr>
        <w:tc>
          <w:tcPr>
            <w:tcW w:type="dxa" w:w="249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Ядро корпуса</w:t>
            </w:r>
          </w:p>
        </w:tc>
        <w:tc>
          <w:tcPr>
            <w:tcW w:type="dxa" w:w="725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Платоновские диалоги; corpus Aristotelicum; Академия и Ликей как режимы производства знания; ранняя перипатетическая преемственность; позднеантичная комментарийная канонизация</w:t>
            </w:r>
          </w:p>
        </w:tc>
      </w:tr>
      <w:tr>
        <w:trPr>
          <w:cantSplit/>
        </w:trPr>
        <w:tc>
          <w:tcPr>
            <w:tcW w:type="dxa" w:w="249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Искомые типы объектов</w:t>
            </w:r>
          </w:p>
        </w:tc>
        <w:tc>
          <w:tcPr>
            <w:tcW w:type="dxa" w:w="725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Произведения, корпусы, переводы и издания, рукописи и папирусы, критические серии, цифровые тексты/факсимиле, TEI/XML и datasets, каталоги и официальные страницы покупки/подписки</w:t>
            </w:r>
          </w:p>
        </w:tc>
      </w:tr>
      <w:tr>
        <w:trPr>
          <w:cantSplit/>
        </w:trPr>
        <w:tc>
          <w:tcPr>
            <w:tcW w:type="dxa" w:w="249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Классы access source</w:t>
            </w:r>
          </w:p>
        </w:tc>
        <w:tc>
          <w:tcPr>
            <w:tcW w:type="dxa" w:w="725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Scaife/Perseus, Project Gutenberg, Wikisource, Papyri.info/DCLP, Digital Bodleian, DigiVatLib, Gallica/BnF, British Library, HathiTrust, Internet Archive, DCGAS, издатели и подписные базы</w:t>
            </w:r>
          </w:p>
        </w:tc>
      </w:tr>
      <w:tr>
        <w:trPr>
          <w:cantSplit/>
        </w:trPr>
        <w:tc>
          <w:tcPr>
            <w:tcW w:type="dxa" w:w="249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Классы evidence source</w:t>
            </w:r>
          </w:p>
        </w:tc>
        <w:tc>
          <w:tcPr>
            <w:tcW w:type="dxa" w:w="725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Item-level rights statements; project LICENSE/README; официальные Terms of Use; библиотечные политики; издательские и каталожные записи; устойчивые идентификаторы CTS, ARK, DOI, TM/LDAB, OCLC/record IDs</w:t>
            </w:r>
          </w:p>
        </w:tc>
      </w:tr>
      <w:tr>
        <w:trPr>
          <w:cantSplit/>
        </w:trPr>
        <w:tc>
          <w:tcPr>
            <w:tcW w:type="dxa" w:w="249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Слабые навигационные источники</w:t>
            </w:r>
          </w:p>
        </w:tc>
        <w:tc>
          <w:tcPr>
            <w:tcW w:type="dxa" w:w="725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8"/>
              </w:rPr>
              <w:t>Wikipedia не включена ни в один URL итогового XLSX/DOCX. Неподтверждённые item-level кандидаты либо заменены официальными источниками, либо вынесены на лист gaps.</w:t>
            </w:r>
          </w:p>
        </w:tc>
      </w:tr>
    </w:tbl>
    <w:p>
      <w:pPr>
        <w:pStyle w:val="Heading2"/>
        <w:keepNext/>
        <w:keepLines/>
      </w:pPr>
      <w:r>
        <w:rPr>
          <w:rFonts w:ascii="Noto Sans" w:hAnsi="Noto Sans" w:eastAsia="Noto Sans" w:cs="Noto Sans"/>
          <w:b/>
          <w:color w:val="2B6F77"/>
          <w:sz w:val="23"/>
        </w:rPr>
        <w:t>Метод исследования</w:t>
      </w:r>
    </w:p>
    <w:p>
      <w:pPr>
        <w:spacing w:after="100" w:line="259" w:lineRule="auto"/>
      </w:pPr>
      <w:r>
        <w:rPr>
          <w:rFonts w:ascii="Noto Sans" w:hAnsi="Noto Sans" w:eastAsia="Noto Sans" w:cs="Noto Sans"/>
          <w:i w:val="0"/>
          <w:color w:val="24303A"/>
          <w:sz w:val="20"/>
        </w:rPr>
        <w:t>Исходный DR использовался как карта, а не как закрытый каталог. Сначала были извлечены центральные платоновские и аристотелевские произведения, школы, комментарийная линия и указанные цифровые входы. Затем проведены отдельные проходы по ранним свидетельствам, прямым членам тех же корпусов, физическим свидетелям, поздним комментариям и переводческим каналам.</w:t>
      </w:r>
    </w:p>
    <w:p>
      <w:pPr>
        <w:spacing w:after="100" w:line="259" w:lineRule="auto"/>
      </w:pPr>
      <w:r>
        <w:rPr>
          <w:rFonts w:ascii="Noto Sans" w:hAnsi="Noto Sans" w:eastAsia="Noto Sans" w:cs="Noto Sans"/>
          <w:i w:val="0"/>
          <w:color w:val="24303A"/>
          <w:sz w:val="20"/>
        </w:rPr>
        <w:t>Одна строка registry соответствует одному практически отличимому способу доступа: конкретной версии, переводу, репозиторию, рукописи, папирусу, dataset или сервису. Поэтому 135 строк нельзя читать как 135 разных древних произведений: один диалог может иметь отдельные строки для Greek Scaife, Jowett/Project Gutenberg, русского перевода, рукописного свидетеля и современного защищённого издания.</w:t>
      </w:r>
    </w:p>
    <w:p>
      <w:pPr>
        <w:pStyle w:val="Heading2"/>
        <w:keepNext/>
        <w:keepLines/>
      </w:pPr>
      <w:r>
        <w:rPr>
          <w:rFonts w:ascii="Noto Sans" w:hAnsi="Noto Sans" w:eastAsia="Noto Sans" w:cs="Noto Sans"/>
          <w:b/>
          <w:color w:val="2B6F77"/>
          <w:sz w:val="23"/>
        </w:rPr>
        <w:t>Границы правового вывода</w:t>
      </w:r>
    </w:p>
    <w:p>
      <w:pPr>
        <w:spacing w:after="100" w:line="259" w:lineRule="auto"/>
      </w:pPr>
      <w:r>
        <w:rPr>
          <w:rFonts w:ascii="Noto Sans" w:hAnsi="Noto Sans" w:eastAsia="Noto Sans" w:cs="Noto Sans"/>
          <w:i w:val="0"/>
          <w:color w:val="24303A"/>
          <w:sz w:val="20"/>
        </w:rPr>
        <w:t>Для каждого объекта разделены четыре слоя: права на древнее произведение; права на перевод/редакцию/реконструкцию; права на скан, фотографию, OCR, TEI/XML или dataset; условия платформы. Теги tos_use не являются универсальными разрешениями: они действуют только внутри указанного rights_scope и coverage. Наличие RIGHTS_REVIEW_REQUIRED блокирует автоматическое расширение положительного тега.</w:t>
      </w:r>
    </w:p>
    <w:tbl>
      <w:tblPr>
        <w:tblW w:type="auto" w:w="0"/>
        <w:jc w:val="center"/>
        <w:tblLayout w:type="fixed"/>
        <w:tblLook w:firstColumn="1" w:firstRow="1" w:lastColumn="0" w:lastRow="0" w:noHBand="0" w:noVBand="1" w:val="04A0"/>
        <w:tblBorders>
          <w:top w:val="single" w:sz="8" w:space="0" w:color="A83A3A"/>
          <w:left w:val="single" w:sz="8" w:space="0" w:color="A83A3A"/>
          <w:bottom w:val="single" w:sz="8" w:space="0" w:color="A83A3A"/>
          <w:right w:val="single" w:sz="8" w:space="0" w:color="A83A3A"/>
          <w:insideH w:val="single" w:sz="8" w:space="0" w:color="A83A3A"/>
          <w:insideV w:val="single" w:sz="8" w:space="0" w:color="A83A3A"/>
        </w:tblBorders>
      </w:tblPr>
      <w:tblGrid>
        <w:gridCol w:w="9866"/>
      </w:tblGrid>
      <w:tr>
        <w:trPr>
          <w:cantSplit/>
        </w:trPr>
        <w:tc>
          <w:tcPr>
            <w:tcW w:type="dxa" w:w="9751"/>
            <w:shd w:fill="FBEFEF" w:val="clear"/>
            <w:tcMar>
              <w:top w:w="140" w:type="dxa"/>
              <w:start w:w="180" w:type="dxa"/>
              <w:bottom w:w="140" w:type="dxa"/>
              <w:end w:w="180" w:type="dxa"/>
            </w:tcMar>
          </w:tcPr>
          <w:p>
            <w:pPr>
              <w:spacing w:after="60"/>
            </w:pPr>
            <w:r>
              <w:rPr>
                <w:rFonts w:ascii="Noto Sans" w:hAnsi="Noto Sans" w:eastAsia="Noto Sans" w:cs="Noto Sans"/>
                <w:b/>
                <w:color w:val="173A4F"/>
                <w:sz w:val="20"/>
              </w:rPr>
              <w:t>Не юридическое заключение</w:t>
            </w:r>
          </w:p>
          <w:p>
            <w:pPr>
              <w:spacing w:after="0" w:line="252" w:lineRule="auto"/>
            </w:pPr>
            <w:r>
              <w:rPr>
                <w:rFonts w:ascii="Noto Sans" w:hAnsi="Noto Sans" w:eastAsia="Noto Sans" w:cs="Noto Sans"/>
                <w:color w:val="24303A"/>
                <w:sz w:val="19"/>
              </w:rPr>
              <w:t>Реестр предназначен для исследовательской и редакционной работы ToS. Для массового зеркалирования, публичной раздачи файлов, публикации производных транскрипций или международного релиза следует повторно проверять item-level статус, применимую юрисдикцию и текущие условия сайта.</w:t>
            </w:r>
          </w:p>
        </w:tc>
      </w:tr>
    </w:tbl>
    <w:p>
      <w:pPr>
        <w:spacing w:after="20"/>
      </w:pPr>
    </w:p>
    <w:p>
      <w:pPr>
        <w:pStyle w:val="Heading1"/>
        <w:keepNext/>
        <w:keepLines/>
        <w:pageBreakBefore w:val="0"/>
      </w:pPr>
      <w:r>
        <w:rPr>
          <w:rFonts w:ascii="Noto Sans" w:hAnsi="Noto Sans" w:eastAsia="Noto Sans" w:cs="Noto Sans"/>
          <w:b/>
          <w:color w:val="173A4F"/>
          <w:sz w:val="30"/>
        </w:rPr>
        <w:t>2. Охват корпуса</w:t>
      </w:r>
    </w:p>
    <w:p>
      <w:pPr>
        <w:pStyle w:val="Heading2"/>
        <w:keepNext/>
        <w:keepLines/>
      </w:pPr>
      <w:r>
        <w:rPr>
          <w:rFonts w:ascii="Noto Sans" w:hAnsi="Noto Sans" w:eastAsia="Noto Sans" w:cs="Noto Sans"/>
          <w:b/>
          <w:color w:val="2B6F77"/>
          <w:sz w:val="23"/>
        </w:rPr>
        <w:t>Центральное ядро из исходного DR</w:t>
      </w:r>
    </w:p>
    <w:p>
      <w:pPr>
        <w:spacing w:after="100" w:line="259" w:lineRule="auto"/>
      </w:pPr>
      <w:r>
        <w:rPr>
          <w:rFonts w:ascii="Noto Sans" w:hAnsi="Noto Sans" w:eastAsia="Noto Sans" w:cs="Noto Sans"/>
          <w:i w:val="0"/>
          <w:color w:val="24303A"/>
          <w:sz w:val="20"/>
        </w:rPr>
        <w:t>В ядре сохранено исходное различие двух письменных режимов. Платон представлен через диалогический корпус: Apology, Crito, Protagoras, Gorgias, Phaedo, Republic, Theaetetus, Sophist, Statesman, Timaeus и Laws. Аристотель представлен через дисциплинарные группы: Organon, Physics и природные трактаты, De anima и Parva naturalia, Metaphysics, Nicomachean Ethics, Politics и биологические сочинения.</w:t>
      </w:r>
    </w:p>
    <w:p>
      <w:pPr>
        <w:spacing w:after="100" w:line="259" w:lineRule="auto"/>
      </w:pPr>
      <w:r>
        <w:rPr>
          <w:rFonts w:ascii="Noto Sans" w:hAnsi="Noto Sans" w:eastAsia="Noto Sans" w:cs="Noto Sans"/>
          <w:i w:val="0"/>
          <w:color w:val="24303A"/>
          <w:sz w:val="20"/>
        </w:rPr>
        <w:t>Позднеантичный слой не ретропроецирован в IV век до н.э. Он выделен как самостоятельная линия commentary_or_reception и transmission_or_preservation: Александр Афродисийский, CAG, Прокл и современная серия Ancient Commentators on Aristotle. Для Syrianus, Simplicius и Olympiodorus item-level покрытие зафиксировано как пробел, а не замещено общими порталами.</w:t>
      </w:r>
    </w:p>
    <w:p>
      <w:pPr>
        <w:pStyle w:val="Heading2"/>
        <w:keepNext/>
        <w:keepLines/>
      </w:pPr>
      <w:r>
        <w:rPr>
          <w:rFonts w:ascii="Noto Sans" w:hAnsi="Noto Sans" w:eastAsia="Noto Sans" w:cs="Noto Sans"/>
          <w:b/>
          <w:color w:val="2B6F77"/>
          <w:sz w:val="23"/>
        </w:rPr>
        <w:t>Что добавлено веб-поиском</w:t>
      </w:r>
    </w:p>
    <w:p>
      <w:pPr>
        <w:pStyle w:val="ListBullet"/>
        <w:spacing w:after="60" w:line="252" w:lineRule="auto"/>
        <w:ind w:left="312" w:hanging="142"/>
      </w:pPr>
      <w:r>
        <w:rPr>
          <w:rFonts w:ascii="Noto Sans" w:hAnsi="Noto Sans" w:eastAsia="Noto Sans" w:cs="Noto Sans"/>
          <w:color w:val="24303A"/>
          <w:sz w:val="20"/>
        </w:rPr>
        <w:t>Платон: расширение до 25 title-level диалогов, включая Euthyphro, Cratylus, Parmenides, Philebus, Symposium, Phaedrus, Meno, Ion, Menexenus, Charmides, Lysis, Laches, Euthydemus и Critias.</w:t>
      </w:r>
    </w:p>
    <w:p>
      <w:pPr>
        <w:pStyle w:val="ListBullet"/>
        <w:spacing w:after="60" w:line="252" w:lineRule="auto"/>
        <w:ind w:left="312" w:hanging="142"/>
      </w:pPr>
      <w:r>
        <w:rPr>
          <w:rFonts w:ascii="Noto Sans" w:hAnsi="Noto Sans" w:eastAsia="Noto Sans" w:cs="Noto Sans"/>
          <w:color w:val="24303A"/>
          <w:sz w:val="20"/>
        </w:rPr>
        <w:t>Аристотель: дополнительные corpus units — Eudemian Ethics, On Generation and Corruption, Meteorology, Poetics, Rhetoric, Athenian Constitution, History of Animals, Parva Naturalia, Topics, De Interpretatione и Sophistical Refutations.</w:t>
      </w:r>
    </w:p>
    <w:p>
      <w:pPr>
        <w:pStyle w:val="ListBullet"/>
        <w:spacing w:after="60" w:line="252" w:lineRule="auto"/>
        <w:ind w:left="312" w:hanging="142"/>
      </w:pPr>
      <w:r>
        <w:rPr>
          <w:rFonts w:ascii="Noto Sans" w:hAnsi="Noto Sans" w:eastAsia="Noto Sans" w:cs="Noto Sans"/>
          <w:color w:val="24303A"/>
          <w:sz w:val="20"/>
        </w:rPr>
        <w:t>Физические свидетели: Plato Clarke 39, Vaticanus graecus 1, BnF grec 1807; Aristotle/BnF grec 1853; British Library Papyrus 131; четыре отдельных папируса Republic и DCLP-запись Athenian Constitution.</w:t>
      </w:r>
    </w:p>
    <w:p>
      <w:pPr>
        <w:pStyle w:val="ListBullet"/>
        <w:spacing w:after="60" w:line="252" w:lineRule="auto"/>
        <w:ind w:left="312" w:hanging="142"/>
      </w:pPr>
      <w:r>
        <w:rPr>
          <w:rFonts w:ascii="Noto Sans" w:hAnsi="Noto Sans" w:eastAsia="Noto Sans" w:cs="Noto Sans"/>
          <w:color w:val="24303A"/>
          <w:sz w:val="20"/>
        </w:rPr>
        <w:t>Исторические научные стандарты: Burnet для Plato; Hirschig/Dübner Greek–Latin Plato; Bekker/Prussian Academy Aristotle; Commentaria in Aristotelem Graeca.</w:t>
      </w:r>
    </w:p>
    <w:p>
      <w:pPr>
        <w:pStyle w:val="ListBullet"/>
        <w:spacing w:after="60" w:line="252" w:lineRule="auto"/>
        <w:ind w:left="312" w:hanging="142"/>
      </w:pPr>
      <w:r>
        <w:rPr>
          <w:rFonts w:ascii="Noto Sans" w:hAnsi="Noto Sans" w:eastAsia="Noto Sans" w:cs="Noto Sans"/>
          <w:color w:val="24303A"/>
          <w:sz w:val="20"/>
        </w:rPr>
        <w:t>Современные защищённые маршруты: Hackett Complete Works, Loeb, Revised Oxford Translation/JSTOR, Ancient Commentators/Bloomsbury, TLG и Aristoteles Latinus Database.</w:t>
      </w:r>
    </w:p>
    <w:p>
      <w:pPr>
        <w:pStyle w:val="ListBullet"/>
        <w:spacing w:after="60" w:line="252" w:lineRule="auto"/>
        <w:ind w:left="312" w:hanging="142"/>
      </w:pPr>
      <w:r>
        <w:rPr>
          <w:rFonts w:ascii="Noto Sans" w:hAnsi="Noto Sans" w:eastAsia="Noto Sans" w:cs="Noto Sans"/>
          <w:color w:val="24303A"/>
          <w:sz w:val="20"/>
        </w:rPr>
        <w:t>Институциональные опоры: официальные страницы археологических мест Академии и Ликея; они включены как supporting metadata, а не как замена текстовым корпусам.</w:t>
      </w:r>
    </w:p>
    <w:p>
      <w:pPr>
        <w:pStyle w:val="Heading2"/>
        <w:keepNext/>
        <w:keepLines/>
      </w:pPr>
      <w:r>
        <w:rPr>
          <w:rFonts w:ascii="Noto Sans" w:hAnsi="Noto Sans" w:eastAsia="Noto Sans" w:cs="Noto Sans"/>
          <w:b/>
          <w:color w:val="2B6F77"/>
          <w:sz w:val="23"/>
        </w:rPr>
        <w:t>Поиск назад во времени</w:t>
      </w:r>
    </w:p>
    <w:p>
      <w:pPr>
        <w:spacing w:after="100" w:line="259" w:lineRule="auto"/>
      </w:pPr>
      <w:r>
        <w:rPr>
          <w:rFonts w:ascii="Noto Sans" w:hAnsi="Noto Sans" w:eastAsia="Noto Sans" w:cs="Noto Sans"/>
          <w:i w:val="0"/>
          <w:color w:val="24303A"/>
          <w:sz w:val="20"/>
        </w:rPr>
        <w:t>Ранний контур не превращён в общую историю досократиков. Включены только конкретные входы в A25: Xenophon Memorabilia, Apology, Symposium и Oeconomicus как альтернативное сократическое свидетельство; Aristophanes’ Clouds как полемико-комический образ философской сцены; Cratylus как платоновская переработка гераклитовско-кратилической проблематики. John Burnet, Early Greek Philosophy, включён лишь как старый публичнодоменный навигационно-переводной маршрут к фрагментам, а не как древний первичный текст.</w:t>
      </w:r>
    </w:p>
    <w:p>
      <w:pPr>
        <w:pStyle w:val="Heading2"/>
        <w:keepNext/>
        <w:keepLines/>
      </w:pPr>
      <w:r>
        <w:rPr>
          <w:rFonts w:ascii="Noto Sans" w:hAnsi="Noto Sans" w:eastAsia="Noto Sans" w:cs="Noto Sans"/>
          <w:b/>
          <w:color w:val="2B6F77"/>
          <w:sz w:val="23"/>
        </w:rPr>
        <w:t>Поиск вперёд во времени</w:t>
      </w:r>
    </w:p>
    <w:p>
      <w:pPr>
        <w:spacing w:after="100" w:line="259" w:lineRule="auto"/>
      </w:pPr>
      <w:r>
        <w:rPr>
          <w:rFonts w:ascii="Noto Sans" w:hAnsi="Noto Sans" w:eastAsia="Noto Sans" w:cs="Noto Sans"/>
          <w:i w:val="0"/>
          <w:color w:val="24303A"/>
          <w:sz w:val="20"/>
        </w:rPr>
        <w:t>После классического ядра реестр следует за конкретными механизмами сохранения: Теофраст как раннее продолжение Ликея; papyri и византийские codices как материальная передача; CAG, Александр и Прокл как комментарийная канонизация; Диоген Лаэртский и Цицерон как testimonia/рецепция; Greek–Arabic DCGAS и Aristoteles Latinus как переводческие инфраструктуры. Сирийские версии Organon, Calcidius и Boethius не объявлены найденными — они явно вынесены в gaps.</w:t>
      </w:r>
    </w:p>
    <w:p>
      <w:pPr>
        <w:pStyle w:val="Heading2"/>
        <w:keepNext/>
        <w:keepLines/>
      </w:pPr>
      <w:r>
        <w:rPr>
          <w:rFonts w:ascii="Noto Sans" w:hAnsi="Noto Sans" w:eastAsia="Noto Sans" w:cs="Noto Sans"/>
          <w:b/>
          <w:color w:val="2B6F77"/>
          <w:sz w:val="23"/>
        </w:rPr>
        <w:t>Количественная сводка</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3289"/>
        <w:gridCol w:w="3289"/>
        <w:gridCol w:w="3289"/>
      </w:tblGrid>
      <w:tr>
        <w:trPr>
          <w:tblHeader w:val="true"/>
          <w:cantSplit/>
        </w:trPr>
        <w:tc>
          <w:tcPr>
            <w:tcW w:type="dxa" w:w="2835"/>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relevance</w:t>
            </w:r>
          </w:p>
        </w:tc>
        <w:tc>
          <w:tcPr>
            <w:tcW w:type="dxa" w:w="1134"/>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Строк</w:t>
            </w:r>
          </w:p>
        </w:tc>
        <w:tc>
          <w:tcPr>
            <w:tcW w:type="dxa" w:w="5783"/>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Что именно считается</w:t>
            </w:r>
          </w:p>
        </w:tc>
      </w:tr>
      <w:tr>
        <w:trPr>
          <w:cantSplit/>
        </w:trPr>
        <w:tc>
          <w:tcPr>
            <w:tcW w:type="dxa" w:w="283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core</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53</w:t>
            </w:r>
          </w:p>
        </w:tc>
        <w:tc>
          <w:tcPr>
            <w:tcW w:type="dxa" w:w="578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Центральные тексты и лучшие маршруты к ним</w:t>
            </w:r>
          </w:p>
        </w:tc>
      </w:tr>
      <w:tr>
        <w:trPr>
          <w:cantSplit/>
        </w:trPr>
        <w:tc>
          <w:tcPr>
            <w:tcW w:type="dxa" w:w="283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same_corpus_or_tradition</w:t>
            </w:r>
          </w:p>
        </w:tc>
        <w:tc>
          <w:tcPr>
            <w:tcW w:type="dxa" w:w="113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33</w:t>
            </w:r>
          </w:p>
        </w:tc>
        <w:tc>
          <w:tcPr>
            <w:tcW w:type="dxa" w:w="578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Прямые члены платоновского/аристотелевского корпуса</w:t>
            </w:r>
          </w:p>
        </w:tc>
      </w:tr>
      <w:tr>
        <w:trPr>
          <w:cantSplit/>
        </w:trPr>
        <w:tc>
          <w:tcPr>
            <w:tcW w:type="dxa" w:w="283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antecedent</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6</w:t>
            </w:r>
          </w:p>
        </w:tc>
        <w:tc>
          <w:tcPr>
            <w:tcW w:type="dxa" w:w="578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Сократические и ранние входящие свидетельства</w:t>
            </w:r>
          </w:p>
        </w:tc>
      </w:tr>
      <w:tr>
        <w:trPr>
          <w:cantSplit/>
        </w:trPr>
        <w:tc>
          <w:tcPr>
            <w:tcW w:type="dxa" w:w="283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continuation</w:t>
            </w:r>
          </w:p>
        </w:tc>
        <w:tc>
          <w:tcPr>
            <w:tcW w:type="dxa" w:w="113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2</w:t>
            </w:r>
          </w:p>
        </w:tc>
        <w:tc>
          <w:tcPr>
            <w:tcW w:type="dxa" w:w="578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Теофраст и ранняя перипатетическая преемственность</w:t>
            </w:r>
          </w:p>
        </w:tc>
      </w:tr>
      <w:tr>
        <w:trPr>
          <w:cantSplit/>
        </w:trPr>
        <w:tc>
          <w:tcPr>
            <w:tcW w:type="dxa" w:w="283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commentary_or_reception</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11</w:t>
            </w:r>
          </w:p>
        </w:tc>
        <w:tc>
          <w:tcPr>
            <w:tcW w:type="dxa" w:w="578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Позднеантичная и академическая рецепция</w:t>
            </w:r>
          </w:p>
        </w:tc>
      </w:tr>
      <w:tr>
        <w:trPr>
          <w:cantSplit/>
        </w:trPr>
        <w:tc>
          <w:tcPr>
            <w:tcW w:type="dxa" w:w="283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transmission_or_preservation</w:t>
            </w:r>
          </w:p>
        </w:tc>
        <w:tc>
          <w:tcPr>
            <w:tcW w:type="dxa" w:w="113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17</w:t>
            </w:r>
          </w:p>
        </w:tc>
        <w:tc>
          <w:tcPr>
            <w:tcW w:type="dxa" w:w="578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Рукописи, папирусы, старые издания, переводческие базы</w:t>
            </w:r>
          </w:p>
        </w:tc>
      </w:tr>
      <w:tr>
        <w:trPr>
          <w:cantSplit/>
        </w:trPr>
        <w:tc>
          <w:tcPr>
            <w:tcW w:type="dxa" w:w="283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supporting</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4</w:t>
            </w:r>
          </w:p>
        </w:tc>
        <w:tc>
          <w:tcPr>
            <w:tcW w:type="dxa" w:w="578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Athenian Constitution и официальные институциональные страницы</w:t>
            </w:r>
          </w:p>
        </w:tc>
      </w:tr>
      <w:tr>
        <w:trPr>
          <w:cantSplit/>
        </w:trPr>
        <w:tc>
          <w:tcPr>
            <w:tcW w:type="dxa" w:w="283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boundary</w:t>
            </w:r>
          </w:p>
        </w:tc>
        <w:tc>
          <w:tcPr>
            <w:tcW w:type="dxa" w:w="113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2</w:t>
            </w:r>
          </w:p>
        </w:tc>
        <w:tc>
          <w:tcPr>
            <w:tcW w:type="dxa" w:w="578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Пограничные/спорные аристотелевские атрибуции</w:t>
            </w:r>
          </w:p>
        </w:tc>
      </w:tr>
      <w:tr>
        <w:trPr>
          <w:cantSplit/>
        </w:trPr>
        <w:tc>
          <w:tcPr>
            <w:tcW w:type="dxa" w:w="283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infrastructure</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7</w:t>
            </w:r>
          </w:p>
        </w:tc>
        <w:tc>
          <w:tcPr>
            <w:tcW w:type="dxa" w:w="578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Корпусные порталы и datasets</w:t>
            </w:r>
          </w:p>
        </w:tc>
      </w:tr>
    </w:tbl>
    <w:p>
      <w:pPr>
        <w:spacing w:after="100" w:line="259" w:lineRule="auto"/>
      </w:pPr>
      <w:r>
        <w:rPr>
          <w:rFonts w:ascii="Noto Sans" w:hAnsi="Noto Sans" w:eastAsia="Noto Sans" w:cs="Noto Sans"/>
          <w:i w:val="0"/>
          <w:color w:val="24303A"/>
          <w:sz w:val="20"/>
        </w:rPr>
        <w:t>Итого: 135 способов доступа и 100 уникальных значений work_or_corpus_title. Последняя цифра включает свидетелей, издания и инфраструктуру, поэтому не является числом древних произведений. Внутри предметного ядра отдельно картированы 25 платоновских title-level диалогов и приблизительно 20 аристотелевских произведений/корпусных единиц; для многих существуют несколько независимых маршрутов.</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3289"/>
        <w:gridCol w:w="3289"/>
        <w:gridCol w:w="3289"/>
      </w:tblGrid>
      <w:tr>
        <w:trPr>
          <w:tblHeader w:val="true"/>
          <w:cantSplit/>
        </w:trPr>
        <w:tc>
          <w:tcPr>
            <w:tcW w:type="dxa" w:w="2608"/>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access_mode</w:t>
            </w:r>
          </w:p>
        </w:tc>
        <w:tc>
          <w:tcPr>
            <w:tcW w:type="dxa" w:w="1134"/>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Строк</w:t>
            </w:r>
          </w:p>
        </w:tc>
        <w:tc>
          <w:tcPr>
            <w:tcW w:type="dxa" w:w="6009"/>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Оговорка</w:t>
            </w:r>
          </w:p>
        </w:tc>
      </w:tr>
      <w:tr>
        <w:trPr>
          <w:cantSplit/>
        </w:trPr>
        <w:tc>
          <w:tcPr>
            <w:tcW w:type="dxa" w:w="260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free_full_read</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121</w:t>
            </w:r>
          </w:p>
        </w:tc>
        <w:tc>
          <w:tcPr>
            <w:tcW w:type="dxa" w:w="6009"/>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Полное чтение конкретной версии/единицы; число пересекается с download</w:t>
            </w:r>
          </w:p>
        </w:tc>
      </w:tr>
      <w:tr>
        <w:trPr>
          <w:cantSplit/>
        </w:trPr>
        <w:tc>
          <w:tcPr>
            <w:tcW w:type="dxa" w:w="260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free_download</w:t>
            </w:r>
          </w:p>
        </w:tc>
        <w:tc>
          <w:tcPr>
            <w:tcW w:type="dxa" w:w="113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84</w:t>
            </w:r>
          </w:p>
        </w:tc>
        <w:tc>
          <w:tcPr>
            <w:tcW w:type="dxa" w:w="6009"/>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Файл или экспорт; не означает право повторного размещения</w:t>
            </w:r>
          </w:p>
        </w:tc>
      </w:tr>
      <w:tr>
        <w:trPr>
          <w:cantSplit/>
        </w:trPr>
        <w:tc>
          <w:tcPr>
            <w:tcW w:type="dxa" w:w="260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institutional_access</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9</w:t>
            </w:r>
          </w:p>
        </w:tc>
        <w:tc>
          <w:tcPr>
            <w:tcW w:type="dxa" w:w="6009"/>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Подписка, библиотечная аутентификация или членство</w:t>
            </w:r>
          </w:p>
        </w:tc>
      </w:tr>
      <w:tr>
        <w:trPr>
          <w:cantSplit/>
        </w:trPr>
        <w:tc>
          <w:tcPr>
            <w:tcW w:type="dxa" w:w="260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purchase</w:t>
            </w:r>
          </w:p>
        </w:tc>
        <w:tc>
          <w:tcPr>
            <w:tcW w:type="dxa" w:w="113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8</w:t>
            </w:r>
          </w:p>
        </w:tc>
        <w:tc>
          <w:tcPr>
            <w:tcW w:type="dxa" w:w="6009"/>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Официальная покупка защищённого издания</w:t>
            </w:r>
          </w:p>
        </w:tc>
      </w:tr>
      <w:tr>
        <w:trPr>
          <w:cantSplit/>
        </w:trPr>
        <w:tc>
          <w:tcPr>
            <w:tcW w:type="dxa" w:w="260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preview_or_snippet</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7</w:t>
            </w:r>
          </w:p>
        </w:tc>
        <w:tc>
          <w:tcPr>
            <w:tcW w:type="dxa" w:w="6009"/>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Ограниченное ознакомление</w:t>
            </w:r>
          </w:p>
        </w:tc>
      </w:tr>
      <w:tr>
        <w:trPr>
          <w:cantSplit/>
        </w:trPr>
        <w:tc>
          <w:tcPr>
            <w:tcW w:type="dxa" w:w="260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library_borrow</w:t>
            </w:r>
          </w:p>
        </w:tc>
        <w:tc>
          <w:tcPr>
            <w:tcW w:type="dxa" w:w="113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2</w:t>
            </w:r>
          </w:p>
        </w:tc>
        <w:tc>
          <w:tcPr>
            <w:tcW w:type="dxa" w:w="6009"/>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Явно отмеченный библиотечный маршрут</w:t>
            </w:r>
          </w:p>
        </w:tc>
      </w:tr>
      <w:tr>
        <w:trPr>
          <w:cantSplit/>
        </w:trPr>
        <w:tc>
          <w:tcPr>
            <w:tcW w:type="dxa" w:w="260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free_registration</w:t>
            </w:r>
          </w:p>
        </w:tc>
        <w:tc>
          <w:tcPr>
            <w:tcW w:type="dxa" w:w="113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1</w:t>
            </w:r>
          </w:p>
        </w:tc>
        <w:tc>
          <w:tcPr>
            <w:tcW w:type="dxa" w:w="6009"/>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Бесплатная регистрация для части функций</w:t>
            </w:r>
          </w:p>
        </w:tc>
      </w:tr>
      <w:tr>
        <w:trPr>
          <w:cantSplit/>
        </w:trPr>
        <w:tc>
          <w:tcPr>
            <w:tcW w:type="dxa" w:w="260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metadata_only</w:t>
            </w:r>
          </w:p>
        </w:tc>
        <w:tc>
          <w:tcPr>
            <w:tcW w:type="dxa" w:w="113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3</w:t>
            </w:r>
          </w:p>
        </w:tc>
        <w:tc>
          <w:tcPr>
            <w:tcW w:type="dxa" w:w="6009"/>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Каталог/институциональная карточка без текста</w:t>
            </w:r>
          </w:p>
        </w:tc>
      </w:tr>
    </w:tbl>
    <w:p>
      <w:pPr>
        <w:spacing w:after="100" w:line="259" w:lineRule="auto"/>
      </w:pPr>
      <w:r>
        <w:rPr>
          <w:rFonts w:ascii="Noto Sans" w:hAnsi="Noto Sans" w:eastAsia="Noto Sans" w:cs="Noto Sans"/>
          <w:i w:val="0"/>
          <w:color w:val="24303A"/>
          <w:sz w:val="20"/>
        </w:rPr>
        <w:t>Суммы access_mode перекрываются: одна запись может одновременно иметь free_full_read и free_download, а современное издание — institutional_access, purchase и preview_or_snippet.</w:t>
      </w:r>
    </w:p>
    <w:p>
      <w:pPr>
        <w:pStyle w:val="Heading1"/>
        <w:keepNext/>
        <w:keepLines/>
        <w:pageBreakBefore w:val="0"/>
      </w:pPr>
      <w:r>
        <w:rPr>
          <w:rFonts w:ascii="Noto Sans" w:hAnsi="Noto Sans" w:eastAsia="Noto Sans" w:cs="Noto Sans"/>
          <w:b/>
          <w:color w:val="173A4F"/>
          <w:sz w:val="30"/>
        </w:rPr>
        <w:t>3. Лучшие пути доступа</w:t>
      </w:r>
    </w:p>
    <w:p>
      <w:pPr>
        <w:spacing w:after="100" w:line="259" w:lineRule="auto"/>
      </w:pPr>
      <w:r>
        <w:rPr>
          <w:rFonts w:ascii="Noto Sans" w:hAnsi="Noto Sans" w:eastAsia="Noto Sans" w:cs="Noto Sans"/>
          <w:i w:val="0"/>
          <w:color w:val="24303A"/>
          <w:sz w:val="20"/>
        </w:rPr>
        <w:t>Ниже перечислены маршруты, которые лучше всего решают разные задачи. Полный item-level список, форматы, rights_scope, rights_evidence_url и notes находятся в листе registry.</w:t>
      </w:r>
    </w:p>
    <w:p>
      <w:pPr>
        <w:pStyle w:val="Heading2"/>
        <w:keepNext/>
        <w:keepLines/>
      </w:pPr>
      <w:r>
        <w:rPr>
          <w:rFonts w:ascii="Noto Sans" w:hAnsi="Noto Sans" w:eastAsia="Noto Sans" w:cs="Noto Sans"/>
          <w:b/>
          <w:color w:val="2B6F77"/>
          <w:sz w:val="23"/>
        </w:rPr>
        <w:t>3.1. Платон</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2466"/>
        <w:gridCol w:w="2466"/>
        <w:gridCol w:w="2466"/>
        <w:gridCol w:w="2466"/>
      </w:tblGrid>
      <w:tr>
        <w:trPr>
          <w:tblHeader w:val="true"/>
          <w:cantSplit/>
        </w:trPr>
        <w:tc>
          <w:tcPr>
            <w:tcW w:type="dxa" w:w="1871"/>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Задача</w:t>
            </w:r>
          </w:p>
        </w:tc>
        <w:tc>
          <w:tcPr>
            <w:tcW w:type="dxa" w:w="2381"/>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Лучший вход</w:t>
            </w:r>
          </w:p>
        </w:tc>
        <w:tc>
          <w:tcPr>
            <w:tcW w:type="dxa" w:w="1474"/>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record_id</w:t>
            </w:r>
          </w:p>
        </w:tc>
        <w:tc>
          <w:tcPr>
            <w:tcW w:type="dxa" w:w="4025"/>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Практическая оценка</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Бесплатное чтение греческого текста</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0">
              <w:r>
                <w:rPr>
                  <w:rFonts w:ascii="Noto Sans" w:hAnsi="Noto Sans" w:eastAsia="Noto Sans"/>
                  <w:color w:val="1A5A7A"/>
                  <w:u w:val="single"/>
                  <w:sz w:val="20"/>
                </w:rPr>
                <w:t>Scaife — Plato corpus</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A25-R001, R010–R027</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Быстрый author/work-level вход; reuse проверять на уровне конкретного XML.</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Машиночитаемый текст</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1">
              <w:r>
                <w:rPr>
                  <w:rFonts w:ascii="Noto Sans" w:hAnsi="Noto Sans" w:eastAsia="Noto Sans"/>
                  <w:color w:val="1A5A7A"/>
                  <w:u w:val="single"/>
                  <w:sz w:val="20"/>
                </w:rPr>
                <w:t>canonical-greekLit</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A25-R003</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TEI/EpiDoc; CC BY-SA 4.0 unless otherwise indicated; обязательна file-level проверка.</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Альтернативный open XML</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2">
              <w:r>
                <w:rPr>
                  <w:rFonts w:ascii="Noto Sans" w:hAnsi="Noto Sans" w:eastAsia="Noto Sans"/>
                  <w:color w:val="1A5A7A"/>
                  <w:u w:val="single"/>
                  <w:sz w:val="20"/>
                </w:rPr>
                <w:t>First1KGreek</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A25-R004</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Полезен для сверки и комментарийных текстов; ShareAlike и атрибуция.</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Старый английский перевод</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3">
              <w:r>
                <w:rPr>
                  <w:rFonts w:ascii="Noto Sans" w:hAnsi="Noto Sans" w:eastAsia="Noto Sans"/>
                  <w:color w:val="1A5A7A"/>
                  <w:u w:val="single"/>
                  <w:sz w:val="20"/>
                </w:rPr>
                <w:t>Project Gutenberg — Plato/Jowett</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A25-R028–R052</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Полные HTML/EPUB/TXT; item page указывает Public Domain in USA; проверять юрисдикцию.</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Старый русский перевод</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4">
              <w:r>
                <w:rPr>
                  <w:rFonts w:ascii="Noto Sans" w:hAnsi="Noto Sans" w:eastAsia="Noto Sans"/>
                  <w:color w:val="1A5A7A"/>
                  <w:u w:val="single"/>
                  <w:sz w:val="20"/>
                </w:rPr>
                <w:t>Русская Wikisource — Платон</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A25-R053–R062</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Карпов и Оболенский; экспорт; CC BY-SA относится к wikicode/text layer.</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Факсимиле раннего кодекса</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5">
              <w:r>
                <w:rPr>
                  <w:rFonts w:ascii="Noto Sans" w:hAnsi="Noto Sans" w:eastAsia="Noto Sans"/>
                  <w:color w:val="1A5A7A"/>
                  <w:u w:val="single"/>
                  <w:sz w:val="20"/>
                </w:rPr>
                <w:t>Bodleian Clarke 39</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A25-R063</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Сильный свидетель; noncommercial image reuse с атрибуцией по условиям Digital Bodleian.</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Факсимиле Vaticanus</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6">
              <w:r>
                <w:rPr>
                  <w:rFonts w:ascii="Noto Sans" w:hAnsi="Noto Sans" w:eastAsia="Noto Sans"/>
                  <w:color w:val="1A5A7A"/>
                  <w:u w:val="single"/>
                  <w:sz w:val="20"/>
                </w:rPr>
                <w:t>Vat.gr.1</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A25-R064</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Чтение/исследование; публикация изображений требует разрешения.</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Французское факсимиле</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7">
              <w:r>
                <w:rPr>
                  <w:rFonts w:ascii="Noto Sans" w:hAnsi="Noto Sans" w:eastAsia="Noto Sans"/>
                  <w:color w:val="1A5A7A"/>
                  <w:u w:val="single"/>
                  <w:sz w:val="20"/>
                </w:rPr>
                <w:t>BnF grec 1807</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A25-R065</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Gallica: noncommercial reuse с указанием источника; item-level review.</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Старый критический греческий текст</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8">
              <w:r>
                <w:rPr>
                  <w:rFonts w:ascii="Noto Sans" w:hAnsi="Noto Sans" w:eastAsia="Noto Sans"/>
                  <w:color w:val="1A5A7A"/>
                  <w:u w:val="single"/>
                  <w:sz w:val="20"/>
                </w:rPr>
                <w:t>Burnet, Platonis opera</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A25-R066</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Исторически важен; IA не гарантирует rights status, проверять том за томом.</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Полный Greek–Latin set</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19">
              <w:r>
                <w:rPr>
                  <w:rFonts w:ascii="Noto Sans" w:hAnsi="Noto Sans" w:eastAsia="Noto Sans"/>
                  <w:color w:val="1A5A7A"/>
                  <w:u w:val="single"/>
                  <w:sz w:val="20"/>
                </w:rPr>
                <w:t>HathiTrust Hirschig/Dübner</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A25-R067</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Full View; Google-digitized copy может ограничивать full-PDF и reuse.</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Лучший современный полный английский</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0">
              <w:r>
                <w:rPr>
                  <w:rFonts w:ascii="Noto Sans" w:hAnsi="Noto Sans" w:eastAsia="Noto Sans"/>
                  <w:color w:val="1A5A7A"/>
                  <w:u w:val="single"/>
                  <w:sz w:val="20"/>
                </w:rPr>
                <w:t>Hackett Complete Works</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A25-R068</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Покупка/библиотека; защищённый перевод, link-only.</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Современный bilingual reference</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1">
              <w:r>
                <w:rPr>
                  <w:rFonts w:ascii="Noto Sans" w:hAnsi="Noto Sans" w:eastAsia="Noto Sans"/>
                  <w:color w:val="1A5A7A"/>
                  <w:u w:val="single"/>
                  <w:sz w:val="20"/>
                </w:rPr>
                <w:t>Loeb Republic</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A25-R069</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Подписка/покупка; полезен научно, не для зеркалирования.</w:t>
            </w:r>
          </w:p>
        </w:tc>
      </w:tr>
    </w:tbl>
    <w:p>
      <w:pPr>
        <w:pStyle w:val="Heading2"/>
        <w:keepNext/>
        <w:keepLines/>
      </w:pPr>
      <w:r>
        <w:rPr>
          <w:rFonts w:ascii="Noto Sans" w:hAnsi="Noto Sans" w:eastAsia="Noto Sans" w:cs="Noto Sans"/>
          <w:b/>
          <w:color w:val="2B6F77"/>
          <w:sz w:val="23"/>
        </w:rPr>
        <w:t>3.2. Аристотель</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2466"/>
        <w:gridCol w:w="2466"/>
        <w:gridCol w:w="2466"/>
        <w:gridCol w:w="2466"/>
      </w:tblGrid>
      <w:tr>
        <w:trPr>
          <w:tblHeader w:val="true"/>
          <w:cantSplit/>
        </w:trPr>
        <w:tc>
          <w:tcPr>
            <w:tcW w:type="dxa" w:w="1871"/>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Задача</w:t>
            </w:r>
          </w:p>
        </w:tc>
        <w:tc>
          <w:tcPr>
            <w:tcW w:type="dxa" w:w="2381"/>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Лучший вход</w:t>
            </w:r>
          </w:p>
        </w:tc>
        <w:tc>
          <w:tcPr>
            <w:tcW w:type="dxa" w:w="1474"/>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record_id</w:t>
            </w:r>
          </w:p>
        </w:tc>
        <w:tc>
          <w:tcPr>
            <w:tcW w:type="dxa" w:w="4025"/>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Практическая оценка</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Бесплатное чтение корпуса</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2">
              <w:r>
                <w:rPr>
                  <w:rFonts w:ascii="Noto Sans" w:hAnsi="Noto Sans" w:eastAsia="Noto Sans"/>
                  <w:color w:val="1A5A7A"/>
                  <w:u w:val="single"/>
                  <w:sz w:val="20"/>
                </w:rPr>
                <w:t>Scaife — Aristotle corpus</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A25-R002, R070–R083</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Author/work-level вход; exact CTS/edition license надо проверять.</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Исторические переводы</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3">
              <w:r>
                <w:rPr>
                  <w:rFonts w:ascii="Noto Sans" w:hAnsi="Noto Sans" w:eastAsia="Noto Sans"/>
                  <w:color w:val="1A5A7A"/>
                  <w:u w:val="single"/>
                  <w:sz w:val="20"/>
                </w:rPr>
                <w:t>Project Gutenberg — Aristotle</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A25-R084–R093</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English/German/Modern Greek routes; PD USA на item pages.</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Русские версии</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4">
              <w:r>
                <w:rPr>
                  <w:rFonts w:ascii="Noto Sans" w:hAnsi="Noto Sans" w:eastAsia="Noto Sans"/>
                  <w:color w:val="1A5A7A"/>
                  <w:u w:val="single"/>
                  <w:sz w:val="20"/>
                </w:rPr>
                <w:t>Русская Wikisource — Аристотель</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A25-R094–R096</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Physics, Politics, Poetics; Metaphysics/Categories остаются gaps.</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Папирус Athenian Constitution</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5">
              <w:r>
                <w:rPr>
                  <w:rFonts w:ascii="Noto Sans" w:hAnsi="Noto Sans" w:eastAsia="Noto Sans"/>
                  <w:color w:val="1A5A7A"/>
                  <w:u w:val="single"/>
                  <w:sz w:val="20"/>
                </w:rPr>
                <w:t>British Library Papyrus 131</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A25-R097</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Уникальный почти полный свидетель; изображения — mixed rights.</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Многотекстовый codex</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6">
              <w:r>
                <w:rPr>
                  <w:rFonts w:ascii="Noto Sans" w:hAnsi="Noto Sans" w:eastAsia="Noto Sans"/>
                  <w:color w:val="1A5A7A"/>
                  <w:u w:val="single"/>
                  <w:sz w:val="20"/>
                </w:rPr>
                <w:t>BnF grec 1853</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A25-R098</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Сильный original/facsimile route; Gallica noncommercial reuse с attribution.</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Bekker corpus</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7">
              <w:r>
                <w:rPr>
                  <w:rFonts w:ascii="Noto Sans" w:hAnsi="Noto Sans" w:eastAsia="Noto Sans"/>
                  <w:color w:val="1A5A7A"/>
                  <w:u w:val="single"/>
                  <w:sz w:val="20"/>
                </w:rPr>
                <w:t>HathiTrust Aristotelis opera</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A25-R099</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Ключевой citation standard; full PDF зависит от copy source/account.</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Современный English corpus</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8">
              <w:r>
                <w:rPr>
                  <w:rFonts w:ascii="Noto Sans" w:hAnsi="Noto Sans" w:eastAsia="Noto Sans"/>
                  <w:color w:val="1A5A7A"/>
                  <w:u w:val="single"/>
                  <w:sz w:val="20"/>
                </w:rPr>
                <w:t>Revised Oxford Translation, vol. 1</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A25-R100–R101</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JSTOR/Princeton; institutional access/purchase, in copyright.</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Современный bilingual</w:t>
            </w:r>
          </w:p>
        </w:tc>
        <w:tc>
          <w:tcPr>
            <w:tcW w:type="dxa" w:w="238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29">
              <w:r>
                <w:rPr>
                  <w:rFonts w:ascii="Noto Sans" w:hAnsi="Noto Sans" w:eastAsia="Noto Sans"/>
                  <w:color w:val="1A5A7A"/>
                  <w:u w:val="single"/>
                  <w:sz w:val="20"/>
                </w:rPr>
                <w:t>Loeb Politics</w:t>
              </w:r>
            </w:hyperlink>
          </w:p>
        </w:tc>
        <w:tc>
          <w:tcPr>
            <w:tcW w:type="dxa" w:w="147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A25-R102–R103</w:t>
            </w:r>
          </w:p>
        </w:tc>
        <w:tc>
          <w:tcPr>
            <w:tcW w:type="dxa" w:w="402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Greek–English; подписка/покупка.</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Greek–Arabic parallel layer</w:t>
            </w:r>
          </w:p>
        </w:tc>
        <w:tc>
          <w:tcPr>
            <w:tcW w:type="dxa" w:w="238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30">
              <w:r>
                <w:rPr>
                  <w:rFonts w:ascii="Noto Sans" w:hAnsi="Noto Sans" w:eastAsia="Noto Sans"/>
                  <w:color w:val="1A5A7A"/>
                  <w:u w:val="single"/>
                  <w:sz w:val="20"/>
                </w:rPr>
                <w:t>DCGAS texts</w:t>
              </w:r>
            </w:hyperlink>
          </w:p>
        </w:tc>
        <w:tc>
          <w:tcPr>
            <w:tcW w:type="dxa" w:w="147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A25-R104–R108</w:t>
            </w:r>
          </w:p>
        </w:tc>
        <w:tc>
          <w:tcPr>
            <w:tcW w:type="dxa" w:w="402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Greek and Arabic items; download/reuse varies by item and source edition.</w:t>
            </w:r>
          </w:p>
        </w:tc>
      </w:tr>
    </w:tbl>
    <w:p>
      <w:pPr>
        <w:pStyle w:val="Heading2"/>
        <w:keepNext/>
        <w:keepLines/>
      </w:pPr>
      <w:r>
        <w:rPr>
          <w:rFonts w:ascii="Noto Sans" w:hAnsi="Noto Sans" w:eastAsia="Noto Sans" w:cs="Noto Sans"/>
          <w:b/>
          <w:color w:val="2B6F77"/>
          <w:sz w:val="23"/>
        </w:rPr>
        <w:t>3.3. Ранние входы и преемственность</w:t>
      </w:r>
    </w:p>
    <w:p>
      <w:pPr>
        <w:spacing w:after="100" w:line="259" w:lineRule="auto"/>
      </w:pPr>
      <w:r>
        <w:rPr>
          <w:rFonts w:ascii="Noto Sans" w:hAnsi="Noto Sans" w:eastAsia="Noto Sans" w:cs="Noto Sans"/>
          <w:i w:val="0"/>
          <w:color w:val="24303A"/>
          <w:sz w:val="20"/>
        </w:rPr>
        <w:t>Для альтернативного Сократа лучшим свободным маршрутом остаются исторические английские переводы Xenophon на Project Gutenberg (A25-R109–R112). Aristophanes’ Clouds (A25-R113) полезен как полемический свидетель, но не как биографическая стенограмма. Теофраст доступен через Scaife author/work pages (A25-R115–R116) и служит прямой continuation Ликея.</w:t>
      </w:r>
    </w:p>
    <w:p>
      <w:r>
        <w:rPr>
          <w:rFonts w:ascii="Noto Sans" w:hAnsi="Noto Sans" w:eastAsia="Noto Sans" w:cs="Noto Sans"/>
          <w:b/>
          <w:color w:val="24303A"/>
          <w:sz w:val="20"/>
        </w:rPr>
        <w:t xml:space="preserve">Ключевые входы: </w:t>
      </w:r>
      <w:hyperlink r:id="rId31">
        <w:r>
          <w:rPr>
            <w:rFonts w:ascii="Noto Sans" w:hAnsi="Noto Sans" w:eastAsia="Noto Sans"/>
            <w:color w:val="1A5A7A"/>
            <w:u w:val="single"/>
            <w:sz w:val="20"/>
          </w:rPr>
          <w:t>Xenophon/Project Gutenberg</w:t>
        </w:r>
      </w:hyperlink>
      <w:r>
        <w:rPr>
          <w:rFonts w:ascii="Noto Sans" w:hAnsi="Noto Sans" w:eastAsia="Noto Sans" w:cs="Noto Sans"/>
          <w:color w:val="5B6670"/>
          <w:sz w:val="20"/>
        </w:rPr>
        <w:t xml:space="preserve"> · </w:t>
      </w:r>
      <w:hyperlink r:id="rId32">
        <w:r>
          <w:rPr>
            <w:rFonts w:ascii="Noto Sans" w:hAnsi="Noto Sans" w:eastAsia="Noto Sans"/>
            <w:color w:val="1A5A7A"/>
            <w:u w:val="single"/>
            <w:sz w:val="20"/>
          </w:rPr>
          <w:t>Theophrastus/Scaife</w:t>
        </w:r>
      </w:hyperlink>
    </w:p>
    <w:p>
      <w:pPr>
        <w:pStyle w:val="Heading2"/>
        <w:keepNext/>
        <w:keepLines/>
      </w:pPr>
      <w:r>
        <w:rPr>
          <w:rFonts w:ascii="Noto Sans" w:hAnsi="Noto Sans" w:eastAsia="Noto Sans" w:cs="Noto Sans"/>
          <w:b/>
          <w:color w:val="2B6F77"/>
          <w:sz w:val="23"/>
        </w:rPr>
        <w:t>3.4. Папирусы и физические свидетели</w:t>
      </w:r>
    </w:p>
    <w:p>
      <w:pPr>
        <w:spacing w:after="100" w:line="259" w:lineRule="auto"/>
      </w:pPr>
      <w:r>
        <w:rPr>
          <w:rFonts w:ascii="Noto Sans" w:hAnsi="Noto Sans" w:eastAsia="Noto Sans" w:cs="Noto Sans"/>
          <w:i w:val="0"/>
          <w:color w:val="24303A"/>
          <w:sz w:val="20"/>
        </w:rPr>
        <w:t>Papyri.info/DCLP (A25-R117–R121) — лучший машиночитаемый маршрут к отдельным фрагментам: EpiDoc XML, metadata и устойчивые идентификаторы. Coverage здесь принципиально fragment или single_witness; никакая из этих строк не обещает полный Republic или весь corpus Aristotelicum.</w:t>
      </w:r>
    </w:p>
    <w:p>
      <w:r>
        <w:rPr>
          <w:rFonts w:ascii="Noto Sans" w:hAnsi="Noto Sans" w:eastAsia="Noto Sans" w:cs="Noto Sans"/>
          <w:b/>
          <w:color w:val="24303A"/>
          <w:sz w:val="20"/>
        </w:rPr>
        <w:t xml:space="preserve">Dataset и лицензия: </w:t>
      </w:r>
      <w:hyperlink r:id="rId33">
        <w:r>
          <w:rPr>
            <w:rFonts w:ascii="Noto Sans" w:hAnsi="Noto Sans" w:eastAsia="Noto Sans"/>
            <w:color w:val="1A5A7A"/>
            <w:u w:val="single"/>
            <w:sz w:val="20"/>
          </w:rPr>
          <w:t>papyri/idp.data — CC BY 3.0</w:t>
        </w:r>
      </w:hyperlink>
    </w:p>
    <w:p>
      <w:pPr>
        <w:pStyle w:val="Heading2"/>
        <w:keepNext/>
        <w:keepLines/>
      </w:pPr>
      <w:r>
        <w:rPr>
          <w:rFonts w:ascii="Noto Sans" w:hAnsi="Noto Sans" w:eastAsia="Noto Sans" w:cs="Noto Sans"/>
          <w:b/>
          <w:color w:val="2B6F77"/>
          <w:sz w:val="23"/>
        </w:rPr>
        <w:t>3.5. Комментарии и рецепция</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2466"/>
        <w:gridCol w:w="2466"/>
        <w:gridCol w:w="2466"/>
        <w:gridCol w:w="2466"/>
      </w:tblGrid>
      <w:tr>
        <w:trPr>
          <w:tblHeader w:val="true"/>
          <w:cantSplit/>
        </w:trPr>
        <w:tc>
          <w:tcPr>
            <w:tcW w:type="dxa" w:w="2324"/>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Объект</w:t>
            </w:r>
          </w:p>
        </w:tc>
        <w:tc>
          <w:tcPr>
            <w:tcW w:type="dxa" w:w="2438"/>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Вход</w:t>
            </w:r>
          </w:p>
        </w:tc>
        <w:tc>
          <w:tcPr>
            <w:tcW w:type="dxa" w:w="1417"/>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record_id</w:t>
            </w:r>
          </w:p>
        </w:tc>
        <w:tc>
          <w:tcPr>
            <w:tcW w:type="dxa" w:w="3572"/>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Оценка</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Историческая серия</w:t>
            </w:r>
          </w:p>
        </w:tc>
        <w:tc>
          <w:tcPr>
            <w:tcW w:type="dxa" w:w="243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34">
              <w:r>
                <w:rPr>
                  <w:rFonts w:ascii="Noto Sans" w:hAnsi="Noto Sans" w:eastAsia="Noto Sans"/>
                  <w:color w:val="1A5A7A"/>
                  <w:u w:val="single"/>
                  <w:sz w:val="20"/>
                </w:rPr>
                <w:t>Commentaria in Aristotelem Graeca</w:t>
              </w:r>
            </w:hyperlink>
          </w:p>
        </w:tc>
        <w:tc>
          <w:tcPr>
            <w:tcW w:type="dxa" w:w="141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A25-R122</w:t>
            </w:r>
          </w:p>
        </w:tc>
        <w:tc>
          <w:tcPr>
            <w:tcW w:type="dxa" w:w="3572"/>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Сканированные тома; издания старые, но IA не даёт гарантий.</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Александр, Greek minor works</w:t>
            </w:r>
          </w:p>
        </w:tc>
        <w:tc>
          <w:tcPr>
            <w:tcW w:type="dxa" w:w="243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35">
              <w:r>
                <w:rPr>
                  <w:rFonts w:ascii="Noto Sans" w:hAnsi="Noto Sans" w:eastAsia="Noto Sans"/>
                  <w:color w:val="1A5A7A"/>
                  <w:u w:val="single"/>
                  <w:sz w:val="20"/>
                </w:rPr>
                <w:t>Internet Archive item</w:t>
              </w:r>
            </w:hyperlink>
          </w:p>
        </w:tc>
        <w:tc>
          <w:tcPr>
            <w:tcW w:type="dxa" w:w="141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A25-R123</w:t>
            </w:r>
          </w:p>
        </w:tc>
        <w:tc>
          <w:tcPr>
            <w:tcW w:type="dxa" w:w="3572"/>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Прямой зрелый перипатетический комментарий.</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Александр, Metaphysics</w:t>
            </w:r>
          </w:p>
        </w:tc>
        <w:tc>
          <w:tcPr>
            <w:tcW w:type="dxa" w:w="243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36">
              <w:r>
                <w:rPr>
                  <w:rFonts w:ascii="Noto Sans" w:hAnsi="Noto Sans" w:eastAsia="Noto Sans"/>
                  <w:color w:val="1A5A7A"/>
                  <w:u w:val="single"/>
                  <w:sz w:val="20"/>
                </w:rPr>
                <w:t>Historical Latin route</w:t>
              </w:r>
            </w:hyperlink>
          </w:p>
        </w:tc>
        <w:tc>
          <w:tcPr>
            <w:tcW w:type="dxa" w:w="141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A25-R124</w:t>
            </w:r>
          </w:p>
        </w:tc>
        <w:tc>
          <w:tcPr>
            <w:tcW w:type="dxa" w:w="3572"/>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Полезен как preservation route; не заменяет Greek text.</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Прокл, Timaeus</w:t>
            </w:r>
          </w:p>
        </w:tc>
        <w:tc>
          <w:tcPr>
            <w:tcW w:type="dxa" w:w="243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37">
              <w:r>
                <w:rPr>
                  <w:rFonts w:ascii="Noto Sans" w:hAnsi="Noto Sans" w:eastAsia="Noto Sans"/>
                  <w:color w:val="1A5A7A"/>
                  <w:u w:val="single"/>
                  <w:sz w:val="20"/>
                </w:rPr>
                <w:t>Diehl vol. 1</w:t>
              </w:r>
            </w:hyperlink>
          </w:p>
        </w:tc>
        <w:tc>
          <w:tcPr>
            <w:tcW w:type="dxa" w:w="141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A25-R125</w:t>
            </w:r>
          </w:p>
        </w:tc>
        <w:tc>
          <w:tcPr>
            <w:tcW w:type="dxa" w:w="3572"/>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Item states Public Domain Mark; проверять юрисдикцию.</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Прокл, Parmenides</w:t>
            </w:r>
          </w:p>
        </w:tc>
        <w:tc>
          <w:tcPr>
            <w:tcW w:type="dxa" w:w="243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38">
              <w:r>
                <w:rPr>
                  <w:rFonts w:ascii="Noto Sans" w:hAnsi="Noto Sans" w:eastAsia="Noto Sans"/>
                  <w:color w:val="1A5A7A"/>
                  <w:u w:val="single"/>
                  <w:sz w:val="20"/>
                </w:rPr>
                <w:t>Cousin edition</w:t>
              </w:r>
            </w:hyperlink>
          </w:p>
        </w:tc>
        <w:tc>
          <w:tcPr>
            <w:tcW w:type="dxa" w:w="141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A25-R126</w:t>
            </w:r>
          </w:p>
        </w:tc>
        <w:tc>
          <w:tcPr>
            <w:tcW w:type="dxa" w:w="3572"/>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Старое Greek–Latin edition.</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Прокл, Republic</w:t>
            </w:r>
          </w:p>
        </w:tc>
        <w:tc>
          <w:tcPr>
            <w:tcW w:type="dxa" w:w="243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39">
              <w:r>
                <w:rPr>
                  <w:rFonts w:ascii="Noto Sans" w:hAnsi="Noto Sans" w:eastAsia="Noto Sans"/>
                  <w:color w:val="1A5A7A"/>
                  <w:u w:val="single"/>
                  <w:sz w:val="20"/>
                </w:rPr>
                <w:t>Historical Greek edition</w:t>
              </w:r>
            </w:hyperlink>
          </w:p>
        </w:tc>
        <w:tc>
          <w:tcPr>
            <w:tcW w:type="dxa" w:w="141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A25-R127</w:t>
            </w:r>
          </w:p>
        </w:tc>
        <w:tc>
          <w:tcPr>
            <w:tcW w:type="dxa" w:w="3572"/>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Прямой комментарий к core dialogue.</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Прокл, Balboa translation</w:t>
            </w:r>
          </w:p>
        </w:tc>
        <w:tc>
          <w:tcPr>
            <w:tcW w:type="dxa" w:w="243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40">
              <w:r>
                <w:rPr>
                  <w:rFonts w:ascii="Noto Sans" w:hAnsi="Noto Sans" w:eastAsia="Noto Sans"/>
                  <w:color w:val="1A5A7A"/>
                  <w:u w:val="single"/>
                  <w:sz w:val="20"/>
                </w:rPr>
                <w:t>CC BY-NC-ND item</w:t>
              </w:r>
            </w:hyperlink>
          </w:p>
        </w:tc>
        <w:tc>
          <w:tcPr>
            <w:tcW w:type="dxa" w:w="141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A25-R128</w:t>
            </w:r>
          </w:p>
        </w:tc>
        <w:tc>
          <w:tcPr>
            <w:tcW w:type="dxa" w:w="3572"/>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Бесплатно, но only unchanged + noncommercial + attribution.</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Александр, modern OA</w:t>
            </w:r>
          </w:p>
        </w:tc>
        <w:tc>
          <w:tcPr>
            <w:tcW w:type="dxa" w:w="243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41">
              <w:r>
                <w:rPr>
                  <w:rFonts w:ascii="Noto Sans" w:hAnsi="Noto Sans" w:eastAsia="Noto Sans"/>
                  <w:color w:val="1A5A7A"/>
                  <w:u w:val="single"/>
                  <w:sz w:val="20"/>
                </w:rPr>
                <w:t>De Gruyter DOI</w:t>
              </w:r>
            </w:hyperlink>
          </w:p>
        </w:tc>
        <w:tc>
          <w:tcPr>
            <w:tcW w:type="dxa" w:w="141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A25-R129</w:t>
            </w:r>
          </w:p>
        </w:tc>
        <w:tc>
          <w:tcPr>
            <w:tcW w:type="dxa" w:w="3572"/>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Free access; exact CC license не зафиксирована — link/download only.</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Современная series</w:t>
            </w:r>
          </w:p>
        </w:tc>
        <w:tc>
          <w:tcPr>
            <w:tcW w:type="dxa" w:w="243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42">
              <w:r>
                <w:rPr>
                  <w:rFonts w:ascii="Noto Sans" w:hAnsi="Noto Sans" w:eastAsia="Noto Sans"/>
                  <w:color w:val="1A5A7A"/>
                  <w:u w:val="single"/>
                  <w:sz w:val="20"/>
                </w:rPr>
                <w:t>Ancient Commentators Project</w:t>
              </w:r>
            </w:hyperlink>
          </w:p>
        </w:tc>
        <w:tc>
          <w:tcPr>
            <w:tcW w:type="dxa" w:w="1417"/>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A25-R130</w:t>
            </w:r>
          </w:p>
        </w:tc>
        <w:tc>
          <w:tcPr>
            <w:tcW w:type="dxa" w:w="3572"/>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Лучший modern English route; обычно purchase/library.</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Школьная/академическая рецепция</w:t>
            </w:r>
          </w:p>
        </w:tc>
        <w:tc>
          <w:tcPr>
            <w:tcW w:type="dxa" w:w="243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r>
            <w:hyperlink r:id="rId43">
              <w:r>
                <w:rPr>
                  <w:rFonts w:ascii="Noto Sans" w:hAnsi="Noto Sans" w:eastAsia="Noto Sans"/>
                  <w:color w:val="1A5A7A"/>
                  <w:u w:val="single"/>
                  <w:sz w:val="20"/>
                </w:rPr>
                <w:t>Diogenes Laertius / PG</w:t>
              </w:r>
            </w:hyperlink>
          </w:p>
        </w:tc>
        <w:tc>
          <w:tcPr>
            <w:tcW w:type="dxa" w:w="1417"/>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A25-R131–R133</w:t>
            </w:r>
          </w:p>
        </w:tc>
        <w:tc>
          <w:tcPr>
            <w:tcW w:type="dxa" w:w="3572"/>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6"/>
              </w:rPr>
              <w:t>Testimonia и Цицерон; не заменяют original classical works.</w:t>
            </w:r>
          </w:p>
        </w:tc>
      </w:tr>
    </w:tbl>
    <w:p>
      <w:pPr>
        <w:pStyle w:val="Heading1"/>
        <w:keepNext/>
        <w:keepLines/>
        <w:pageBreakBefore w:val="0"/>
      </w:pPr>
      <w:r>
        <w:rPr>
          <w:rFonts w:ascii="Noto Sans" w:hAnsi="Noto Sans" w:eastAsia="Noto Sans" w:cs="Noto Sans"/>
          <w:b/>
          <w:color w:val="173A4F"/>
          <w:sz w:val="30"/>
        </w:rPr>
        <w:t>4. Карта прав и практического использования</w:t>
      </w:r>
    </w:p>
    <w:p>
      <w:pPr>
        <w:pStyle w:val="Heading2"/>
        <w:keepNext/>
        <w:keepLines/>
      </w:pPr>
      <w:r>
        <w:rPr>
          <w:rFonts w:ascii="Noto Sans" w:hAnsi="Noto Sans" w:eastAsia="Noto Sans" w:cs="Noto Sans"/>
          <w:b/>
          <w:color w:val="2B6F77"/>
          <w:sz w:val="23"/>
        </w:rPr>
        <w:t>4.1. Потенциально зеркалируемый слой</w:t>
      </w:r>
    </w:p>
    <w:p>
      <w:pPr>
        <w:spacing w:after="100" w:line="259" w:lineRule="auto"/>
      </w:pPr>
      <w:r>
        <w:rPr>
          <w:rFonts w:ascii="Noto Sans" w:hAnsi="Noto Sans" w:eastAsia="Noto Sans" w:cs="Noto Sans"/>
          <w:i w:val="0"/>
          <w:color w:val="24303A"/>
          <w:sz w:val="20"/>
        </w:rPr>
        <w:t>Самый чистый технический слой — openly licensed data/text, а не современная книжная PDF. Perseus canonical-greekLit и Open Greek and Latin First1KGreek заявляют CC BY-SA 4.0 unless otherwise indicated; поэтому MIRROR_WITH_ATTRIBUTION, FULLTEXT_INDEX_OK, EMBEDDINGS_OK и OWN_TRANSLATION_POSSIBLE применимы только к конкретным файлам, чьи headers не содержат иного режима. ShareAlike должен сохраняться.</w:t>
      </w:r>
    </w:p>
    <w:p>
      <w:pPr>
        <w:spacing w:after="100" w:line="259" w:lineRule="auto"/>
      </w:pPr>
      <w:r>
        <w:rPr>
          <w:rFonts w:ascii="Noto Sans" w:hAnsi="Noto Sans" w:eastAsia="Noto Sans" w:cs="Noto Sans"/>
          <w:i w:val="0"/>
          <w:color w:val="24303A"/>
          <w:sz w:val="20"/>
        </w:rPr>
        <w:t>Papyri.info/idp.data предоставляет CC BY 3.0 для data/transcription layer. Это позволяет локальную копию, индексацию, embeddings и перевод конкретного фрагмента с атрибуцией. Лицензия не переносится автоматически на внешнее музейное изображение папируса.</w:t>
      </w:r>
    </w:p>
    <w:p>
      <w:pPr>
        <w:spacing w:after="100" w:line="259" w:lineRule="auto"/>
      </w:pPr>
      <w:r>
        <w:rPr>
          <w:rFonts w:ascii="Noto Sans" w:hAnsi="Noto Sans" w:eastAsia="Noto Sans" w:cs="Noto Sans"/>
          <w:i w:val="0"/>
          <w:color w:val="24303A"/>
          <w:sz w:val="20"/>
        </w:rPr>
        <w:t>Project Gutenberg item pages маркируют использованные исторические переводы как Public Domain in the USA. В registry им присвоен MIRROR_OK вместе с RIGHTS_REVIEW_REQUIRED: положительный тег ограничен named eBook/translation package и американским статусом; условия товарного знака и право другой юрисдикции нужно проверить.</w:t>
      </w:r>
    </w:p>
    <w:p>
      <w:pPr>
        <w:pStyle w:val="Heading2"/>
        <w:keepNext/>
        <w:keepLines/>
      </w:pPr>
      <w:r>
        <w:rPr>
          <w:rFonts w:ascii="Noto Sans" w:hAnsi="Noto Sans" w:eastAsia="Noto Sans" w:cs="Noto Sans"/>
          <w:b/>
          <w:color w:val="2B6F77"/>
          <w:sz w:val="23"/>
        </w:rPr>
        <w:t>4.2. Некоммерческое и условное повторное использование</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2466"/>
        <w:gridCol w:w="2466"/>
        <w:gridCol w:w="2466"/>
        <w:gridCol w:w="2466"/>
      </w:tblGrid>
      <w:tr>
        <w:trPr>
          <w:tblHeader w:val="true"/>
          <w:cantSplit/>
        </w:trPr>
        <w:tc>
          <w:tcPr>
            <w:tcW w:type="dxa" w:w="1871"/>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Источник</w:t>
            </w:r>
          </w:p>
        </w:tc>
        <w:tc>
          <w:tcPr>
            <w:tcW w:type="dxa" w:w="2835"/>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Правовой слой</w:t>
            </w:r>
          </w:p>
        </w:tc>
        <w:tc>
          <w:tcPr>
            <w:tcW w:type="dxa" w:w="2324"/>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Практический тег</w:t>
            </w:r>
          </w:p>
        </w:tc>
        <w:tc>
          <w:tcPr>
            <w:tcW w:type="dxa" w:w="2721"/>
            <w:shd w:fill="2B6F77"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Граница</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Digital Bodleian</w:t>
            </w:r>
          </w:p>
        </w:tc>
        <w:tc>
          <w:tcPr>
            <w:tcW w:type="dxa" w:w="283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В основном CC BY-NC 4.0; item terms override</w:t>
            </w:r>
          </w:p>
        </w:tc>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MIRROR_NONCOMMERCIAL; MIRROR_WITH_ATTRIBUTION</w:t>
            </w:r>
          </w:p>
        </w:tc>
        <w:tc>
          <w:tcPr>
            <w:tcW w:type="dxa" w:w="272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Только конкретные изображения/метаданные; без коммерческого использования.</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Gallica/BnF</w:t>
            </w:r>
          </w:p>
        </w:tc>
        <w:tc>
          <w:tcPr>
            <w:tcW w:type="dxa" w:w="283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Некоммерческое повторное использование бесплатно с указанием BnF/Gallica</w:t>
            </w:r>
          </w:p>
        </w:tc>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MIRROR_NONCOMMERCIAL; MIRROR_WITH_ATTRIBUTION</w:t>
            </w:r>
          </w:p>
        </w:tc>
        <w:tc>
          <w:tcPr>
            <w:tcW w:type="dxa" w:w="272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Применять к названному digital object; коммерческий reuse требует отдельного режима.</w:t>
            </w:r>
          </w:p>
        </w:tc>
      </w:tr>
      <w:tr>
        <w:trPr>
          <w:cantSplit/>
        </w:trPr>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Wikisource</w:t>
            </w:r>
          </w:p>
        </w:tc>
        <w:tc>
          <w:tcPr>
            <w:tcW w:type="dxa" w:w="283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CC BY-SA для collaborative text layer; исторический перевод оценивается отдельно</w:t>
            </w:r>
          </w:p>
        </w:tc>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MIRROR_WITH_ATTRIBUTION; SHAREALIKE_REQUIRED</w:t>
            </w:r>
          </w:p>
        </w:tc>
        <w:tc>
          <w:tcPr>
            <w:tcW w:type="dxa" w:w="272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Не переносить лицензию страницы на факсимиле третьих лиц.</w:t>
            </w:r>
          </w:p>
        </w:tc>
      </w:tr>
      <w:tr>
        <w:trPr>
          <w:cantSplit/>
        </w:trPr>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Proclus/Balboa</w:t>
            </w:r>
          </w:p>
        </w:tc>
        <w:tc>
          <w:tcPr>
            <w:tcW w:type="dxa" w:w="283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CC BY-NC-ND 4.0</w:t>
            </w:r>
          </w:p>
        </w:tc>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MIRROR_NONCOMMERCIAL; UNCHANGED_ONLY</w:t>
            </w:r>
          </w:p>
        </w:tc>
        <w:tc>
          <w:tcPr>
            <w:tcW w:type="dxa" w:w="272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Можно распространять неизменённо, с атрибуцией и некоммерчески; производные запрещены.</w:t>
            </w:r>
          </w:p>
        </w:tc>
      </w:tr>
    </w:tbl>
    <w:p>
      <w:pPr>
        <w:pStyle w:val="Heading2"/>
        <w:keepNext/>
        <w:keepLines/>
      </w:pPr>
      <w:r>
        <w:rPr>
          <w:rFonts w:ascii="Noto Sans" w:hAnsi="Noto Sans" w:eastAsia="Noto Sans" w:cs="Noto Sans"/>
          <w:b/>
          <w:color w:val="2B6F77"/>
          <w:sz w:val="23"/>
        </w:rPr>
        <w:t>4.3. Бесплатно читать/скачивать, но не зеркалировать автоматически</w:t>
      </w:r>
    </w:p>
    <w:p>
      <w:pPr>
        <w:pStyle w:val="ListBullet"/>
        <w:spacing w:after="60" w:line="252" w:lineRule="auto"/>
        <w:ind w:left="312" w:hanging="142"/>
      </w:pPr>
      <w:r>
        <w:rPr>
          <w:rFonts w:ascii="Noto Sans" w:hAnsi="Noto Sans" w:eastAsia="Noto Sans" w:cs="Noto Sans"/>
          <w:color w:val="24303A"/>
          <w:sz w:val="20"/>
        </w:rPr>
        <w:t>Scaife/Perseus viewer: FREE_READ и LINK_OK доказаны; mirror зависит от edition-level XML/header, а не от факта отображения.</w:t>
      </w:r>
    </w:p>
    <w:p>
      <w:pPr>
        <w:pStyle w:val="ListBullet"/>
        <w:spacing w:after="60" w:line="252" w:lineRule="auto"/>
        <w:ind w:left="312" w:hanging="142"/>
      </w:pPr>
      <w:r>
        <w:rPr>
          <w:rFonts w:ascii="Noto Sans" w:hAnsi="Noto Sans" w:eastAsia="Noto Sans" w:cs="Noto Sans"/>
          <w:color w:val="24303A"/>
          <w:sz w:val="20"/>
        </w:rPr>
        <w:t>DCGAS: portal-level бесплатное чтение и часть downloads доказаны; rights конкретного Greek/Arabic source edition могут различаться.</w:t>
      </w:r>
    </w:p>
    <w:p>
      <w:pPr>
        <w:pStyle w:val="ListBullet"/>
        <w:spacing w:after="60" w:line="252" w:lineRule="auto"/>
        <w:ind w:left="312" w:hanging="142"/>
      </w:pPr>
      <w:r>
        <w:rPr>
          <w:rFonts w:ascii="Noto Sans" w:hAnsi="Noto Sans" w:eastAsia="Noto Sans" w:cs="Noto Sans"/>
          <w:color w:val="24303A"/>
          <w:sz w:val="20"/>
        </w:rPr>
        <w:t>Internet Archive: наличие файла и кнопки download не является гарантией законности. MIRROR_OK оставлен только там, где item-level Public Domain Mark/statement достаточно ясны; остальные строки требуют review.</w:t>
      </w:r>
    </w:p>
    <w:p>
      <w:pPr>
        <w:pStyle w:val="ListBullet"/>
        <w:spacing w:after="60" w:line="252" w:lineRule="auto"/>
        <w:ind w:left="312" w:hanging="142"/>
      </w:pPr>
      <w:r>
        <w:rPr>
          <w:rFonts w:ascii="Noto Sans" w:hAnsi="Noto Sans" w:eastAsia="Noto Sans" w:cs="Noto Sans"/>
          <w:color w:val="24303A"/>
          <w:sz w:val="20"/>
        </w:rPr>
        <w:t>HathiTrust: Full View не равен свободному full-PDF. Для Google-digitized copies публичный пользователь часто получает page-by-page download, а full PDF — после member authentication.</w:t>
      </w:r>
    </w:p>
    <w:p>
      <w:pPr>
        <w:pStyle w:val="ListBullet"/>
        <w:spacing w:after="60" w:line="252" w:lineRule="auto"/>
        <w:ind w:left="312" w:hanging="142"/>
      </w:pPr>
      <w:r>
        <w:rPr>
          <w:rFonts w:ascii="Noto Sans" w:hAnsi="Noto Sans" w:eastAsia="Noto Sans" w:cs="Noto Sans"/>
          <w:color w:val="24303A"/>
          <w:sz w:val="20"/>
        </w:rPr>
        <w:t>Vatican Library и British Library: просмотр и исследование доступны; публикация изображения/массовое зеркалирование не выведены из древности рукописи или папируса.</w:t>
      </w:r>
    </w:p>
    <w:p>
      <w:pPr>
        <w:pStyle w:val="Heading2"/>
        <w:keepNext/>
        <w:keepLines/>
      </w:pPr>
      <w:r>
        <w:rPr>
          <w:rFonts w:ascii="Noto Sans" w:hAnsi="Noto Sans" w:eastAsia="Noto Sans" w:cs="Noto Sans"/>
          <w:b/>
          <w:color w:val="2B6F77"/>
          <w:sz w:val="23"/>
        </w:rPr>
        <w:t>4.4. Link-only, borrow, preview и purchase</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2466"/>
        <w:gridCol w:w="2466"/>
        <w:gridCol w:w="2466"/>
        <w:gridCol w:w="2466"/>
      </w:tblGrid>
      <w:tr>
        <w:trPr>
          <w:tblHeader w:val="true"/>
          <w:cantSplit/>
        </w:trPr>
        <w:tc>
          <w:tcPr>
            <w:tcW w:type="dxa" w:w="2098"/>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Ресурс</w:t>
            </w:r>
          </w:p>
        </w:tc>
        <w:tc>
          <w:tcPr>
            <w:tcW w:type="dxa" w:w="1871"/>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Доступ</w:t>
            </w:r>
          </w:p>
        </w:tc>
        <w:tc>
          <w:tcPr>
            <w:tcW w:type="dxa" w:w="2778"/>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tos_use</w:t>
            </w:r>
          </w:p>
        </w:tc>
        <w:tc>
          <w:tcPr>
            <w:tcW w:type="dxa" w:w="3005"/>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Почему не mirror</w:t>
            </w:r>
          </w:p>
        </w:tc>
      </w:tr>
      <w:tr>
        <w:trPr>
          <w:cantSplit/>
        </w:trPr>
        <w:tc>
          <w:tcPr>
            <w:tcW w:type="dxa" w:w="209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TLG</w:t>
            </w:r>
          </w:p>
        </w:tc>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Subscription/search</w:t>
            </w:r>
          </w:p>
        </w:tc>
        <w:tc>
          <w:tcPr>
            <w:tcW w:type="dxa" w:w="277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LINK_OK; LINK_ONLY; PERMISSION_REQUIRED</w:t>
            </w:r>
          </w:p>
        </w:tc>
        <w:tc>
          <w:tcPr>
            <w:tcW w:type="dxa" w:w="300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Копирование и bulk download запрещены условиями подписки.</w:t>
            </w:r>
          </w:p>
        </w:tc>
      </w:tr>
      <w:tr>
        <w:trPr>
          <w:cantSplit/>
        </w:trPr>
        <w:tc>
          <w:tcPr>
            <w:tcW w:type="dxa" w:w="209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Aristoteles Latinus Database</w:t>
            </w:r>
          </w:p>
        </w:tc>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Institutional access</w:t>
            </w:r>
          </w:p>
        </w:tc>
        <w:tc>
          <w:tcPr>
            <w:tcW w:type="dxa" w:w="277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LINK_OK; LINK_ONLY; PERMISSION_REQUIRED</w:t>
            </w:r>
          </w:p>
        </w:tc>
        <w:tc>
          <w:tcPr>
            <w:tcW w:type="dxa" w:w="300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Сильная научная база, но не open dataset.</w:t>
            </w:r>
          </w:p>
        </w:tc>
      </w:tr>
      <w:tr>
        <w:trPr>
          <w:cantSplit/>
        </w:trPr>
        <w:tc>
          <w:tcPr>
            <w:tcW w:type="dxa" w:w="209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Hackett Complete Works</w:t>
            </w:r>
          </w:p>
        </w:tc>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Purchase/library/preview</w:t>
            </w:r>
          </w:p>
        </w:tc>
        <w:tc>
          <w:tcPr>
            <w:tcW w:type="dxa" w:w="277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PURCHASE; LIBRARY_BORROW; LINK_ONLY</w:t>
            </w:r>
          </w:p>
        </w:tc>
        <w:tc>
          <w:tcPr>
            <w:tcW w:type="dxa" w:w="300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Современный перевод защищён.</w:t>
            </w:r>
          </w:p>
        </w:tc>
      </w:tr>
      <w:tr>
        <w:trPr>
          <w:cantSplit/>
        </w:trPr>
        <w:tc>
          <w:tcPr>
            <w:tcW w:type="dxa" w:w="209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Loeb Classical Library</w:t>
            </w:r>
          </w:p>
        </w:tc>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Subscription/purchase</w:t>
            </w:r>
          </w:p>
        </w:tc>
        <w:tc>
          <w:tcPr>
            <w:tcW w:type="dxa" w:w="277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PURCHASE; LINK_ONLY</w:t>
            </w:r>
          </w:p>
        </w:tc>
        <w:tc>
          <w:tcPr>
            <w:tcW w:type="dxa" w:w="300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Современные editions/translations защищены.</w:t>
            </w:r>
          </w:p>
        </w:tc>
      </w:tr>
      <w:tr>
        <w:trPr>
          <w:cantSplit/>
        </w:trPr>
        <w:tc>
          <w:tcPr>
            <w:tcW w:type="dxa" w:w="209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JSTOR Revised Oxford Aristotle</w:t>
            </w:r>
          </w:p>
        </w:tc>
        <w:tc>
          <w:tcPr>
            <w:tcW w:type="dxa" w:w="1871"/>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Institutional/purchase/preview</w:t>
            </w:r>
          </w:p>
        </w:tc>
        <w:tc>
          <w:tcPr>
            <w:tcW w:type="dxa" w:w="2778"/>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PURCHASE; LIBRARY_BORROW; LINK_ONLY</w:t>
            </w:r>
          </w:p>
        </w:tc>
        <w:tc>
          <w:tcPr>
            <w:tcW w:type="dxa" w:w="3005"/>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Лучший modern scholarly route, но no public redistribution.</w:t>
            </w:r>
          </w:p>
        </w:tc>
      </w:tr>
      <w:tr>
        <w:trPr>
          <w:cantSplit/>
        </w:trPr>
        <w:tc>
          <w:tcPr>
            <w:tcW w:type="dxa" w:w="209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Ancient Commentators/Bloomsbury</w:t>
            </w:r>
          </w:p>
        </w:tc>
        <w:tc>
          <w:tcPr>
            <w:tcW w:type="dxa" w:w="1871"/>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Purchase/library/preview</w:t>
            </w:r>
          </w:p>
        </w:tc>
        <w:tc>
          <w:tcPr>
            <w:tcW w:type="dxa" w:w="2778"/>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PURCHASE; LIBRARY_BORROW; LINK_ONLY</w:t>
            </w:r>
          </w:p>
        </w:tc>
        <w:tc>
          <w:tcPr>
            <w:tcW w:type="dxa" w:w="3005"/>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Modern English translations in copyright.</w:t>
            </w:r>
          </w:p>
        </w:tc>
      </w:tr>
    </w:tbl>
    <w:p>
      <w:pPr>
        <w:pStyle w:val="Heading2"/>
        <w:keepNext/>
        <w:keepLines/>
      </w:pPr>
      <w:r>
        <w:rPr>
          <w:rFonts w:ascii="Noto Sans" w:hAnsi="Noto Sans" w:eastAsia="Noto Sans" w:cs="Noto Sans"/>
          <w:b/>
          <w:color w:val="2B6F77"/>
          <w:sz w:val="23"/>
        </w:rPr>
        <w:t>4.5. Основа для собственного перевода ToS</w:t>
      </w:r>
    </w:p>
    <w:p>
      <w:pPr>
        <w:spacing w:after="100" w:line="259" w:lineRule="auto"/>
      </w:pPr>
      <w:r>
        <w:rPr>
          <w:rFonts w:ascii="Noto Sans" w:hAnsi="Noto Sans" w:eastAsia="Noto Sans" w:cs="Noto Sans"/>
          <w:i w:val="0"/>
          <w:color w:val="24303A"/>
          <w:sz w:val="20"/>
        </w:rPr>
        <w:t>OWN_TRANSLATION_POSSIBLE поставлен только там, где есть конкретная clean basis: Ancient Greek XML с проверяемой open license; CC BY DCLP transcription; либо доступное facsimile исторического свидетеля. Тег всегда ограничен coverage. Для папируса он означает перевод фрагмента, для codex — только реально присутствующего и читаемого текста, для repository — только конкретного file с проверенной лицензией.</w:t>
      </w:r>
    </w:p>
    <w:p>
      <w:pPr>
        <w:spacing w:after="100" w:line="259" w:lineRule="auto"/>
      </w:pPr>
      <w:r>
        <w:rPr>
          <w:rFonts w:ascii="Noto Sans" w:hAnsi="Noto Sans" w:eastAsia="Noto Sans" w:cs="Noto Sans"/>
          <w:i w:val="0"/>
          <w:color w:val="24303A"/>
          <w:sz w:val="20"/>
        </w:rPr>
        <w:t>Современный перевод, защищённое критическое издание, TLG display или современная реконструкция не считаются автоматически чистой основой. Их допустимо использовать как научный контроль, но не как единственный слой для публично распространяемого нового перевода без дополнительной правовой и филологической проверки.</w:t>
      </w:r>
    </w:p>
    <w:p>
      <w:r>
        <w:rPr>
          <w:rFonts w:ascii="Noto Sans" w:hAnsi="Noto Sans" w:eastAsia="Noto Sans" w:cs="Noto Sans"/>
          <w:b/>
          <w:color w:val="24303A"/>
          <w:sz w:val="20"/>
        </w:rPr>
        <w:t xml:space="preserve">Ключевые rights evidence: </w:t>
      </w:r>
      <w:hyperlink r:id="rId11">
        <w:r>
          <w:rPr>
            <w:rFonts w:ascii="Noto Sans" w:hAnsi="Noto Sans" w:eastAsia="Noto Sans"/>
            <w:color w:val="1A5A7A"/>
            <w:u w:val="single"/>
            <w:sz w:val="20"/>
          </w:rPr>
          <w:t>canonical-greekLit LICENSE/README</w:t>
        </w:r>
      </w:hyperlink>
      <w:r>
        <w:rPr>
          <w:rFonts w:ascii="Noto Sans" w:hAnsi="Noto Sans" w:eastAsia="Noto Sans" w:cs="Noto Sans"/>
          <w:color w:val="5B6670"/>
          <w:sz w:val="20"/>
        </w:rPr>
        <w:t xml:space="preserve"> · </w:t>
      </w:r>
      <w:hyperlink r:id="rId12">
        <w:r>
          <w:rPr>
            <w:rFonts w:ascii="Noto Sans" w:hAnsi="Noto Sans" w:eastAsia="Noto Sans"/>
            <w:color w:val="1A5A7A"/>
            <w:u w:val="single"/>
            <w:sz w:val="20"/>
          </w:rPr>
          <w:t>First1KGreek</w:t>
        </w:r>
      </w:hyperlink>
      <w:r>
        <w:rPr>
          <w:rFonts w:ascii="Noto Sans" w:hAnsi="Noto Sans" w:eastAsia="Noto Sans" w:cs="Noto Sans"/>
          <w:color w:val="5B6670"/>
          <w:sz w:val="20"/>
        </w:rPr>
        <w:t xml:space="preserve"> · </w:t>
      </w:r>
      <w:hyperlink r:id="rId33">
        <w:r>
          <w:rPr>
            <w:rFonts w:ascii="Noto Sans" w:hAnsi="Noto Sans" w:eastAsia="Noto Sans"/>
            <w:color w:val="1A5A7A"/>
            <w:u w:val="single"/>
            <w:sz w:val="20"/>
          </w:rPr>
          <w:t>Papyri data</w:t>
        </w:r>
      </w:hyperlink>
      <w:r>
        <w:rPr>
          <w:rFonts w:ascii="Noto Sans" w:hAnsi="Noto Sans" w:eastAsia="Noto Sans" w:cs="Noto Sans"/>
          <w:color w:val="5B6670"/>
          <w:sz w:val="20"/>
        </w:rPr>
        <w:t xml:space="preserve"> · </w:t>
      </w:r>
      <w:hyperlink r:id="rId44">
        <w:r>
          <w:rPr>
            <w:rFonts w:ascii="Noto Sans" w:hAnsi="Noto Sans" w:eastAsia="Noto Sans"/>
            <w:color w:val="1A5A7A"/>
            <w:u w:val="single"/>
            <w:sz w:val="20"/>
          </w:rPr>
          <w:t>HathiTrust policy</w:t>
        </w:r>
      </w:hyperlink>
      <w:r>
        <w:rPr>
          <w:rFonts w:ascii="Noto Sans" w:hAnsi="Noto Sans" w:eastAsia="Noto Sans" w:cs="Noto Sans"/>
          <w:color w:val="5B6670"/>
          <w:sz w:val="20"/>
        </w:rPr>
        <w:t xml:space="preserve"> · </w:t>
      </w:r>
      <w:hyperlink r:id="rId45">
        <w:r>
          <w:rPr>
            <w:rFonts w:ascii="Noto Sans" w:hAnsi="Noto Sans" w:eastAsia="Noto Sans"/>
            <w:color w:val="1A5A7A"/>
            <w:u w:val="single"/>
            <w:sz w:val="20"/>
          </w:rPr>
          <w:t>Gallica conditions</w:t>
        </w:r>
      </w:hyperlink>
    </w:p>
    <w:p>
      <w:pPr>
        <w:pStyle w:val="Heading1"/>
        <w:keepNext/>
        <w:keepLines/>
        <w:pageBreakBefore w:val="0"/>
      </w:pPr>
      <w:r>
        <w:rPr>
          <w:rFonts w:ascii="Noto Sans" w:hAnsi="Noto Sans" w:eastAsia="Noto Sans" w:cs="Noto Sans"/>
          <w:b/>
          <w:color w:val="173A4F"/>
          <w:sz w:val="30"/>
        </w:rPr>
        <w:t>5. Характерные правовые тонкости</w:t>
      </w:r>
    </w:p>
    <w:p>
      <w:pPr>
        <w:keepLines/>
        <w:spacing w:after="80"/>
      </w:pPr>
      <w:r>
        <w:rPr>
          <w:rFonts w:ascii="Noto Sans" w:hAnsi="Noto Sans" w:eastAsia="Noto Sans" w:cs="Noto Sans"/>
          <w:b/>
          <w:color w:val="173A4F"/>
          <w:sz w:val="20"/>
        </w:rPr>
        <w:t xml:space="preserve">Древний original ≠ свободный современный перевод. </w:t>
      </w:r>
      <w:r>
        <w:rPr>
          <w:rFonts w:ascii="Noto Sans" w:hAnsi="Noto Sans" w:eastAsia="Noto Sans" w:cs="Noto Sans"/>
          <w:color w:val="24303A"/>
          <w:sz w:val="20"/>
        </w:rPr>
        <w:t>Платон и Аристотель как античные works не охраняются авторским правом, но Hackett, Loeb, Revised Oxford, De Gruyter translations и современный комментарий могут быть полностью защищены.</w:t>
      </w:r>
    </w:p>
    <w:p>
      <w:pPr>
        <w:keepLines/>
        <w:spacing w:after="80"/>
      </w:pPr>
      <w:r>
        <w:rPr>
          <w:rFonts w:ascii="Noto Sans" w:hAnsi="Noto Sans" w:eastAsia="Noto Sans" w:cs="Noto Sans"/>
          <w:b/>
          <w:color w:val="173A4F"/>
          <w:sz w:val="20"/>
        </w:rPr>
        <w:t xml:space="preserve">Критическое издание и реконструкция — самостоятельный слой. </w:t>
      </w:r>
      <w:r>
        <w:rPr>
          <w:rFonts w:ascii="Noto Sans" w:hAnsi="Noto Sans" w:eastAsia="Noto Sans" w:cs="Noto Sans"/>
          <w:color w:val="24303A"/>
          <w:sz w:val="20"/>
        </w:rPr>
        <w:t>Даже когда underlying Greek public domain, редакторский выбор, apparatus, punctuation, conjectures и научная реконструкция могут иметь собственную охрану или contractual restrictions.</w:t>
      </w:r>
    </w:p>
    <w:p>
      <w:pPr>
        <w:keepLines/>
        <w:spacing w:after="80"/>
      </w:pPr>
      <w:r>
        <w:rPr>
          <w:rFonts w:ascii="Noto Sans" w:hAnsi="Noto Sans" w:eastAsia="Noto Sans" w:cs="Noto Sans"/>
          <w:b/>
          <w:color w:val="173A4F"/>
          <w:sz w:val="20"/>
        </w:rPr>
        <w:t xml:space="preserve">Фотография рукописи не равна рукописи. </w:t>
      </w:r>
      <w:r>
        <w:rPr>
          <w:rFonts w:ascii="Noto Sans" w:hAnsi="Noto Sans" w:eastAsia="Noto Sans" w:cs="Noto Sans"/>
          <w:color w:val="24303A"/>
          <w:sz w:val="20"/>
        </w:rPr>
        <w:t>Clarke 39, Vat.gr.1, BnF codices и Papyrus 131 древние, но учреждение может ограничивать повторное использование современной фотографии, IIIF derivative или OCR.</w:t>
      </w:r>
    </w:p>
    <w:p>
      <w:pPr>
        <w:keepLines/>
        <w:spacing w:after="80"/>
      </w:pPr>
      <w:r>
        <w:rPr>
          <w:rFonts w:ascii="Noto Sans" w:hAnsi="Noto Sans" w:eastAsia="Noto Sans" w:cs="Noto Sans"/>
          <w:b/>
          <w:color w:val="173A4F"/>
          <w:sz w:val="20"/>
        </w:rPr>
        <w:t xml:space="preserve">Public Domain Mark — не лицензия. </w:t>
      </w:r>
      <w:r>
        <w:rPr>
          <w:rFonts w:ascii="Noto Sans" w:hAnsi="Noto Sans" w:eastAsia="Noto Sans" w:cs="Noto Sans"/>
          <w:color w:val="24303A"/>
          <w:sz w:val="20"/>
        </w:rPr>
        <w:t>Он сообщает оценённый статус, но не создаёт разрешение и не устраняет jurisdiction/provenance review.</w:t>
      </w:r>
    </w:p>
    <w:p>
      <w:pPr>
        <w:keepLines/>
        <w:spacing w:after="80"/>
      </w:pPr>
      <w:r>
        <w:rPr>
          <w:rFonts w:ascii="Noto Sans" w:hAnsi="Noto Sans" w:eastAsia="Noto Sans" w:cs="Noto Sans"/>
          <w:b/>
          <w:color w:val="173A4F"/>
          <w:sz w:val="20"/>
        </w:rPr>
        <w:t xml:space="preserve">Public Domain in the USA не означает worldwide public domain. </w:t>
      </w:r>
      <w:r>
        <w:rPr>
          <w:rFonts w:ascii="Noto Sans" w:hAnsi="Noto Sans" w:eastAsia="Noto Sans" w:cs="Noto Sans"/>
          <w:color w:val="24303A"/>
          <w:sz w:val="20"/>
        </w:rPr>
        <w:t>Project Gutenberg прямо ориентирует пользователя на американский статус; международный ToS должен проверять место размещения и аудиторию.</w:t>
      </w:r>
    </w:p>
    <w:p>
      <w:pPr>
        <w:keepLines/>
        <w:spacing w:after="80"/>
      </w:pPr>
      <w:r>
        <w:rPr>
          <w:rFonts w:ascii="Noto Sans" w:hAnsi="Noto Sans" w:eastAsia="Noto Sans" w:cs="Noto Sans"/>
          <w:b/>
          <w:color w:val="173A4F"/>
          <w:sz w:val="20"/>
        </w:rPr>
        <w:t xml:space="preserve">Download button ≠ redistribution right. </w:t>
      </w:r>
      <w:r>
        <w:rPr>
          <w:rFonts w:ascii="Noto Sans" w:hAnsi="Noto Sans" w:eastAsia="Noto Sans" w:cs="Noto Sans"/>
          <w:color w:val="24303A"/>
          <w:sz w:val="20"/>
        </w:rPr>
        <w:t>Это особенно важно для Internet Archive, HathiTrust, DCGAS, DigiVatLib и библиотечных facsimiles.</w:t>
      </w:r>
    </w:p>
    <w:p>
      <w:pPr>
        <w:keepLines/>
        <w:spacing w:after="80"/>
      </w:pPr>
      <w:r>
        <w:rPr>
          <w:rFonts w:ascii="Noto Sans" w:hAnsi="Noto Sans" w:eastAsia="Noto Sans" w:cs="Noto Sans"/>
          <w:b/>
          <w:color w:val="173A4F"/>
          <w:sz w:val="20"/>
        </w:rPr>
        <w:t xml:space="preserve">Open code ≠ open data ≠ open images. </w:t>
      </w:r>
      <w:r>
        <w:rPr>
          <w:rFonts w:ascii="Noto Sans" w:hAnsi="Noto Sans" w:eastAsia="Noto Sans" w:cs="Noto Sans"/>
          <w:color w:val="24303A"/>
          <w:sz w:val="20"/>
        </w:rPr>
        <w:t>GitHub repository может иметь открытую лицензию на code или XML, но linked scans, third-party editions и музейные изображения требуют отдельного чтения rights_scope.</w:t>
      </w:r>
    </w:p>
    <w:p>
      <w:pPr>
        <w:keepLines/>
        <w:spacing w:after="80"/>
      </w:pPr>
      <w:r>
        <w:rPr>
          <w:rFonts w:ascii="Noto Sans" w:hAnsi="Noto Sans" w:eastAsia="Noto Sans" w:cs="Noto Sans"/>
          <w:b/>
          <w:color w:val="173A4F"/>
          <w:sz w:val="20"/>
        </w:rPr>
        <w:t xml:space="preserve">NC, ND и SA нельзя сглаживать. </w:t>
      </w:r>
      <w:r>
        <w:rPr>
          <w:rFonts w:ascii="Noto Sans" w:hAnsi="Noto Sans" w:eastAsia="Noto Sans" w:cs="Noto Sans"/>
          <w:color w:val="24303A"/>
          <w:sz w:val="20"/>
        </w:rPr>
        <w:t>CC BY-NC полезна ToS на текущем некоммерческом этапе; ND запрещает производные версии; SA требует сохранять совместимую лицензию на переработанный licensed layer.</w:t>
      </w:r>
    </w:p>
    <w:p>
      <w:pPr>
        <w:keepLines/>
        <w:spacing w:after="80"/>
      </w:pPr>
      <w:r>
        <w:rPr>
          <w:rFonts w:ascii="Noto Sans" w:hAnsi="Noto Sans" w:eastAsia="Noto Sans" w:cs="Noto Sans"/>
          <w:b/>
          <w:color w:val="173A4F"/>
          <w:sz w:val="20"/>
        </w:rPr>
        <w:t xml:space="preserve">Бесплатное чтение может быть лучшим научным маршрутом без права локальной публикации. </w:t>
      </w:r>
      <w:r>
        <w:rPr>
          <w:rFonts w:ascii="Noto Sans" w:hAnsi="Noto Sans" w:eastAsia="Noto Sans" w:cs="Noto Sans"/>
          <w:color w:val="24303A"/>
          <w:sz w:val="20"/>
        </w:rPr>
        <w:t>TLG, ALD, Loeb и JSTOR остаются ценными как контроль текста, библиография и exact citation—even when link-only.</w:t>
      </w:r>
    </w:p>
    <w:tbl>
      <w:tblPr>
        <w:tblW w:type="auto" w:w="0"/>
        <w:jc w:val="center"/>
        <w:tblLayout w:type="fixed"/>
        <w:tblLook w:firstColumn="1" w:firstRow="1" w:lastColumn="0" w:lastRow="0" w:noHBand="0" w:noVBand="1" w:val="04A0"/>
        <w:tblBorders>
          <w:top w:val="single" w:sz="8" w:space="0" w:color="B88A44"/>
          <w:left w:val="single" w:sz="8" w:space="0" w:color="B88A44"/>
          <w:bottom w:val="single" w:sz="8" w:space="0" w:color="B88A44"/>
          <w:right w:val="single" w:sz="8" w:space="0" w:color="B88A44"/>
          <w:insideH w:val="single" w:sz="8" w:space="0" w:color="B88A44"/>
          <w:insideV w:val="single" w:sz="8" w:space="0" w:color="B88A44"/>
        </w:tblBorders>
      </w:tblPr>
      <w:tblGrid>
        <w:gridCol w:w="9866"/>
      </w:tblGrid>
      <w:tr>
        <w:trPr>
          <w:cantSplit/>
        </w:trPr>
        <w:tc>
          <w:tcPr>
            <w:tcW w:type="dxa" w:w="9751"/>
            <w:shd w:fill="F7F0E3" w:val="clear"/>
            <w:tcMar>
              <w:top w:w="140" w:type="dxa"/>
              <w:start w:w="180" w:type="dxa"/>
              <w:bottom w:w="140" w:type="dxa"/>
              <w:end w:w="180" w:type="dxa"/>
            </w:tcMar>
          </w:tcPr>
          <w:p>
            <w:pPr>
              <w:spacing w:after="60"/>
            </w:pPr>
            <w:r>
              <w:rPr>
                <w:rFonts w:ascii="Noto Sans" w:hAnsi="Noto Sans" w:eastAsia="Noto Sans" w:cs="Noto Sans"/>
                <w:b/>
                <w:color w:val="173A4F"/>
                <w:sz w:val="20"/>
              </w:rPr>
              <w:t>Главный повторяющийся риск</w:t>
            </w:r>
          </w:p>
          <w:p>
            <w:pPr>
              <w:spacing w:after="0" w:line="252" w:lineRule="auto"/>
            </w:pPr>
            <w:r>
              <w:rPr>
                <w:rFonts w:ascii="Noto Sans" w:hAnsi="Noto Sans" w:eastAsia="Noto Sans" w:cs="Noto Sans"/>
                <w:color w:val="24303A"/>
                <w:sz w:val="19"/>
              </w:rPr>
              <w:t>Автоматически переносить свободу древнего произведения на современный перевод, edition, scan, OCR или platform export. В registry каждое разрешение ограничено rights_scope и coverage именно для этой причины.</w:t>
            </w:r>
          </w:p>
        </w:tc>
      </w:tr>
    </w:tbl>
    <w:p>
      <w:pPr>
        <w:spacing w:after="20"/>
      </w:pPr>
    </w:p>
    <w:p>
      <w:pPr>
        <w:pStyle w:val="Heading1"/>
        <w:keepNext/>
        <w:keepLines/>
        <w:pageBreakBefore w:val="0"/>
      </w:pPr>
      <w:r>
        <w:rPr>
          <w:rFonts w:ascii="Noto Sans" w:hAnsi="Noto Sans" w:eastAsia="Noto Sans" w:cs="Noto Sans"/>
          <w:b/>
          <w:color w:val="173A4F"/>
          <w:sz w:val="30"/>
        </w:rPr>
        <w:t>6. Пробелы и дальнейший поиск</w:t>
      </w:r>
    </w:p>
    <w:p>
      <w:pPr>
        <w:spacing w:after="100" w:line="259" w:lineRule="auto"/>
      </w:pPr>
      <w:r>
        <w:rPr>
          <w:rFonts w:ascii="Noto Sans" w:hAnsi="Noto Sans" w:eastAsia="Noto Sans" w:cs="Noto Sans"/>
          <w:i w:val="0"/>
          <w:color w:val="24303A"/>
          <w:sz w:val="20"/>
        </w:rPr>
        <w:t>Лист gaps содержит 15 item-level задач. Это не случайные «соседние темы», а прямые корпусные, комментарийные и переводческие линии A25, для которых в текущем проходе не удалось одновременно установить идентичность, пригодный законный вход и достаточно сильное rights evidence.</w:t>
      </w:r>
    </w:p>
    <w:p>
      <w:pPr>
        <w:pStyle w:val="Heading2"/>
        <w:keepNext/>
        <w:keepLines/>
      </w:pPr>
      <w:r>
        <w:rPr>
          <w:rFonts w:ascii="Noto Sans" w:hAnsi="Noto Sans" w:eastAsia="Noto Sans" w:cs="Noto Sans"/>
          <w:b/>
          <w:color w:val="2B6F77"/>
          <w:sz w:val="23"/>
        </w:rPr>
        <w:t>Современные и русские издания</w:t>
      </w:r>
    </w:p>
    <w:p>
      <w:pPr>
        <w:pStyle w:val="ListBullet"/>
        <w:spacing w:after="60" w:line="252" w:lineRule="auto"/>
        <w:ind w:left="312" w:hanging="142"/>
      </w:pPr>
      <w:r>
        <w:rPr>
          <w:rFonts w:ascii="Noto Sans" w:hAnsi="Noto Sans" w:eastAsia="Noto Sans" w:cs="Noto Sans"/>
          <w:color w:val="24303A"/>
          <w:sz w:val="20"/>
        </w:rPr>
        <w:t>A25-G001 — полный современный русский корпус Платона: найти официальные ISBN, library/preview routes и copyrights переводчиков.</w:t>
      </w:r>
    </w:p>
    <w:p>
      <w:pPr>
        <w:pStyle w:val="ListBullet"/>
        <w:spacing w:after="60" w:line="252" w:lineRule="auto"/>
        <w:ind w:left="312" w:hanging="142"/>
      </w:pPr>
      <w:r>
        <w:rPr>
          <w:rFonts w:ascii="Noto Sans" w:hAnsi="Noto Sans" w:eastAsia="Noto Sans" w:cs="Noto Sans"/>
          <w:color w:val="24303A"/>
          <w:sz w:val="20"/>
        </w:rPr>
        <w:t>A25-G002 — русская Metaphysics Аристотеля: проверить переводчика, edition, происхождение scan и полноту.</w:t>
      </w:r>
    </w:p>
    <w:p>
      <w:pPr>
        <w:pStyle w:val="ListBullet"/>
        <w:spacing w:after="60" w:line="252" w:lineRule="auto"/>
        <w:ind w:left="312" w:hanging="142"/>
      </w:pPr>
      <w:r>
        <w:rPr>
          <w:rFonts w:ascii="Noto Sans" w:hAnsi="Noto Sans" w:eastAsia="Noto Sans" w:cs="Noto Sans"/>
          <w:color w:val="24303A"/>
          <w:sz w:val="20"/>
        </w:rPr>
        <w:t>A25-G003 — русские Categories: Wikisource lead существует, но edition/translator rights не разрешены.</w:t>
      </w:r>
    </w:p>
    <w:p>
      <w:pPr>
        <w:pStyle w:val="ListBullet"/>
        <w:spacing w:after="60" w:line="252" w:lineRule="auto"/>
        <w:ind w:left="312" w:hanging="142"/>
      </w:pPr>
      <w:r>
        <w:rPr>
          <w:rFonts w:ascii="Noto Sans" w:hAnsi="Noto Sans" w:eastAsia="Noto Sans" w:cs="Noto Sans"/>
          <w:color w:val="24303A"/>
          <w:sz w:val="20"/>
        </w:rPr>
        <w:t>A25-G015 — item-level карта современных OCT editions Plato/Aristotle: DOI/ISBN, editor, preview, institutional access.</w:t>
      </w:r>
    </w:p>
    <w:p>
      <w:pPr>
        <w:pStyle w:val="Heading2"/>
        <w:keepNext/>
        <w:keepLines/>
      </w:pPr>
      <w:r>
        <w:rPr>
          <w:rFonts w:ascii="Noto Sans" w:hAnsi="Noto Sans" w:eastAsia="Noto Sans" w:cs="Noto Sans"/>
          <w:b/>
          <w:color w:val="2B6F77"/>
          <w:sz w:val="23"/>
        </w:rPr>
        <w:t>Неполные item-level карты core</w:t>
      </w:r>
    </w:p>
    <w:p>
      <w:pPr>
        <w:pStyle w:val="ListBullet"/>
        <w:spacing w:after="60" w:line="252" w:lineRule="auto"/>
        <w:ind w:left="312" w:hanging="142"/>
      </w:pPr>
      <w:r>
        <w:rPr>
          <w:rFonts w:ascii="Noto Sans" w:hAnsi="Noto Sans" w:eastAsia="Noto Sans" w:cs="Noto Sans"/>
          <w:color w:val="24303A"/>
          <w:sz w:val="20"/>
        </w:rPr>
        <w:t>A25-G004 — exact Scaife CTS URNs для Physics, Posterior Analytics, Topics и Sophistical Refutations.</w:t>
      </w:r>
    </w:p>
    <w:p>
      <w:pPr>
        <w:pStyle w:val="ListBullet"/>
        <w:spacing w:after="60" w:line="252" w:lineRule="auto"/>
        <w:ind w:left="312" w:hanging="142"/>
      </w:pPr>
      <w:r>
        <w:rPr>
          <w:rFonts w:ascii="Noto Sans" w:hAnsi="Noto Sans" w:eastAsia="Noto Sans" w:cs="Noto Sans"/>
          <w:color w:val="24303A"/>
          <w:sz w:val="20"/>
        </w:rPr>
        <w:t>A25-G014 — исчерпывающая карта платоновских папирусов DCLP с TM/LDAB/MP3 и отдельными image rights.</w:t>
      </w:r>
    </w:p>
    <w:p>
      <w:pPr>
        <w:pStyle w:val="Heading2"/>
        <w:keepNext/>
        <w:keepLines/>
      </w:pPr>
      <w:r>
        <w:rPr>
          <w:rFonts w:ascii="Noto Sans" w:hAnsi="Noto Sans" w:eastAsia="Noto Sans" w:cs="Noto Sans"/>
          <w:b/>
          <w:color w:val="2B6F77"/>
          <w:sz w:val="23"/>
        </w:rPr>
        <w:t>Позднеантичный комментарий</w:t>
      </w:r>
    </w:p>
    <w:p>
      <w:pPr>
        <w:pStyle w:val="ListBullet"/>
        <w:spacing w:after="60" w:line="252" w:lineRule="auto"/>
        <w:ind w:left="312" w:hanging="142"/>
      </w:pPr>
      <w:r>
        <w:rPr>
          <w:rFonts w:ascii="Noto Sans" w:hAnsi="Noto Sans" w:eastAsia="Noto Sans" w:cs="Noto Sans"/>
          <w:color w:val="24303A"/>
          <w:sz w:val="20"/>
        </w:rPr>
        <w:t>A25-G005 — Syrianus: CAG volumes, First1KGreek files, modern translations и manuscripts.</w:t>
      </w:r>
    </w:p>
    <w:p>
      <w:pPr>
        <w:pStyle w:val="ListBullet"/>
        <w:spacing w:after="60" w:line="252" w:lineRule="auto"/>
        <w:ind w:left="312" w:hanging="142"/>
      </w:pPr>
      <w:r>
        <w:rPr>
          <w:rFonts w:ascii="Noto Sans" w:hAnsi="Noto Sans" w:eastAsia="Noto Sans" w:cs="Noto Sans"/>
          <w:color w:val="24303A"/>
          <w:sz w:val="20"/>
        </w:rPr>
        <w:t>A25-G006 — Simplicius: Physics, Categories, De caelo и другие commentaries на item level.</w:t>
      </w:r>
    </w:p>
    <w:p>
      <w:pPr>
        <w:pStyle w:val="ListBullet"/>
        <w:spacing w:after="60" w:line="252" w:lineRule="auto"/>
        <w:ind w:left="312" w:hanging="142"/>
      </w:pPr>
      <w:r>
        <w:rPr>
          <w:rFonts w:ascii="Noto Sans" w:hAnsi="Noto Sans" w:eastAsia="Noto Sans" w:cs="Noto Sans"/>
          <w:color w:val="24303A"/>
          <w:sz w:val="20"/>
        </w:rPr>
        <w:t>A25-G007 — Olympiodorus: Plato/Aristotle commentaries, exact scans/XML/publisher records.</w:t>
      </w:r>
    </w:p>
    <w:p>
      <w:pPr>
        <w:pStyle w:val="Heading2"/>
        <w:keepNext/>
        <w:keepLines/>
      </w:pPr>
      <w:r>
        <w:rPr>
          <w:rFonts w:ascii="Noto Sans" w:hAnsi="Noto Sans" w:eastAsia="Noto Sans" w:cs="Noto Sans"/>
          <w:b/>
          <w:color w:val="2B6F77"/>
          <w:sz w:val="23"/>
        </w:rPr>
        <w:t>Сирийско-арабская и латинская передача</w:t>
      </w:r>
    </w:p>
    <w:p>
      <w:pPr>
        <w:pStyle w:val="ListBullet"/>
        <w:spacing w:after="60" w:line="252" w:lineRule="auto"/>
        <w:ind w:left="312" w:hanging="142"/>
      </w:pPr>
      <w:r>
        <w:rPr>
          <w:rFonts w:ascii="Noto Sans" w:hAnsi="Noto Sans" w:eastAsia="Noto Sans" w:cs="Noto Sans"/>
          <w:color w:val="24303A"/>
          <w:sz w:val="20"/>
        </w:rPr>
        <w:t>A25-G008 — Arabic De Interpretatione, attributed to Isḥāq ibn Ḥunayn: exact DCGAS item/editor/download rights.</w:t>
      </w:r>
    </w:p>
    <w:p>
      <w:pPr>
        <w:pStyle w:val="ListBullet"/>
        <w:spacing w:after="60" w:line="252" w:lineRule="auto"/>
        <w:ind w:left="312" w:hanging="142"/>
      </w:pPr>
      <w:r>
        <w:rPr>
          <w:rFonts w:ascii="Noto Sans" w:hAnsi="Noto Sans" w:eastAsia="Noto Sans" w:cs="Noto Sans"/>
          <w:color w:val="24303A"/>
          <w:sz w:val="20"/>
        </w:rPr>
        <w:t>A25-G009 — Syriac Organon versions: Syriaca.org, HMML, eKtobe и manuscript catalogues.</w:t>
      </w:r>
    </w:p>
    <w:p>
      <w:pPr>
        <w:pStyle w:val="ListBullet"/>
        <w:spacing w:after="60" w:line="252" w:lineRule="auto"/>
        <w:ind w:left="312" w:hanging="142"/>
      </w:pPr>
      <w:r>
        <w:rPr>
          <w:rFonts w:ascii="Noto Sans" w:hAnsi="Noto Sans" w:eastAsia="Noto Sans" w:cs="Noto Sans"/>
          <w:color w:val="24303A"/>
          <w:sz w:val="20"/>
        </w:rPr>
        <w:t>A25-G010 — Calcidius’ Latin Timaeus/commentary: найти старое PD edition либо официальный modern route.</w:t>
      </w:r>
    </w:p>
    <w:p>
      <w:pPr>
        <w:pStyle w:val="ListBullet"/>
        <w:spacing w:after="60" w:line="252" w:lineRule="auto"/>
        <w:ind w:left="312" w:hanging="142"/>
      </w:pPr>
      <w:r>
        <w:rPr>
          <w:rFonts w:ascii="Noto Sans" w:hAnsi="Noto Sans" w:eastAsia="Noto Sans" w:cs="Noto Sans"/>
          <w:color w:val="24303A"/>
          <w:sz w:val="20"/>
        </w:rPr>
        <w:t>A25-G011 — Boethius’ Latin translations/commentaries: Categories и De Interpretatione на item level.</w:t>
      </w:r>
    </w:p>
    <w:p>
      <w:pPr>
        <w:pStyle w:val="Heading2"/>
        <w:keepNext/>
        <w:keepLines/>
      </w:pPr>
      <w:r>
        <w:rPr>
          <w:rFonts w:ascii="Noto Sans" w:hAnsi="Noto Sans" w:eastAsia="Noto Sans" w:cs="Noto Sans"/>
          <w:b/>
          <w:color w:val="2B6F77"/>
          <w:sz w:val="23"/>
        </w:rPr>
        <w:t>Институциональная преемственность и testimonia</w:t>
      </w:r>
    </w:p>
    <w:p>
      <w:pPr>
        <w:pStyle w:val="ListBullet"/>
        <w:spacing w:after="60" w:line="252" w:lineRule="auto"/>
        <w:ind w:left="312" w:hanging="142"/>
      </w:pPr>
      <w:r>
        <w:rPr>
          <w:rFonts w:ascii="Noto Sans" w:hAnsi="Noto Sans" w:eastAsia="Noto Sans" w:cs="Noto Sans"/>
          <w:color w:val="24303A"/>
          <w:sz w:val="20"/>
        </w:rPr>
        <w:t>A25-G012 — fragments/testimonia Speusippus and Xenocrates.</w:t>
      </w:r>
    </w:p>
    <w:p>
      <w:pPr>
        <w:pStyle w:val="ListBullet"/>
        <w:spacing w:after="60" w:line="252" w:lineRule="auto"/>
        <w:ind w:left="312" w:hanging="142"/>
      </w:pPr>
      <w:r>
        <w:rPr>
          <w:rFonts w:ascii="Noto Sans" w:hAnsi="Noto Sans" w:eastAsia="Noto Sans" w:cs="Noto Sans"/>
          <w:color w:val="24303A"/>
          <w:sz w:val="20"/>
        </w:rPr>
        <w:t>A25-G013 — Andronicus of Rhodes: dispersed testimonia and corpus-ordering evidence.</w:t>
      </w:r>
    </w:p>
    <w:p>
      <w:pPr>
        <w:pStyle w:val="Heading2"/>
        <w:keepNext/>
        <w:keepLines/>
      </w:pPr>
      <w:r>
        <w:rPr>
          <w:rFonts w:ascii="Noto Sans" w:hAnsi="Noto Sans" w:eastAsia="Noto Sans" w:cs="Noto Sans"/>
          <w:b/>
          <w:color w:val="2B6F77"/>
          <w:sz w:val="23"/>
        </w:rPr>
        <w:t>Приоритетные targeted follow-up направления</w:t>
      </w:r>
    </w:p>
    <w:p>
      <w:pPr>
        <w:pStyle w:val="ListNumber"/>
        <w:spacing w:after="60" w:line="252" w:lineRule="auto"/>
        <w:ind w:left="340" w:hanging="142"/>
      </w:pPr>
      <w:r>
        <w:rPr>
          <w:rFonts w:ascii="Noto Sans" w:hAnsi="Noto Sans" w:eastAsia="Noto Sans" w:cs="Noto Sans"/>
          <w:color w:val="24303A"/>
          <w:sz w:val="20"/>
        </w:rPr>
        <w:t>Закрыть четыре exact CTS gaps по Аристотелю и привязать edition-level licenses.</w:t>
      </w:r>
    </w:p>
    <w:p>
      <w:pPr>
        <w:pStyle w:val="ListNumber"/>
        <w:spacing w:after="60" w:line="252" w:lineRule="auto"/>
        <w:ind w:left="340" w:hanging="142"/>
      </w:pPr>
      <w:r>
        <w:rPr>
          <w:rFonts w:ascii="Noto Sans" w:hAnsi="Noto Sans" w:eastAsia="Noto Sans" w:cs="Noto Sans"/>
          <w:color w:val="24303A"/>
          <w:sz w:val="20"/>
        </w:rPr>
        <w:t>Сделать batch-выборку DCLP по author/work для Plato и Aristotle, не смешивая transcription и linked image rights.</w:t>
      </w:r>
    </w:p>
    <w:p>
      <w:pPr>
        <w:pStyle w:val="ListNumber"/>
        <w:spacing w:after="60" w:line="252" w:lineRule="auto"/>
        <w:ind w:left="340" w:hanging="142"/>
      </w:pPr>
      <w:r>
        <w:rPr>
          <w:rFonts w:ascii="Noto Sans" w:hAnsi="Noto Sans" w:eastAsia="Noto Sans" w:cs="Noto Sans"/>
          <w:color w:val="24303A"/>
          <w:sz w:val="20"/>
        </w:rPr>
        <w:t>Разложить CAG по комментаторам: Syrianus, Simplicius, Olympiodorus — volume → work commented → stable scan/XML → rights.</w:t>
      </w:r>
    </w:p>
    <w:p>
      <w:pPr>
        <w:pStyle w:val="ListNumber"/>
        <w:spacing w:after="60" w:line="252" w:lineRule="auto"/>
        <w:ind w:left="340" w:hanging="142"/>
      </w:pPr>
      <w:r>
        <w:rPr>
          <w:rFonts w:ascii="Noto Sans" w:hAnsi="Noto Sans" w:eastAsia="Noto Sans" w:cs="Noto Sans"/>
          <w:color w:val="24303A"/>
          <w:sz w:val="20"/>
        </w:rPr>
        <w:t>Разрешить Syriac Organon через Syriaca.org/HMML/eKtobe по work title, translator и shelfmark.</w:t>
      </w:r>
    </w:p>
    <w:p>
      <w:pPr>
        <w:pStyle w:val="ListNumber"/>
        <w:spacing w:after="60" w:line="252" w:lineRule="auto"/>
        <w:ind w:left="340" w:hanging="142"/>
      </w:pPr>
      <w:r>
        <w:rPr>
          <w:rFonts w:ascii="Noto Sans" w:hAnsi="Noto Sans" w:eastAsia="Noto Sans" w:cs="Noto Sans"/>
          <w:color w:val="24303A"/>
          <w:sz w:val="20"/>
        </w:rPr>
        <w:t>Развернуть DCGAS item-level карту: Greek source, Arabic witness/translation, editor, download flag и reuse status.</w:t>
      </w:r>
    </w:p>
    <w:p>
      <w:pPr>
        <w:pStyle w:val="ListNumber"/>
        <w:spacing w:after="60" w:line="252" w:lineRule="auto"/>
        <w:ind w:left="340" w:hanging="142"/>
      </w:pPr>
      <w:r>
        <w:rPr>
          <w:rFonts w:ascii="Noto Sans" w:hAnsi="Noto Sans" w:eastAsia="Noto Sans" w:cs="Noto Sans"/>
          <w:color w:val="24303A"/>
          <w:sz w:val="20"/>
        </w:rPr>
        <w:t>Найти PD или официальные routes Calcidius и Boethius; не использовать неясные modern scans.</w:t>
      </w:r>
    </w:p>
    <w:p>
      <w:pPr>
        <w:pStyle w:val="ListNumber"/>
        <w:spacing w:after="60" w:line="252" w:lineRule="auto"/>
        <w:ind w:left="340" w:hanging="142"/>
      </w:pPr>
      <w:r>
        <w:rPr>
          <w:rFonts w:ascii="Noto Sans" w:hAnsi="Noto Sans" w:eastAsia="Noto Sans" w:cs="Noto Sans"/>
          <w:color w:val="24303A"/>
          <w:sz w:val="20"/>
        </w:rPr>
        <w:t>Составить официальный современный русский слой Plato/Aristotle по издателям, ISBN и библиотечным каталогам.</w:t>
      </w:r>
    </w:p>
    <w:p>
      <w:pPr>
        <w:pStyle w:val="ListNumber"/>
        <w:spacing w:after="60" w:line="252" w:lineRule="auto"/>
        <w:ind w:left="340" w:hanging="142"/>
      </w:pPr>
      <w:r>
        <w:rPr>
          <w:rFonts w:ascii="Noto Sans" w:hAnsi="Noto Sans" w:eastAsia="Noto Sans" w:cs="Noto Sans"/>
          <w:color w:val="24303A"/>
          <w:sz w:val="20"/>
        </w:rPr>
        <w:t>Развернуть modern critical layer OCT/Teubner/Cambridge/Loeb/Hackett без подмены платного сильного источника слабым пересказом.</w:t>
      </w:r>
    </w:p>
    <w:p>
      <w:pPr>
        <w:pStyle w:val="ListNumber"/>
        <w:spacing w:after="60" w:line="252" w:lineRule="auto"/>
        <w:ind w:left="340" w:hanging="142"/>
      </w:pPr>
      <w:r>
        <w:rPr>
          <w:rFonts w:ascii="Noto Sans" w:hAnsi="Noto Sans" w:eastAsia="Noto Sans" w:cs="Noto Sans"/>
          <w:color w:val="24303A"/>
          <w:sz w:val="20"/>
        </w:rPr>
        <w:t>Картировать direct Academy continuation: Speusippus, Xenocrates, Andronicus testimonia с устойчивыми ID.</w:t>
      </w:r>
    </w:p>
    <w:p>
      <w:pPr>
        <w:pStyle w:val="Heading2"/>
        <w:keepNext/>
        <w:keepLines/>
      </w:pPr>
      <w:r>
        <w:rPr>
          <w:rFonts w:ascii="Noto Sans" w:hAnsi="Noto Sans" w:eastAsia="Noto Sans" w:cs="Noto Sans"/>
          <w:b/>
          <w:color w:val="2B6F77"/>
          <w:sz w:val="23"/>
        </w:rPr>
        <w:t>Ссылки, требующие повторной проверки</w:t>
      </w:r>
    </w:p>
    <w:p>
      <w:pPr>
        <w:spacing w:after="100" w:line="259" w:lineRule="auto"/>
      </w:pPr>
      <w:r>
        <w:rPr>
          <w:rFonts w:ascii="Noto Sans" w:hAnsi="Noto Sans" w:eastAsia="Noto Sans" w:cs="Noto Sans"/>
          <w:i w:val="0"/>
          <w:color w:val="24303A"/>
          <w:sz w:val="20"/>
        </w:rPr>
        <w:t>Основные проблемные классы — dynamic publisher pages, item pages с project-level, но не item-level license, и Internet Archive records без явного rights statement. Они не удалены, потому что остаются законными маршрутами чтения/скачивания, но помечены medium/low confidence и RIGHTS_REVIEW_REQUIRED.</w:t>
      </w:r>
    </w:p>
    <w:p>
      <w:r>
        <w:rPr>
          <w:rFonts w:ascii="Noto Sans" w:hAnsi="Noto Sans" w:eastAsia="Noto Sans" w:cs="Noto Sans"/>
          <w:b/>
          <w:color w:val="24303A"/>
          <w:sz w:val="20"/>
        </w:rPr>
        <w:t xml:space="preserve">Навигационные входы для следующего прохода: </w:t>
      </w:r>
      <w:hyperlink r:id="rId42">
        <w:r>
          <w:rPr>
            <w:rFonts w:ascii="Noto Sans" w:hAnsi="Noto Sans" w:eastAsia="Noto Sans"/>
            <w:color w:val="1A5A7A"/>
            <w:u w:val="single"/>
            <w:sz w:val="20"/>
          </w:rPr>
          <w:t>Ancient Commentators</w:t>
        </w:r>
      </w:hyperlink>
      <w:r>
        <w:rPr>
          <w:rFonts w:ascii="Noto Sans" w:hAnsi="Noto Sans" w:eastAsia="Noto Sans" w:cs="Noto Sans"/>
          <w:color w:val="5B6670"/>
          <w:sz w:val="20"/>
        </w:rPr>
        <w:t xml:space="preserve"> · </w:t>
      </w:r>
      <w:hyperlink r:id="rId30">
        <w:r>
          <w:rPr>
            <w:rFonts w:ascii="Noto Sans" w:hAnsi="Noto Sans" w:eastAsia="Noto Sans"/>
            <w:color w:val="1A5A7A"/>
            <w:u w:val="single"/>
            <w:sz w:val="20"/>
          </w:rPr>
          <w:t>DCGAS</w:t>
        </w:r>
      </w:hyperlink>
      <w:r>
        <w:rPr>
          <w:rFonts w:ascii="Noto Sans" w:hAnsi="Noto Sans" w:eastAsia="Noto Sans" w:cs="Noto Sans"/>
          <w:color w:val="5B6670"/>
          <w:sz w:val="20"/>
        </w:rPr>
        <w:t xml:space="preserve"> · </w:t>
      </w:r>
      <w:hyperlink r:id="rId46">
        <w:r>
          <w:rPr>
            <w:rFonts w:ascii="Noto Sans" w:hAnsi="Noto Sans" w:eastAsia="Noto Sans"/>
            <w:color w:val="1A5A7A"/>
            <w:u w:val="single"/>
            <w:sz w:val="20"/>
          </w:rPr>
          <w:t>Syriaca.org</w:t>
        </w:r>
      </w:hyperlink>
      <w:r>
        <w:rPr>
          <w:rFonts w:ascii="Noto Sans" w:hAnsi="Noto Sans" w:eastAsia="Noto Sans" w:cs="Noto Sans"/>
          <w:color w:val="5B6670"/>
          <w:sz w:val="20"/>
        </w:rPr>
        <w:t xml:space="preserve"> · </w:t>
      </w:r>
      <w:hyperlink r:id="rId47">
        <w:r>
          <w:rPr>
            <w:rFonts w:ascii="Noto Sans" w:hAnsi="Noto Sans" w:eastAsia="Noto Sans"/>
            <w:color w:val="1A5A7A"/>
            <w:u w:val="single"/>
            <w:sz w:val="20"/>
          </w:rPr>
          <w:t>OCT series</w:t>
        </w:r>
      </w:hyperlink>
      <w:r>
        <w:rPr>
          <w:rFonts w:ascii="Noto Sans" w:hAnsi="Noto Sans" w:eastAsia="Noto Sans" w:cs="Noto Sans"/>
          <w:color w:val="5B6670"/>
          <w:sz w:val="20"/>
        </w:rPr>
        <w:t xml:space="preserve"> · </w:t>
      </w:r>
      <w:hyperlink r:id="rId48">
        <w:r>
          <w:rPr>
            <w:rFonts w:ascii="Noto Sans" w:hAnsi="Noto Sans" w:eastAsia="Noto Sans"/>
            <w:color w:val="1A5A7A"/>
            <w:u w:val="single"/>
            <w:sz w:val="20"/>
          </w:rPr>
          <w:t>Papyri.info</w:t>
        </w:r>
      </w:hyperlink>
    </w:p>
    <w:p>
      <w:pPr>
        <w:pStyle w:val="Heading1"/>
        <w:keepNext/>
        <w:keepLines/>
        <w:pageBreakBefore w:val="0"/>
      </w:pPr>
      <w:r>
        <w:rPr>
          <w:rFonts w:ascii="Noto Sans" w:hAnsi="Noto Sans" w:eastAsia="Noto Sans" w:cs="Noto Sans"/>
          <w:b/>
          <w:color w:val="173A4F"/>
          <w:sz w:val="30"/>
        </w:rPr>
        <w:t>7. Итоговая оценка</w:t>
      </w:r>
    </w:p>
    <w:tbl>
      <w:tblPr>
        <w:tblW w:type="auto" w:w="0"/>
        <w:jc w:val="center"/>
        <w:tblLayout w:type="fixed"/>
        <w:tblLook w:firstColumn="1" w:firstRow="1" w:lastColumn="0" w:lastRow="0" w:noHBand="0" w:noVBand="1" w:val="04A0"/>
        <w:tblBorders>
          <w:top w:val="single" w:sz="5" w:space="0" w:color="D6DCE1"/>
          <w:left w:val="single" w:sz="5" w:space="0" w:color="D6DCE1"/>
          <w:bottom w:val="single" w:sz="5" w:space="0" w:color="D6DCE1"/>
          <w:right w:val="single" w:sz="5" w:space="0" w:color="D6DCE1"/>
          <w:insideH w:val="single" w:sz="5" w:space="0" w:color="D6DCE1"/>
          <w:insideV w:val="single" w:sz="5" w:space="0" w:color="D6DCE1"/>
        </w:tblBorders>
      </w:tblPr>
      <w:tblGrid>
        <w:gridCol w:w="3289"/>
        <w:gridCol w:w="3289"/>
        <w:gridCol w:w="3289"/>
      </w:tblGrid>
      <w:tr>
        <w:trPr>
          <w:tblHeader w:val="true"/>
          <w:cantSplit/>
        </w:trPr>
        <w:tc>
          <w:tcPr>
            <w:tcW w:type="dxa" w:w="2324"/>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Измерение</w:t>
            </w:r>
          </w:p>
        </w:tc>
        <w:tc>
          <w:tcPr>
            <w:tcW w:type="dxa" w:w="1814"/>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Оценка</w:t>
            </w:r>
          </w:p>
        </w:tc>
        <w:tc>
          <w:tcPr>
            <w:tcW w:type="dxa" w:w="5613"/>
            <w:shd w:fill="173A4F" w:val="clear"/>
            <w:vAlign w:val="center"/>
            <w:tcMar>
              <w:top w:w="90" w:type="dxa"/>
              <w:start w:w="110" w:type="dxa"/>
              <w:bottom w:w="90" w:type="dxa"/>
              <w:end w:w="110" w:type="dxa"/>
            </w:tcMar>
          </w:tcPr>
          <w:p>
            <w:pPr>
              <w:spacing w:after="0" w:before="0" w:line="240" w:lineRule="auto"/>
              <w:jc w:val="center"/>
            </w:pPr>
            <w:r>
              <w:rPr>
                <w:rFonts w:ascii="Noto Sans" w:hAnsi="Noto Sans" w:eastAsia="Noto Sans" w:cs="Noto Sans"/>
                <w:b/>
                <w:color w:val="FFFFFF"/>
                <w:sz w:val="16"/>
              </w:rPr>
              <w:t>Вывод</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Охват ядра</w:t>
            </w:r>
          </w:p>
        </w:tc>
        <w:tc>
          <w:tcPr>
            <w:tcW w:type="dxa" w:w="181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Высокий</w:t>
            </w:r>
          </w:p>
        </w:tc>
        <w:tc>
          <w:tcPr>
            <w:tcW w:type="dxa" w:w="561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Платон и Аристотель получили multiple access routes; core works не оставлены без входа.</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Оригинальные тексты</w:t>
            </w:r>
          </w:p>
        </w:tc>
        <w:tc>
          <w:tcPr>
            <w:tcW w:type="dxa" w:w="181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Высокий</w:t>
            </w:r>
          </w:p>
        </w:tc>
        <w:tc>
          <w:tcPr>
            <w:tcW w:type="dxa" w:w="561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Scaife/Perseus + TEI/XML repositories + historical Greek editions + selected facsimiles.</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Английские переводы</w:t>
            </w:r>
          </w:p>
        </w:tc>
        <w:tc>
          <w:tcPr>
            <w:tcW w:type="dxa" w:w="181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Высокий</w:t>
            </w:r>
          </w:p>
        </w:tc>
        <w:tc>
          <w:tcPr>
            <w:tcW w:type="dxa" w:w="561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Широкий old public-domain layer и сильный modern paid/library layer.</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Русские переводы</w:t>
            </w:r>
          </w:p>
        </w:tc>
        <w:tc>
          <w:tcPr>
            <w:tcW w:type="dxa" w:w="181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Средний</w:t>
            </w:r>
          </w:p>
        </w:tc>
        <w:tc>
          <w:tcPr>
            <w:tcW w:type="dxa" w:w="561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Хороший старый Plato и несколько Aristotle routes; modern corpus и часть ключевых трактатов остаются gaps.</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Папирусы/рукописи</w:t>
            </w:r>
          </w:p>
        </w:tc>
        <w:tc>
          <w:tcPr>
            <w:tcW w:type="dxa" w:w="181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Средне-высокий</w:t>
            </w:r>
          </w:p>
        </w:tc>
        <w:tc>
          <w:tcPr>
            <w:tcW w:type="dxa" w:w="561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Несколько сильных witnesses; не исчерпывающая карта.</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Позднеантичный комментарий</w:t>
            </w:r>
          </w:p>
        </w:tc>
        <w:tc>
          <w:tcPr>
            <w:tcW w:type="dxa" w:w="181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Средний</w:t>
            </w:r>
          </w:p>
        </w:tc>
        <w:tc>
          <w:tcPr>
            <w:tcW w:type="dxa" w:w="561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CAG/Alexander/Proclus покрыты; Syrianus/Simplicius/Olympiodorus требуют item-level прохода.</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Переводческие handoff</w:t>
            </w:r>
          </w:p>
        </w:tc>
        <w:tc>
          <w:tcPr>
            <w:tcW w:type="dxa" w:w="181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Средний</w:t>
            </w:r>
          </w:p>
        </w:tc>
        <w:tc>
          <w:tcPr>
            <w:tcW w:type="dxa" w:w="561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DCGAS и Aristoteles Latinus дают инфраструктуру; Syriac/Latin individual items ещё неполны.</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Свободный слой</w:t>
            </w:r>
          </w:p>
        </w:tc>
        <w:tc>
          <w:tcPr>
            <w:tcW w:type="dxa" w:w="181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Сильный, но фрагментированный</w:t>
            </w:r>
          </w:p>
        </w:tc>
        <w:tc>
          <w:tcPr>
            <w:tcW w:type="dxa" w:w="561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PD historical texts, CC BY/CC BY-SA XML/data и отдельные NC/ND materials.</w:t>
            </w:r>
          </w:p>
        </w:tc>
      </w:tr>
      <w:tr>
        <w:trPr>
          <w:cantSplit/>
        </w:trPr>
        <w:tc>
          <w:tcPr>
            <w:tcW w:type="dxa" w:w="232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Главные ограничения</w:t>
            </w:r>
          </w:p>
        </w:tc>
        <w:tc>
          <w:tcPr>
            <w:tcW w:type="dxa" w:w="1814"/>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Современные editions и images</w:t>
            </w:r>
          </w:p>
        </w:tc>
        <w:tc>
          <w:tcPr>
            <w:tcW w:type="dxa" w:w="5613"/>
            <w:shd w:fill="EAF3F6" w:val="clear"/>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Copyright translations, subscription databases, mixed museum/library image rights.</w:t>
            </w:r>
          </w:p>
        </w:tc>
      </w:tr>
      <w:tr>
        <w:trPr>
          <w:cantSplit/>
        </w:trPr>
        <w:tc>
          <w:tcPr>
            <w:tcW w:type="dxa" w:w="232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Готовность для Codex</w:t>
            </w:r>
          </w:p>
        </w:tc>
        <w:tc>
          <w:tcPr>
            <w:tcW w:type="dxa" w:w="1814"/>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Да</w:t>
            </w:r>
          </w:p>
        </w:tc>
        <w:tc>
          <w:tcPr>
            <w:tcW w:type="dxa" w:w="5613"/>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24303A"/>
                <w:sz w:val="17"/>
              </w:rPr>
              <w:t>Единый schema, stable record_ids, explicit rights_scope, evidence URLs, gaps и отсутствие Wikipedia URLs.</w:t>
            </w:r>
          </w:p>
        </w:tc>
      </w:tr>
    </w:tbl>
    <w:p>
      <w:pPr>
        <w:pStyle w:val="Heading2"/>
        <w:keepNext/>
        <w:keepLines/>
      </w:pPr>
      <w:r>
        <w:rPr>
          <w:rFonts w:ascii="Noto Sans" w:hAnsi="Noto Sans" w:eastAsia="Noto Sans" w:cs="Noto Sans"/>
          <w:b/>
          <w:color w:val="2B6F77"/>
          <w:sz w:val="23"/>
        </w:rPr>
        <w:t>Заключение</w:t>
      </w:r>
    </w:p>
    <w:p>
      <w:pPr>
        <w:spacing w:after="100" w:line="259" w:lineRule="auto"/>
      </w:pPr>
      <w:r>
        <w:rPr>
          <w:rFonts w:ascii="Noto Sans" w:hAnsi="Noto Sans" w:eastAsia="Noto Sans" w:cs="Noto Sans"/>
          <w:i w:val="0"/>
          <w:color w:val="24303A"/>
          <w:sz w:val="20"/>
        </w:rPr>
        <w:t>A25 покрыт достаточно широко, чтобы передать пакет в Codex как исследовательскую основу для дедупликации, нормализации и будущего графа. Наиболее свободный слой лежит не в современных переводах, а в сочетании open Greek XML, публичнодоменных исторических изданий/переводов и CC BY papyrological transcriptions. Наиболее сильный научный контроль часто находится в защищённых современных editions и подписных базах; они сохранены как link-only, library, preview или purchase, а не отброшены.</w:t>
      </w:r>
    </w:p>
    <w:p>
      <w:pPr>
        <w:spacing w:after="100" w:line="259" w:lineRule="auto"/>
      </w:pPr>
      <w:r>
        <w:rPr>
          <w:rFonts w:ascii="Noto Sans" w:hAnsi="Noto Sans" w:eastAsia="Noto Sans" w:cs="Noto Sans"/>
          <w:i w:val="0"/>
          <w:color w:val="24303A"/>
          <w:sz w:val="20"/>
        </w:rPr>
        <w:t>Ключевая архитектурная ценность результата — раздельность слоёв. Платоновский диалог не сплющен с аристотелевским tractate corpus; рукопись не приравнена к edition; ancient work не приравнён к modern translation; позднеантичный комментарий не ретропроецирован назад; а free access не превращён в фиктивное право mirror. Именно в таком виде registry пригоден как честная карта доступа для публичного образовательного проекта ToS.</w:t>
      </w:r>
    </w:p>
    <w:tbl>
      <w:tblPr>
        <w:tblW w:type="auto" w:w="0"/>
        <w:jc w:val="center"/>
        <w:tblLayout w:type="fixed"/>
        <w:tblLook w:firstColumn="1" w:firstRow="1" w:lastColumn="0" w:lastRow="0" w:noHBand="0" w:noVBand="1" w:val="04A0"/>
        <w:tblBorders>
          <w:top w:val="single" w:sz="8" w:space="0" w:color="2B6F77"/>
          <w:left w:val="single" w:sz="8" w:space="0" w:color="2B6F77"/>
          <w:bottom w:val="single" w:sz="8" w:space="0" w:color="2B6F77"/>
          <w:right w:val="single" w:sz="8" w:space="0" w:color="2B6F77"/>
          <w:insideH w:val="single" w:sz="8" w:space="0" w:color="2B6F77"/>
          <w:insideV w:val="single" w:sz="8" w:space="0" w:color="2B6F77"/>
        </w:tblBorders>
      </w:tblPr>
      <w:tblGrid>
        <w:gridCol w:w="9866"/>
      </w:tblGrid>
      <w:tr>
        <w:trPr>
          <w:cantSplit/>
        </w:trPr>
        <w:tc>
          <w:tcPr>
            <w:tcW w:type="dxa" w:w="9751"/>
            <w:shd w:fill="E9F4F2" w:val="clear"/>
            <w:tcMar>
              <w:top w:w="140" w:type="dxa"/>
              <w:start w:w="180" w:type="dxa"/>
              <w:bottom w:w="140" w:type="dxa"/>
              <w:end w:w="180" w:type="dxa"/>
            </w:tcMar>
          </w:tcPr>
          <w:p>
            <w:pPr>
              <w:spacing w:after="60"/>
            </w:pPr>
            <w:r>
              <w:rPr>
                <w:rFonts w:ascii="Noto Sans" w:hAnsi="Noto Sans" w:eastAsia="Noto Sans" w:cs="Noto Sans"/>
                <w:b/>
                <w:color w:val="173A4F"/>
                <w:sz w:val="20"/>
              </w:rPr>
              <w:t>Поставка</w:t>
            </w:r>
          </w:p>
          <w:p>
            <w:pPr>
              <w:spacing w:after="0" w:line="252" w:lineRule="auto"/>
            </w:pPr>
            <w:r>
              <w:rPr>
                <w:rFonts w:ascii="Noto Sans" w:hAnsi="Noto Sans" w:eastAsia="Noto Sans" w:cs="Noto Sans"/>
                <w:color w:val="24303A"/>
                <w:sz w:val="19"/>
              </w:rPr>
              <w:t>XLSX и DOCX описывают один и тот же набор результатов: 135 registry records и 15 gaps. Первый столбец XLSX — record_id; технических index/Unnamed columns нет.</w:t>
            </w:r>
          </w:p>
        </w:tc>
      </w:tr>
    </w:tbl>
    <w:p>
      <w:pPr>
        <w:spacing w:after="20"/>
      </w:pPr>
    </w:p>
    <w:sectPr w:rsidR="00FC693F" w:rsidRPr="0006063C" w:rsidSect="00034616">
      <w:footerReference w:type="default" r:id="rId9"/>
      <w:pgSz w:w="11906" w:h="16838"/>
      <w:pgMar w:top="1020" w:right="1020" w:bottom="935"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6520"/>
          <w:vAlign w:val="center"/>
          <w:tcMar>
            <w:top w:w="90" w:type="dxa"/>
            <w:start w:w="110" w:type="dxa"/>
            <w:bottom w:w="90" w:type="dxa"/>
            <w:end w:w="110" w:type="dxa"/>
          </w:tcMar>
        </w:tcPr>
        <w:p>
          <w:pPr>
            <w:spacing w:after="0" w:before="0" w:line="240" w:lineRule="auto"/>
            <w:jc w:val="left"/>
          </w:pPr>
          <w:r>
            <w:rPr>
              <w:rFonts w:ascii="Noto Sans" w:hAnsi="Noto Sans" w:eastAsia="Noto Sans" w:cs="Noto Sans"/>
              <w:b w:val="0"/>
              <w:color w:val="5B6670"/>
              <w:sz w:val="16"/>
            </w:rPr>
            <w:t>ToS Corpus &amp; Rights Registry • A25</w:t>
          </w:r>
        </w:p>
      </w:tc>
      <w:tc>
        <w:tcPr>
          <w:tcW w:type="dxa" w:w="3345"/>
        </w:tcPr>
        <w:p>
          <w:pPr>
            <w:jc w:val="right"/>
          </w:pPr>
          <w:r>
            <w:rPr>
              <w:rFonts w:ascii="Noto Sans" w:hAnsi="Noto Sans" w:eastAsia="Noto Sans" w:cs="Noto Sans"/>
              <w:color w:val="5B6670"/>
              <w:sz w:val="16"/>
            </w:rPr>
            <w:t xml:space="preserve">Проверено 2026-09-03 • стр. </w:t>
          </w:r>
          <w:r>
            <w:rPr>
              <w:rFonts w:ascii="Noto Sans" w:hAnsi="Noto Sans" w:eastAsia="Noto Sans" w:cs="Noto Sans"/>
              <w:color w:val="5B6670"/>
              <w:sz w:val="16"/>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w:color w:val="24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eastAsia="Noto Sans"/>
      <w:sz w:val="20"/>
    </w:rPr>
  </w:style>
  <w:style w:type="paragraph" w:styleId="ListBullet2">
    <w:name w:val="List Bullet 2"/>
    <w:basedOn w:val="Normal"/>
    <w:uiPriority w:val="99"/>
    <w:unhideWhenUsed/>
    <w:rsid w:val="00326F90"/>
    <w:pPr>
      <w:numPr>
        <w:numId w:val="2"/>
      </w:numPr>
      <w:contextualSpacing/>
    </w:pPr>
    <w:rPr>
      <w:rFonts w:ascii="Noto Sans" w:hAnsi="Noto Sans" w:eastAsia="Noto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eastAsia="Noto Sans"/>
      <w:sz w:val="20"/>
    </w:rPr>
  </w:style>
  <w:style w:type="paragraph" w:styleId="ListNumber2">
    <w:name w:val="List Number 2"/>
    <w:basedOn w:val="Normal"/>
    <w:uiPriority w:val="99"/>
    <w:unhideWhenUsed/>
    <w:rsid w:val="0029639D"/>
    <w:pPr>
      <w:numPr>
        <w:numId w:val="6"/>
      </w:numPr>
      <w:contextualSpacing/>
    </w:pPr>
    <w:rPr>
      <w:rFonts w:ascii="Noto Sans" w:hAnsi="Noto Sans" w:eastAsia="Noto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caife.perseus.org/library/urn:cts:greekLit:tlg0059/" TargetMode="External"/><Relationship Id="rId11" Type="http://schemas.openxmlformats.org/officeDocument/2006/relationships/hyperlink" Target="https://github.com/PerseusDL/canonical-greekLit" TargetMode="External"/><Relationship Id="rId12" Type="http://schemas.openxmlformats.org/officeDocument/2006/relationships/hyperlink" Target="https://github.com/OpenGreekAndLatin/First1KGreek" TargetMode="External"/><Relationship Id="rId13" Type="http://schemas.openxmlformats.org/officeDocument/2006/relationships/hyperlink" Target="https://www.gutenberg.org/ebooks/author/93" TargetMode="External"/><Relationship Id="rId14" Type="http://schemas.openxmlformats.org/officeDocument/2006/relationships/hyperlink" Target="https://ru.wikisource.org/wiki/&#1040;&#1074;&#1090;&#1086;&#1088;:&#1055;&#1083;&#1072;&#1090;&#1086;&#1085;" TargetMode="External"/><Relationship Id="rId15" Type="http://schemas.openxmlformats.org/officeDocument/2006/relationships/hyperlink" Target="https://digital.bodleian.ox.ac.uk/objects/f57d074b-cff1-4172-8236-797c7b8f0403/" TargetMode="External"/><Relationship Id="rId16" Type="http://schemas.openxmlformats.org/officeDocument/2006/relationships/hyperlink" Target="https://digi.vatlib.it/view/MSS_Vat.gr.1" TargetMode="External"/><Relationship Id="rId17" Type="http://schemas.openxmlformats.org/officeDocument/2006/relationships/hyperlink" Target="https://gallica.bnf.fr/ark:/12148/btv1b52507195j" TargetMode="External"/><Relationship Id="rId18" Type="http://schemas.openxmlformats.org/officeDocument/2006/relationships/hyperlink" Target="https://archive.org/details/platonisopera01platuoft" TargetMode="External"/><Relationship Id="rId19" Type="http://schemas.openxmlformats.org/officeDocument/2006/relationships/hyperlink" Target="https://catalog.hathitrust.org/Record/008680769" TargetMode="External"/><Relationship Id="rId20" Type="http://schemas.openxmlformats.org/officeDocument/2006/relationships/hyperlink" Target="https://hackettpublishing.com/complete-works" TargetMode="External"/><Relationship Id="rId21" Type="http://schemas.openxmlformats.org/officeDocument/2006/relationships/hyperlink" Target="https://www.loebclassics.com/view/LCL237/2013/volume.xml" TargetMode="External"/><Relationship Id="rId22" Type="http://schemas.openxmlformats.org/officeDocument/2006/relationships/hyperlink" Target="https://scaife.perseus.org/library/urn:cts:greekLit:tlg0086/" TargetMode="External"/><Relationship Id="rId23" Type="http://schemas.openxmlformats.org/officeDocument/2006/relationships/hyperlink" Target="https://www.gutenberg.org/ebooks/author/2747" TargetMode="External"/><Relationship Id="rId24" Type="http://schemas.openxmlformats.org/officeDocument/2006/relationships/hyperlink" Target="https://ru.wikisource.org/wiki/&#1040;&#1074;&#1090;&#1086;&#1088;:&#1040;&#1088;&#1080;&#1089;&#1090;&#1086;&#1090;&#1077;&#1083;&#1100;" TargetMode="External"/><Relationship Id="rId25" Type="http://schemas.openxmlformats.org/officeDocument/2006/relationships/hyperlink" Target="https://searcharchives.bl.uk/catalog/040-002104511" TargetMode="External"/><Relationship Id="rId26" Type="http://schemas.openxmlformats.org/officeDocument/2006/relationships/hyperlink" Target="https://gallica.bnf.fr/ark:/12148/btv1b84192492" TargetMode="External"/><Relationship Id="rId27" Type="http://schemas.openxmlformats.org/officeDocument/2006/relationships/hyperlink" Target="https://catalog.hathitrust.org/Record/001181643" TargetMode="External"/><Relationship Id="rId28" Type="http://schemas.openxmlformats.org/officeDocument/2006/relationships/hyperlink" Target="https://www.jstor.org/stable/j.ctt5vjv4w" TargetMode="External"/><Relationship Id="rId29" Type="http://schemas.openxmlformats.org/officeDocument/2006/relationships/hyperlink" Target="https://www.loebclassics.com/view/LCL264/1932/volume.xml" TargetMode="External"/><Relationship Id="rId30" Type="http://schemas.openxmlformats.org/officeDocument/2006/relationships/hyperlink" Target="https://www.graeco-arabic-studies.org/texts" TargetMode="External"/><Relationship Id="rId31" Type="http://schemas.openxmlformats.org/officeDocument/2006/relationships/hyperlink" Target="https://www.gutenberg.org/ebooks/author/283" TargetMode="External"/><Relationship Id="rId32" Type="http://schemas.openxmlformats.org/officeDocument/2006/relationships/hyperlink" Target="https://scaife.perseus.org/library/urn:cts:greekLit:tlg0093/" TargetMode="External"/><Relationship Id="rId33" Type="http://schemas.openxmlformats.org/officeDocument/2006/relationships/hyperlink" Target="https://github.com/papyri/idp.data" TargetMode="External"/><Relationship Id="rId34" Type="http://schemas.openxmlformats.org/officeDocument/2006/relationships/hyperlink" Target="https://archive.org/details/commentariainar01alexgoog" TargetMode="External"/><Relationship Id="rId35" Type="http://schemas.openxmlformats.org/officeDocument/2006/relationships/hyperlink" Target="https://archive.org/details/alexandriaphrodi00alex" TargetMode="External"/><Relationship Id="rId36" Type="http://schemas.openxmlformats.org/officeDocument/2006/relationships/hyperlink" Target="https://archive.org/details/commentariusalex00alex" TargetMode="External"/><Relationship Id="rId37" Type="http://schemas.openxmlformats.org/officeDocument/2006/relationships/hyperlink" Target="https://archive.org/details/diehl-procli-diadochi-in-platonis-timaevm-commentaria-gr-lat-t.-1-1903" TargetMode="External"/><Relationship Id="rId38" Type="http://schemas.openxmlformats.org/officeDocument/2006/relationships/hyperlink" Target="https://archive.org/details/cousin-proclii-philosophi-platonici-opera-gr-lat-v.-4-1821" TargetMode="External"/><Relationship Id="rId39" Type="http://schemas.openxmlformats.org/officeDocument/2006/relationships/hyperlink" Target="https://archive.org/details/proclidiadochiin01procuoft" TargetMode="External"/><Relationship Id="rId40" Type="http://schemas.openxmlformats.org/officeDocument/2006/relationships/hyperlink" Target="https://archive.org/details/proclus-commentary-parmenides-balboa" TargetMode="External"/><Relationship Id="rId41" Type="http://schemas.openxmlformats.org/officeDocument/2006/relationships/hyperlink" Target="https://www.degruyter.com/document/doi/10.1515/9783110731323/html" TargetMode="External"/><Relationship Id="rId42" Type="http://schemas.openxmlformats.org/officeDocument/2006/relationships/hyperlink" Target="https://www.ancientcommentators.org.uk/" TargetMode="External"/><Relationship Id="rId43" Type="http://schemas.openxmlformats.org/officeDocument/2006/relationships/hyperlink" Target="https://www.gutenberg.org/ebooks/57342" TargetMode="External"/><Relationship Id="rId44" Type="http://schemas.openxmlformats.org/officeDocument/2006/relationships/hyperlink" Target="https://www.hathitrust.org/the-collection/search-access/access-use-policy/" TargetMode="External"/><Relationship Id="rId45" Type="http://schemas.openxmlformats.org/officeDocument/2006/relationships/hyperlink" Target="https://gallica.bnf.fr/edit/und/conditions-dutilisation-des-contenus-de-gallica" TargetMode="External"/><Relationship Id="rId46" Type="http://schemas.openxmlformats.org/officeDocument/2006/relationships/hyperlink" Target="https://syriaca.org/" TargetMode="External"/><Relationship Id="rId47" Type="http://schemas.openxmlformats.org/officeDocument/2006/relationships/hyperlink" Target="https://global.oup.com/academic/content/series/o/oxford-classical-texts-oct/" TargetMode="External"/><Relationship Id="rId48" Type="http://schemas.openxmlformats.org/officeDocument/2006/relationships/hyperlink" Target="https://papyri.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A25</dc:title>
  <dc:subject>Европа — Классическая афинская философия</dc:subject>
  <dc:creator>Tree of Sophia</dc:creator>
  <cp:keywords>ToS, A25, Plato, Aristotle, corpus, rights, access, classical Athenian philosophy</cp:keywords>
  <dc:description>generated by python-docx</dc:description>
  <cp:lastModifiedBy/>
  <cp:revision>1</cp:revision>
  <dcterms:created xsi:type="dcterms:W3CDTF">2013-12-23T23:15:00Z</dcterms:created>
  <dcterms:modified xsi:type="dcterms:W3CDTF">2013-12-23T23:15:00Z</dcterms:modified>
  <cp:category/>
</cp:coreProperties>
</file>