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" w:hAnsi="Noto Sans" w:eastAsia="Noto Sans"/>
          <w:b/>
          <w:color w:val="183A4A"/>
          <w:sz w:val="50"/>
        </w:rPr>
        <w:t>ToS Corpus &amp; Rights Registry</w:t>
      </w:r>
    </w:p>
    <w:p>
      <w:pPr>
        <w:spacing w:after="120"/>
        <w:jc w:val="center"/>
      </w:pPr>
      <w:r>
        <w:rPr>
          <w:rFonts w:ascii="Noto Sans" w:hAnsi="Noto Sans" w:eastAsia="Noto Sans"/>
          <w:b/>
          <w:color w:val="2F6578"/>
          <w:sz w:val="30"/>
        </w:rPr>
        <w:t>A22 — Древний Иран, Авеста и ахеменидские царские надписи</w:t>
      </w:r>
    </w:p>
    <w:p>
      <w:pPr>
        <w:jc w:val="center"/>
      </w:pPr>
      <w:r>
        <w:rPr>
          <w:rFonts w:ascii="Noto Sans" w:hAnsi="Noto Sans" w:eastAsia="Noto Sans"/>
          <w:i/>
          <w:color w:val="4C5D66"/>
          <w:sz w:val="22"/>
        </w:rPr>
        <w:t>Исследовательский отчёт о корпусе, доступе и правах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83A4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6"/>
              </w:rPr>
              <w:t>122</w:t>
            </w:r>
          </w:p>
        </w:tc>
        <w:tc>
          <w:tcPr>
            <w:tcW w:type="dxa" w:w="2438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/>
                <w:b/>
                <w:color w:val="183A4A"/>
                <w:sz w:val="19"/>
              </w:rPr>
              <w:t>проверенных записей доступа</w:t>
            </w:r>
          </w:p>
        </w:tc>
        <w:tc>
          <w:tcPr>
            <w:tcW w:type="dxa" w:w="2438"/>
            <w:shd w:fill="183A4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6"/>
              </w:rPr>
              <w:t>14</w:t>
            </w:r>
          </w:p>
        </w:tc>
        <w:tc>
          <w:tcPr>
            <w:tcW w:type="dxa" w:w="2438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/>
                <w:b/>
                <w:color w:val="183A4A"/>
                <w:sz w:val="19"/>
              </w:rPr>
              <w:t>целевых пробелов</w:t>
            </w:r>
          </w:p>
        </w:tc>
      </w:tr>
      <w:tr>
        <w:tc>
          <w:tcPr>
            <w:tcW w:type="dxa" w:w="2438"/>
            <w:shd w:fill="183A4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6"/>
              </w:rPr>
              <w:t>110</w:t>
            </w:r>
          </w:p>
        </w:tc>
        <w:tc>
          <w:tcPr>
            <w:tcW w:type="dxa" w:w="2438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/>
                <w:b/>
                <w:color w:val="183A4A"/>
                <w:sz w:val="19"/>
              </w:rPr>
              <w:t>маршрутов свободного чтения</w:t>
            </w:r>
          </w:p>
        </w:tc>
        <w:tc>
          <w:tcPr>
            <w:tcW w:type="dxa" w:w="2438"/>
            <w:shd w:fill="183A4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36"/>
              </w:rPr>
              <w:t>49</w:t>
            </w:r>
          </w:p>
        </w:tc>
        <w:tc>
          <w:tcPr>
            <w:tcW w:type="dxa" w:w="2438"/>
            <w:shd w:fill="EAF2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" w:hAnsi="Noto Sans" w:eastAsia="Noto Sans"/>
                <w:b/>
                <w:color w:val="183A4A"/>
                <w:sz w:val="19"/>
              </w:rPr>
              <w:t>маршрутов скачивания</w:t>
            </w:r>
          </w:p>
        </w:tc>
      </w:tr>
    </w:tbl>
    <w:p/>
    <w:p>
      <w:pPr>
        <w:jc w:val="center"/>
      </w:pPr>
      <w:r>
        <w:rPr>
          <w:rFonts w:ascii="Noto Sans" w:hAnsi="Noto Sans" w:eastAsia="Noto Sans"/>
          <w:b/>
          <w:sz w:val="20"/>
        </w:rPr>
        <w:t>ID строки: A22  |  исходный статус: A  |  исходная уверенность: 3</w:t>
      </w:r>
    </w:p>
    <w:p>
      <w:pPr>
        <w:jc w:val="center"/>
      </w:pPr>
      <w:r>
        <w:rPr>
          <w:rFonts w:ascii="Noto Sans" w:hAnsi="Noto Sans" w:eastAsia="Noto Sans"/>
          <w:color w:val="4C5D66"/>
          <w:sz w:val="19"/>
        </w:rPr>
        <w:t>Дата проверки: 3 сентября 2026 года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83A4A"/>
                <w:sz w:val="20"/>
              </w:rPr>
              <w:t>Принцип пакета</w:t>
              <w:br/>
            </w:r>
            <w:r>
              <w:rPr>
                <w:rFonts w:ascii="Noto Sans" w:hAnsi="Noto Sans" w:eastAsia="Noto Sans"/>
                <w:sz w:val="18"/>
              </w:rPr>
              <w:t>Хронологический диапазон строки использован как фокус, а не как забор. В реестр включены не только центральные авестийские и ахеменидские тексты, но и конкретно связанные более ранние индоиранские и ближневосточные корпуса, поздние пехлевийские линии сохранения, греко-римская рецепция, рукописные свидетели, исторические и современные издания, а также цифровая инфраструктура.</w:t>
            </w:r>
          </w:p>
        </w:tc>
      </w:tr>
    </w:tbl>
    <w:p>
      <w:pPr>
        <w:spacing w:after="20"/>
      </w:pPr>
    </w:p>
    <w:p>
      <w:pPr>
        <w:pStyle w:val="Smallnote"/>
        <w:jc w:val="center"/>
      </w:pPr>
      <w:r>
        <w:rPr>
          <w:rFonts w:ascii="Noto Sans" w:hAnsi="Noto Sans" w:eastAsia="Noto Sans"/>
          <w:i/>
          <w:color w:val="4C5D66"/>
          <w:sz w:val="17"/>
        </w:rPr>
        <w:t>Это исследовательская карта доступа и прав, а не юридическое заключение.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143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ID и название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A22 — Западная Азия / ранний Иран: Авеста, Гаты, ахеменидские надписи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Исходный статус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A; исходная уверенность 3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Исходный DR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ToS Deep Research_ A22 — Древний Иран, Авеста и ахеменидские царские надписи.docx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Исторический фокус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Позднее II тыс. до н. э. — V в. до н. э.; канонизация и письменная фиксация Авесты значительно позднее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Дата проверки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2026-09-03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Языки поиска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русский, английский, немецкий, французский; названия и сигла на авестийском, древнеперсидском, среднеперсидском, ведийском санскрите, аккадском и эламском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Ядро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Гаты; Ясна; Ясна Хаптангхаити; Видевдат; Яшты; Бехистун DB и связанные ахеменидские царские надписи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Типы объектов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works, corpora, physical witnesses, translations/editions, digital texts/facsimiles, datasets/APIs, catalogues and secondary navigation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"/>
          <w:b/>
        </w:rPr>
        <w:t>Метод.</w:t>
      </w:r>
      <w:r>
        <w:rPr>
          <w:rFonts w:ascii="Noto Sans" w:hAnsi="Noto Sans" w:eastAsia="Noto Sans"/>
        </w:rPr>
        <w:t xml:space="preserve"> Сначала из исходного DR были извлечены произведения, языки, корпуса, рукописная традиция и цифровые проекты. Затем выполнены три прохода: центральный корпус; поиск назад к индоиранскому и ближневосточному входу; поиск вперёд к пехлевийскому сохранению, поздней царской эпиграфике, классической рецепции и современным изданиям. Внепериодный объект включался только при конкретной связи — прямом корпусном родстве, передаче, переработке, сохранении, комментарии или институциональном продолжении.</w:t>
      </w:r>
    </w:p>
    <w:p>
      <w:r>
        <w:rPr>
          <w:rFonts w:ascii="Noto Sans" w:hAnsi="Noto Sans" w:eastAsia="Noto Sans"/>
          <w:b/>
        </w:rPr>
        <w:t>Масштаб.</w:t>
      </w:r>
      <w:r>
        <w:rPr>
          <w:rFonts w:ascii="Noto Sans" w:hAnsi="Noto Sans" w:eastAsia="Noto Sans"/>
        </w:rPr>
        <w:t xml:space="preserve"> Реестр содержит 122 практически различимых маршрута доступа. За ними стоит около шестидесяти произведений, корпусных единиц и прямых линий передачи, отдельно девять физических свидетелей и двадцать один инфраструктурный, навигационный или вспомогательный объект. Число произведений намеренно дано диапазоном: разные редакции, составные литургии и корпусные части нельзя без остатка свести к одной универсальной единице счёта.</w:t>
      </w:r>
    </w:p>
    <w:p>
      <w:r>
        <w:rPr>
          <w:rFonts w:ascii="Noto Sans" w:hAnsi="Noto Sans" w:eastAsia="Noto Sans"/>
          <w:b/>
        </w:rPr>
        <w:t>Доказательность.</w:t>
      </w:r>
      <w:r>
        <w:rPr>
          <w:rFonts w:ascii="Noto Sans" w:hAnsi="Noto Sans" w:eastAsia="Noto Sans"/>
        </w:rPr>
        <w:t xml:space="preserve"> Для 80 записей правовая уверенность оценена как высокая, для 32 — как средняя, для 10 — как низкая. Низкая уверенность означает не незаконность источника, а отсутствие стабильной item-level страницы, явной лицензии или надёжно открываемого rights statement.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Центральное авестийское ядро</w:t>
      </w:r>
    </w:p>
    <w:p>
      <w:r>
        <w:rPr>
          <w:rFonts w:ascii="Noto Sans" w:hAnsi="Noto Sans" w:eastAsia="Noto Sans"/>
        </w:rPr>
        <w:t>В ядро вошла Авеста как многослойный корпус, а не как единая книга одного времени. Отдельными объектами и маршрутами представлены Гаты, Ясна, Ясна Хаптангхаити, Висперад, Видевдат, Яшты, Хордэ-Авеста, Сироза, Ньяйиши, Афринаганы, Гахи, Виштасп-яшт, Хадохт-наск и фрагментарные тексты. Особенно важно включение Hērbedestān и Nērangestān: они лежат на границе авестийского текста и поздней жреческой экзегезы и не входят в основной CAB linguistic corpus, но необходимы для честного описания границ корпуса.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core: Гаты, Ясна, Ясна Хаптангхаити и Видевдат; для каждого найдено несколько независимых путей чтения или скачивания.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same_corpus_or_tradition: Висперад, Яшты, Хордэ-Авеста и малые литургические тексты, а также Hērbedestān/Nērangestān.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physical_witness: восемь именованных авестийских рукописных сигл внесены как отдельные свидетели; item-level права ещё требуют доработки.</w:t>
      </w:r>
    </w:p>
    <w:p>
      <w:pPr>
        <w:pStyle w:val="Heading2"/>
      </w:pPr>
      <w:r>
        <w:t>2.2. Ахеменидское эпиграфическое ядро</w:t>
      </w:r>
    </w:p>
    <w:p>
      <w:r>
        <w:rPr>
          <w:rFonts w:ascii="Noto Sans" w:hAnsi="Noto Sans" w:eastAsia="Noto Sans"/>
        </w:rPr>
        <w:t>Вторая половина строки представлена не общим ярлыком «царские надписи», а набором конкретных памятников и корпусных входов. Центральны Бехистунская надпись DB, связанные подписи DBa–k, DNa, DNb, DSe, DSf, суэцкие стелы DZ и продолжения эпохи Ксеркса — XPa, XPf и XPh. ARIo даёт открыто лицензированный машинно-читаемый слой; Livius — удобное чтение по традиционным сиглам; Rawlinson — публичнодоменную историю дешифровки; Schmitt — лучший найденный современный критический ориентир.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core: DB, DBa–k, DNa, DNb, DSe, DSf, DZ.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same_corpus_or_tradition: XPa, XPf, XPh, DMb и другие записи ARIo.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continuation: надписи Артаксеркса II и поздняя сасанидская царская/жреческая эпиграфика.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boundary: Цилиндр Кира — ахеменидский по политической принадлежности, но вавилонский по языку и жанровой форме.</w:t>
      </w:r>
    </w:p>
    <w:p>
      <w:pPr>
        <w:pStyle w:val="Heading2"/>
      </w:pPr>
      <w:r>
        <w:t>2.3. Открытый хронологический контур</w:t>
      </w:r>
    </w:p>
    <w:p>
      <w:r>
        <w:rPr>
          <w:rFonts w:ascii="Noto Sans" w:hAnsi="Noto Sans" w:eastAsia="Noto Sans"/>
          <w:b/>
        </w:rPr>
        <w:t>Поиск назад во времени.</w:t>
      </w:r>
      <w:r>
        <w:rPr>
          <w:rFonts w:ascii="Noto Sans" w:hAnsi="Noto Sans" w:eastAsia="Noto Sans"/>
        </w:rPr>
        <w:t xml:space="preserve"> Ведийская Ригведа включена не как «другая религия», а как конкретный индоиранский поэтико-ритуальный родственник, необходимый для сравнений aša/ṛta, haoma/soma, метрических формул и языка жертвоприношения. RINAP и RIBo включены как документируемая ближневосточная царско-эпиграфическая среда, через которую понятнее жанр, формулы и многоязычие ахеменидских текстов.</w:t>
      </w:r>
    </w:p>
    <w:p>
      <w:r>
        <w:rPr>
          <w:rFonts w:ascii="Noto Sans" w:hAnsi="Noto Sans" w:eastAsia="Noto Sans"/>
          <w:b/>
        </w:rPr>
        <w:t>Поиск вперёд во времени.</w:t>
      </w:r>
      <w:r>
        <w:rPr>
          <w:rFonts w:ascii="Noto Sans" w:hAnsi="Noto Sans" w:eastAsia="Noto Sans"/>
        </w:rPr>
        <w:t xml:space="preserve"> Dēnkard 8–9 сохраняет содержание утраченных насков; Bundahišn, Zand ī Wahman Yasn, Šāyast nē Šāyast и Zādspram перерабатывают космологию, эсхатологию и ритуальную норму; памятники Шапура I и Картира продолжают иранскую традицию публичной царской и религиозной надписи. Плутарх и Диоген Лаэртский включены только как поздние внешние testimonia и рецепция — не как замена Авесте.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38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96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6066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Роль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core</w:t>
            </w:r>
          </w:p>
        </w:tc>
        <w:tc>
          <w:tcPr>
            <w:tcW w:type="dxa" w:w="9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44</w:t>
            </w:r>
          </w:p>
        </w:tc>
        <w:tc>
          <w:tcPr>
            <w:tcW w:type="dxa" w:w="60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Гаты, Ясна, Видевдат, ключевые царские надписи и базовые издания</w:t>
            </w:r>
          </w:p>
        </w:tc>
      </w:tr>
      <w:t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same_corpus_or_tradition</w:t>
            </w:r>
          </w:p>
        </w:tc>
        <w:tc>
          <w:tcPr>
            <w:tcW w:type="dxa" w:w="96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28</w:t>
            </w:r>
          </w:p>
        </w:tc>
        <w:tc>
          <w:tcPr>
            <w:tcW w:type="dxa" w:w="606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малые авестийские тексты, рукописи, ксерксовы и иные прямые корпусные родственники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antecedent</w:t>
            </w:r>
          </w:p>
        </w:tc>
        <w:tc>
          <w:tcPr>
            <w:tcW w:type="dxa" w:w="9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8</w:t>
            </w:r>
          </w:p>
        </w:tc>
        <w:tc>
          <w:tcPr>
            <w:tcW w:type="dxa" w:w="60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Ригведа и ближневосточная царская эпиграфика</w:t>
            </w:r>
          </w:p>
        </w:tc>
      </w:tr>
      <w:t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continuation</w:t>
            </w:r>
          </w:p>
        </w:tc>
        <w:tc>
          <w:tcPr>
            <w:tcW w:type="dxa" w:w="96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4</w:t>
            </w:r>
          </w:p>
        </w:tc>
        <w:tc>
          <w:tcPr>
            <w:tcW w:type="dxa" w:w="606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поздние ахеменидские и сасанидские продолжения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commentary_or_reception</w:t>
            </w:r>
          </w:p>
        </w:tc>
        <w:tc>
          <w:tcPr>
            <w:tcW w:type="dxa" w:w="9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6</w:t>
            </w:r>
          </w:p>
        </w:tc>
        <w:tc>
          <w:tcPr>
            <w:tcW w:type="dxa" w:w="60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пехлевийская систематизация и греко-римская рецепция</w:t>
            </w:r>
          </w:p>
        </w:tc>
      </w:tr>
      <w:t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transmission_or_preservation</w:t>
            </w:r>
          </w:p>
        </w:tc>
        <w:tc>
          <w:tcPr>
            <w:tcW w:type="dxa" w:w="96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9</w:t>
            </w:r>
          </w:p>
        </w:tc>
        <w:tc>
          <w:tcPr>
            <w:tcW w:type="dxa" w:w="606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Dēnkard, Bundahišn, старые переводы и сохранение насков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boundary</w:t>
            </w:r>
          </w:p>
        </w:tc>
        <w:tc>
          <w:tcPr>
            <w:tcW w:type="dxa" w:w="9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2</w:t>
            </w:r>
          </w:p>
        </w:tc>
        <w:tc>
          <w:tcPr>
            <w:tcW w:type="dxa" w:w="60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Цилиндр Кира как переходный вавилонско-ахеменидский объект</w:t>
            </w:r>
          </w:p>
        </w:tc>
      </w:tr>
      <w:t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infrastructure</w:t>
            </w:r>
          </w:p>
        </w:tc>
        <w:tc>
          <w:tcPr>
            <w:tcW w:type="dxa" w:w="96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14</w:t>
            </w:r>
          </w:p>
        </w:tc>
        <w:tc>
          <w:tcPr>
            <w:tcW w:type="dxa" w:w="606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CAB, ADA, ARIo, TITUS, MUYA, MPCD и др.</w:t>
            </w:r>
          </w:p>
        </w:tc>
      </w:tr>
      <w:t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secondary_navigation</w:t>
            </w:r>
          </w:p>
        </w:tc>
        <w:tc>
          <w:tcPr>
            <w:tcW w:type="dxa" w:w="9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5</w:t>
            </w:r>
          </w:p>
        </w:tc>
        <w:tc>
          <w:tcPr>
            <w:tcW w:type="dxa" w:w="606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Iranica и сопоставимые библиографические входы</w:t>
            </w:r>
          </w:p>
        </w:tc>
      </w:tr>
      <w:tr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supporting</w:t>
            </w:r>
          </w:p>
        </w:tc>
        <w:tc>
          <w:tcPr>
            <w:tcW w:type="dxa" w:w="96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2</w:t>
            </w:r>
          </w:p>
        </w:tc>
        <w:tc>
          <w:tcPr>
            <w:tcW w:type="dxa" w:w="6066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Bartholomae/AIW как переводческая и лексикографическая опора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Noto Sans" w:hAnsi="Noto Sans" w:eastAsia="Noto Sans"/>
          <w:i/>
          <w:color w:val="4C5D66"/>
          <w:sz w:val="17"/>
        </w:rPr>
        <w:t>Записи доступа и произведения не совпадают один к одному: несколько строк могут вести к одной Ясне или одному DB, если различаются перевод, репозиторий, формат или правовой режим.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Авеста в целом и Гаты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243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Лучший путь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3345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смысл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Оригинальный текст для исследования</w:t>
            </w:r>
          </w:p>
        </w:tc>
        <w:tc>
          <w:tcPr>
            <w:tcW w:type="dxa" w:w="24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1">
              <w:r>
                <w:rPr>
                  <w:color w:val="2F6578"/>
                  <w:u w:val="single"/>
                  <w:rFonts w:ascii="Noto Sans" w:hAnsi="Noto Sans"/>
                </w:rPr>
                <w:t>CAB Linguistic Corpus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 + XML/JSON/TXT</w:t>
            </w:r>
          </w:p>
        </w:tc>
        <w:tc>
          <w:tcPr>
            <w:tcW w:type="dxa" w:w="334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научно сильный; переиспользование требует проверки</w:t>
            </w:r>
          </w:p>
        </w:tc>
      </w:tr>
      <w:tr>
        <w:tc>
          <w:tcPr>
            <w:tcW w:type="dxa" w:w="192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Чистая публичнодоменная основа</w:t>
            </w:r>
          </w:p>
        </w:tc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2">
              <w:r>
                <w:rPr>
                  <w:color w:val="2F6578"/>
                  <w:u w:val="single"/>
                  <w:rFonts w:ascii="Noto Sans" w:hAnsi="Noto Sans"/>
                </w:rPr>
                <w:t>Geldner, 1886–1896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чтение и скачивание</w:t>
            </w:r>
          </w:p>
        </w:tc>
        <w:tc>
          <w:tcPr>
            <w:tcW w:type="dxa" w:w="334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лучший найденный свободный Avestan-layer для собственного перевода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английский перевод Гат</w:t>
            </w:r>
          </w:p>
        </w:tc>
        <w:tc>
          <w:tcPr>
            <w:tcW w:type="dxa" w:w="24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3">
              <w:r>
                <w:rPr>
                  <w:color w:val="2F6578"/>
                  <w:u w:val="single"/>
                  <w:rFonts w:ascii="Noto Sans" w:hAnsi="Noto Sans"/>
                </w:rPr>
                <w:t>SBE 31 / Mills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HTML-чтение</w:t>
            </w:r>
          </w:p>
        </w:tc>
        <w:tc>
          <w:tcPr>
            <w:tcW w:type="dxa" w:w="334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публичнодоменный перевод по датам; сайт — link-first</w:t>
            </w:r>
          </w:p>
        </w:tc>
      </w:tr>
      <w:tr>
        <w:tc>
          <w:tcPr>
            <w:tcW w:type="dxa" w:w="192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французский перевод</w:t>
            </w:r>
          </w:p>
        </w:tc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4">
              <w:r>
                <w:rPr>
                  <w:color w:val="2F6578"/>
                  <w:u w:val="single"/>
                  <w:rFonts w:ascii="Noto Sans" w:hAnsi="Noto Sans"/>
                </w:rPr>
                <w:t>Darmesteter на Wikisource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HTML + EPUB/PDF/TXT</w:t>
            </w:r>
          </w:p>
        </w:tc>
        <w:tc>
          <w:tcPr>
            <w:tcW w:type="dxa" w:w="334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PD-источник + CC BY-SA транскрипция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Современный английский вариант</w:t>
            </w:r>
          </w:p>
        </w:tc>
        <w:tc>
          <w:tcPr>
            <w:tcW w:type="dxa" w:w="24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5">
              <w:r>
                <w:rPr>
                  <w:color w:val="2F6578"/>
                  <w:u w:val="single"/>
                  <w:rFonts w:ascii="Noto Sans" w:hAnsi="Noto Sans"/>
                </w:rPr>
                <w:t>Insler, 1975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library/institutional</w:t>
            </w:r>
          </w:p>
        </w:tc>
        <w:tc>
          <w:tcPr>
            <w:tcW w:type="dxa" w:w="334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защищён; использовать для сверки, не зеркалировать</w:t>
            </w:r>
          </w:p>
        </w:tc>
      </w:tr>
      <w:tr>
        <w:tc>
          <w:tcPr>
            <w:tcW w:type="dxa" w:w="192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Современный расширенный Old Avestan</w:t>
            </w:r>
          </w:p>
        </w:tc>
        <w:tc>
          <w:tcPr>
            <w:tcW w:type="dxa" w:w="243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6">
              <w:r>
                <w:rPr>
                  <w:color w:val="2F6578"/>
                  <w:u w:val="single"/>
                  <w:rFonts w:ascii="Noto Sans" w:hAnsi="Noto Sans"/>
                </w:rPr>
                <w:t>Humbach et al., 1991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library/institutional</w:t>
            </w:r>
          </w:p>
        </w:tc>
        <w:tc>
          <w:tcPr>
            <w:tcW w:type="dxa" w:w="334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защищённая критическая редакция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Русский научный перевод</w:t>
            </w:r>
          </w:p>
        </w:tc>
        <w:tc>
          <w:tcPr>
            <w:tcW w:type="dxa" w:w="243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7">
              <w:r>
                <w:rPr>
                  <w:color w:val="2F6578"/>
                  <w:u w:val="single"/>
                  <w:rFonts w:ascii="Noto Sans" w:hAnsi="Noto Sans"/>
                </w:rPr>
                <w:t>Стеблин-Каменский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покупка</w:t>
            </w:r>
          </w:p>
        </w:tc>
        <w:tc>
          <w:tcPr>
            <w:tcW w:type="dxa" w:w="334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легальный печатный маршрут; перевод защищён</w:t>
            </w:r>
          </w:p>
        </w:tc>
      </w:tr>
    </w:tbl>
    <w:p>
      <w:pPr>
        <w:spacing w:after="20"/>
      </w:pPr>
    </w:p>
    <w:p>
      <w:pPr>
        <w:pStyle w:val="Heading2"/>
      </w:pPr>
      <w:r>
        <w:t>3.2. Ясна, Ясна Хаптангхаити и Висперад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09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49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Маршрут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311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смысл</w:t>
            </w:r>
          </w:p>
        </w:tc>
      </w:tr>
      <w:tr>
        <w:tc>
          <w:tcPr>
            <w:tcW w:type="dxa" w:w="20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Ясна как ритуальная последовательность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8">
              <w:r>
                <w:rPr>
                  <w:color w:val="2F6578"/>
                  <w:u w:val="single"/>
                  <w:rFonts w:ascii="Noto Sans" w:hAnsi="Noto Sans"/>
                </w:rPr>
                <w:t>CAB static Yasna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 + экспорт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лучший современный церемониальный вид; link/review</w:t>
            </w:r>
          </w:p>
        </w:tc>
      </w:tr>
      <w:t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Ясна по-французски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9">
              <w:r>
                <w:rPr>
                  <w:color w:val="2F6578"/>
                  <w:u w:val="single"/>
                  <w:rFonts w:ascii="Noto Sans" w:hAnsi="Noto Sans"/>
                </w:rPr>
                <w:t>Wikisource, том I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HTML + загрузки</w:t>
            </w:r>
          </w:p>
        </w:tc>
        <w:tc>
          <w:tcPr>
            <w:tcW w:type="dxa" w:w="311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можно зеркалировать с атрибуцией/ShareAlike</w:t>
            </w:r>
          </w:p>
        </w:tc>
      </w:tr>
      <w:tr>
        <w:tc>
          <w:tcPr>
            <w:tcW w:type="dxa" w:w="20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Ясна и Висперад по-английски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13">
              <w:r>
                <w:rPr>
                  <w:color w:val="2F6578"/>
                  <w:u w:val="single"/>
                  <w:rFonts w:ascii="Noto Sans" w:hAnsi="Noto Sans"/>
                </w:rPr>
                <w:t>SBE 31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HTML-чтение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перевод; повторное размещение сайта не доказано</w:t>
            </w:r>
          </w:p>
        </w:tc>
      </w:tr>
      <w:tr>
        <w:tc>
          <w:tcPr>
            <w:tcW w:type="dxa" w:w="209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Y 35–41 в современной науке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0">
              <w:r>
                <w:rPr>
                  <w:color w:val="2F6578"/>
                  <w:u w:val="single"/>
                  <w:rFonts w:ascii="Noto Sans" w:hAnsi="Noto Sans"/>
                </w:rPr>
                <w:t>Hintze, SOAS record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метаданные, библиотека, покупка</w:t>
            </w:r>
          </w:p>
        </w:tc>
        <w:tc>
          <w:tcPr>
            <w:tcW w:type="dxa" w:w="311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защищённая критическая монография</w:t>
            </w:r>
          </w:p>
        </w:tc>
      </w:tr>
      <w:tr>
        <w:tc>
          <w:tcPr>
            <w:tcW w:type="dxa" w:w="209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Живое исполнение Ясны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1">
              <w:r>
                <w:rPr>
                  <w:color w:val="2F6578"/>
                  <w:u w:val="single"/>
                  <w:rFonts w:ascii="Noto Sans" w:hAnsi="Noto Sans"/>
                </w:rPr>
                <w:t>Multimedia Yasna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видео/аудио/документация</w:t>
            </w:r>
          </w:p>
        </w:tc>
        <w:tc>
          <w:tcPr>
            <w:tcW w:type="dxa" w:w="311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компонентные права; только link/research</w:t>
            </w:r>
          </w:p>
        </w:tc>
      </w:tr>
    </w:tbl>
    <w:p>
      <w:pPr>
        <w:spacing w:after="20"/>
      </w:pPr>
    </w:p>
    <w:p>
      <w:pPr>
        <w:pStyle w:val="Heading2"/>
      </w:pPr>
      <w:r>
        <w:t>3.3. Видевдат, Яшты и Хордэ-Авеста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8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Корпус</w:t>
            </w:r>
          </w:p>
        </w:tc>
        <w:tc>
          <w:tcPr>
            <w:tcW w:type="dxa" w:w="249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Маршрут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323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смысл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Видевдат — оригинал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2">
              <w:r>
                <w:rPr>
                  <w:color w:val="2F6578"/>
                  <w:u w:val="single"/>
                  <w:rFonts w:ascii="Noto Sans" w:hAnsi="Noto Sans"/>
                </w:rPr>
                <w:t>CAB static Videvdad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 + экспорт</w:t>
            </w:r>
          </w:p>
        </w:tc>
        <w:tc>
          <w:tcPr>
            <w:tcW w:type="dxa" w:w="323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научно сильный, но лицензия на транскрипцию не открыта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Видевдат — английский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3">
              <w:r>
                <w:rPr>
                  <w:color w:val="2F6578"/>
                  <w:u w:val="single"/>
                  <w:rFonts w:ascii="Noto Sans" w:hAnsi="Noto Sans"/>
                </w:rPr>
                <w:t>SBE 4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HTML-чтение</w:t>
            </w:r>
          </w:p>
        </w:tc>
        <w:tc>
          <w:tcPr>
            <w:tcW w:type="dxa" w:w="323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PD-перевод по датам; link-first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Видевдат — французский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4">
              <w:r>
                <w:rPr>
                  <w:color w:val="2F6578"/>
                  <w:u w:val="single"/>
                  <w:rFonts w:ascii="Noto Sans" w:hAnsi="Noto Sans"/>
                </w:rPr>
                <w:t>Wikisource, том II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чтение + скачивание</w:t>
            </w:r>
          </w:p>
        </w:tc>
        <w:tc>
          <w:tcPr>
            <w:tcW w:type="dxa" w:w="323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 для транскрипции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Яшты и Сироза — английский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5">
              <w:r>
                <w:rPr>
                  <w:color w:val="2F6578"/>
                  <w:u w:val="single"/>
                  <w:rFonts w:ascii="Noto Sans" w:hAnsi="Noto Sans"/>
                </w:rPr>
                <w:t>SBE 23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HTML-чтение</w:t>
            </w:r>
          </w:p>
        </w:tc>
        <w:tc>
          <w:tcPr>
            <w:tcW w:type="dxa" w:w="323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перевод; права сайта отдельно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Хордэ-Авеста — оригинал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6">
              <w:r>
                <w:rPr>
                  <w:color w:val="2F6578"/>
                  <w:u w:val="single"/>
                  <w:rFonts w:ascii="Noto Sans" w:hAnsi="Noto Sans"/>
                </w:rPr>
                <w:t>CAB static Khordeh Avesta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 + экспорт</w:t>
            </w:r>
          </w:p>
        </w:tc>
        <w:tc>
          <w:tcPr>
            <w:tcW w:type="dxa" w:w="323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link/review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Hērbedestān/Nērangestān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7">
              <w:r>
                <w:rPr>
                  <w:color w:val="2F6578"/>
                  <w:u w:val="single"/>
                  <w:rFonts w:ascii="Noto Sans" w:hAnsi="Noto Sans"/>
                </w:rPr>
                <w:t>Kotwal–Kreyenbroek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preview, библиотека, покупка</w:t>
            </w:r>
          </w:p>
        </w:tc>
        <w:tc>
          <w:tcPr>
            <w:tcW w:type="dxa" w:w="323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лучшее современное издание защищено</w:t>
            </w:r>
          </w:p>
        </w:tc>
      </w:tr>
    </w:tbl>
    <w:p>
      <w:pPr>
        <w:spacing w:after="20"/>
      </w:pPr>
    </w:p>
    <w:p>
      <w:pPr>
        <w:pStyle w:val="Heading2"/>
      </w:pPr>
      <w:r>
        <w:t>3.4. Рукописи и факсимиле</w:t>
      </w:r>
    </w:p>
    <w:p>
      <w:r>
        <w:rPr>
          <w:rFonts w:ascii="Noto Sans" w:hAnsi="Noto Sans" w:eastAsia="Noto Sans"/>
        </w:rPr>
        <w:t>Основной путь — CAB Manuscript Database с переходом к ADA/holding institution. В реестр внесены сигла K7a, K5, J2, K1, L4, Jm4, F1 и RSPA 230 как отдельные свидетели. Это не восемь новых произведений: это восемь материальных носителей, чьи чтения, датировка, состав и права могут различаться.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249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Маршрут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Доступ</w:t>
            </w:r>
          </w:p>
        </w:tc>
        <w:tc>
          <w:tcPr>
            <w:tcW w:type="dxa" w:w="328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Правовой смысл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Поиск по сиглам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8">
              <w:r>
                <w:rPr>
                  <w:color w:val="2F6578"/>
                  <w:u w:val="single"/>
                  <w:rFonts w:ascii="Noto Sans" w:hAnsi="Noto Sans"/>
                </w:rPr>
                <w:t>CAB Manuscript Database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метаданные + изображения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лучший вход; лицензия изображения проверяется по держателю</w:t>
            </w:r>
          </w:p>
        </w:tc>
      </w:tr>
      <w:tr>
        <w:tc>
          <w:tcPr>
            <w:tcW w:type="dxa" w:w="192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Legacy-архив изображений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29">
              <w:r>
                <w:rPr>
                  <w:color w:val="2F6578"/>
                  <w:u w:val="single"/>
                  <w:rFonts w:ascii="Noto Sans" w:hAnsi="Noto Sans"/>
                </w:rPr>
                <w:t>Avestan Digital Archive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просмотр/метаданные</w:t>
            </w:r>
          </w:p>
        </w:tc>
        <w:tc>
          <w:tcPr>
            <w:tcW w:type="dxa" w:w="328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link-only до item-level rights</w:t>
            </w:r>
          </w:p>
        </w:tc>
      </w:tr>
      <w:tr>
        <w:tc>
          <w:tcPr>
            <w:tcW w:type="dxa" w:w="19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Транслитерационный просмотр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0">
              <w:r>
                <w:rPr>
                  <w:color w:val="2F6578"/>
                  <w:u w:val="single"/>
                  <w:rFonts w:ascii="Noto Sans" w:hAnsi="Noto Sans"/>
                </w:rPr>
                <w:t>CAB manuscript viewer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изображение + транслитерация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конкретный viewer; права компонентов смешанные</w:t>
            </w:r>
          </w:p>
        </w:tc>
      </w:tr>
    </w:tbl>
    <w:p>
      <w:pPr>
        <w:spacing w:after="20"/>
      </w:pPr>
    </w:p>
    <w:p>
      <w:pPr>
        <w:pStyle w:val="Heading2"/>
      </w:pPr>
      <w:r>
        <w:t>3.5. Ахеменидские царские надписи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04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238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Маршрут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328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смысл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Машиночитаемый корпус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1">
              <w:r>
                <w:rPr>
                  <w:color w:val="2F6578"/>
                  <w:u w:val="single"/>
                  <w:rFonts w:ascii="Noto Sans" w:hAnsi="Noto Sans"/>
                </w:rPr>
                <w:t>ORACC ARIo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чтение + corpus data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 3.0; метаданные CC0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DB по традиционной сигле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2">
              <w:r>
                <w:rPr>
                  <w:color w:val="2F6578"/>
                  <w:u w:val="single"/>
                  <w:rFonts w:ascii="Noto Sans" w:hAnsi="Noto Sans"/>
                </w:rPr>
                <w:t>Livius: Behistun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</w:t>
            </w:r>
          </w:p>
        </w:tc>
        <w:tc>
          <w:tcPr>
            <w:tcW w:type="dxa" w:w="328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удобный modern reference; link-only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История дешифровки DB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3">
              <w:r>
                <w:rPr>
                  <w:color w:val="2F6578"/>
                  <w:u w:val="single"/>
                  <w:rFonts w:ascii="Noto Sans" w:hAnsi="Noto Sans"/>
                </w:rPr>
                <w:t>Rawlinson, 1848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PDF/EPUB/TXT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PD-исторический слой; скан review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Современная критическая редакция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4">
              <w:r>
                <w:rPr>
                  <w:color w:val="2F6578"/>
                  <w:u w:val="single"/>
                  <w:rFonts w:ascii="Noto Sans" w:hAnsi="Noto Sans"/>
                </w:rPr>
                <w:t>Schmitt, 2023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sample + покупка</w:t>
            </w:r>
          </w:p>
        </w:tc>
        <w:tc>
          <w:tcPr>
            <w:tcW w:type="dxa" w:w="328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защищённый лучший научный ориентир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Цилиндр Кира — открытый текст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5">
              <w:r>
                <w:rPr>
                  <w:color w:val="2F6578"/>
                  <w:u w:val="single"/>
                  <w:rFonts w:ascii="Noto Sans" w:hAnsi="Noto Sans"/>
                </w:rPr>
                <w:t>ARIo Q006653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чтение + данные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BY-SA/CC0 в пределах ORACC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Цилиндр Кира — изображение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6">
              <w:r>
                <w:rPr>
                  <w:color w:val="2F6578"/>
                  <w:u w:val="single"/>
                  <w:rFonts w:ascii="Noto Sans" w:hAnsi="Noto Sans"/>
                </w:rPr>
                <w:t>British Museum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изображение/метаданные</w:t>
            </w:r>
          </w:p>
        </w:tc>
        <w:tc>
          <w:tcPr>
            <w:tcW w:type="dxa" w:w="328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квалифицируемые изображения CC BY-NC-SA 4.0; item-check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Контекст памятника DB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7">
              <w:r>
                <w:rPr>
                  <w:color w:val="2F6578"/>
                  <w:u w:val="single"/>
                  <w:rFonts w:ascii="Noto Sans" w:hAnsi="Noto Sans"/>
                </w:rPr>
                <w:t>UNESCO Bisotun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официальная карточка</w:t>
            </w:r>
          </w:p>
        </w:tc>
        <w:tc>
          <w:tcPr>
            <w:tcW w:type="dxa" w:w="32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метаданные/фото, link-only</w:t>
            </w:r>
          </w:p>
        </w:tc>
      </w:tr>
    </w:tbl>
    <w:p>
      <w:pPr>
        <w:spacing w:after="20"/>
      </w:pPr>
    </w:p>
    <w:p>
      <w:pPr>
        <w:pStyle w:val="Heading2"/>
      </w:pPr>
      <w:r>
        <w:t>3.6. Предшественники и линии сохранения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04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49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Маршрут</w:t>
            </w:r>
          </w:p>
        </w:tc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Доступ</w:t>
            </w:r>
          </w:p>
        </w:tc>
        <w:tc>
          <w:tcPr>
            <w:tcW w:type="dxa" w:w="3175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смысл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Ригведа — данные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8">
              <w:r>
                <w:rPr>
                  <w:color w:val="2F6578"/>
                  <w:u w:val="single"/>
                  <w:rFonts w:ascii="Noto Sans" w:hAnsi="Noto Sans"/>
                </w:rPr>
                <w:t>VedaWeb data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TEI/XML и таблицы</w:t>
            </w:r>
          </w:p>
        </w:tc>
        <w:tc>
          <w:tcPr>
            <w:tcW w:type="dxa" w:w="317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смешанные component licences; Zurich CC BY, другие CC BY-NC-SA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Ригведа — официальное чтение/аудио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9">
              <w:r>
                <w:rPr>
                  <w:color w:val="2F6578"/>
                  <w:u w:val="single"/>
                  <w:rFonts w:ascii="Noto Sans" w:hAnsi="Noto Sans"/>
                </w:rPr>
                <w:t>Vedic Heritage Portal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свободное чтение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воспроизведение запрещено без разрешения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Ассирийская царская эпиграфика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0">
              <w:r>
                <w:rPr>
                  <w:color w:val="2F6578"/>
                  <w:u w:val="single"/>
                  <w:rFonts w:ascii="Noto Sans" w:hAnsi="Noto Sans"/>
                </w:rPr>
                <w:t>ORACC RINAP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открытый корпус</w:t>
            </w:r>
          </w:p>
        </w:tc>
        <w:tc>
          <w:tcPr>
            <w:tcW w:type="dxa" w:w="317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BY-SA/CC0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Вавилонская царская эпиграфика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1">
              <w:r>
                <w:rPr>
                  <w:color w:val="2F6578"/>
                  <w:u w:val="single"/>
                  <w:rFonts w:ascii="Noto Sans" w:hAnsi="Noto Sans"/>
                </w:rPr>
                <w:t>ORACC RIBo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открытый корпус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BY-SA/CC0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Содержание утраченных насков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2">
              <w:r>
                <w:rPr>
                  <w:color w:val="2F6578"/>
                  <w:u w:val="single"/>
                  <w:rFonts w:ascii="Noto Sans" w:hAnsi="Noto Sans"/>
                </w:rPr>
                <w:t>Dēnkard 8–9 / SBE 37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полное чтение</w:t>
            </w:r>
          </w:p>
        </w:tc>
        <w:tc>
          <w:tcPr>
            <w:tcW w:type="dxa" w:w="317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старый английский перевод; link-first</w:t>
            </w:r>
          </w:p>
        </w:tc>
      </w:tr>
      <w:tr>
        <w:tc>
          <w:tcPr>
            <w:tcW w:type="dxa" w:w="204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Космология и эсхатология</w:t>
            </w:r>
          </w:p>
        </w:tc>
        <w:tc>
          <w:tcPr>
            <w:tcW w:type="dxa" w:w="249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3">
              <w:r>
                <w:rPr>
                  <w:color w:val="2F6578"/>
                  <w:u w:val="single"/>
                  <w:rFonts w:ascii="Noto Sans" w:hAnsi="Noto Sans"/>
                </w:rPr>
                <w:t>Pahlavi Texts / SBE 5</w:t>
              </w:r>
            </w:hyperlink>
          </w:p>
        </w:tc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PDF/OCR/TXT</w:t>
            </w:r>
          </w:p>
        </w:tc>
        <w:tc>
          <w:tcPr>
            <w:tcW w:type="dxa" w:w="3175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PD-перевод по датам; скан review</w:t>
            </w:r>
          </w:p>
        </w:tc>
      </w:tr>
      <w:tr>
        <w:tc>
          <w:tcPr>
            <w:tcW w:type="dxa" w:w="204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Греческая рецепция</w:t>
            </w:r>
          </w:p>
        </w:tc>
        <w:tc>
          <w:tcPr>
            <w:tcW w:type="dxa" w:w="249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4">
              <w:r>
                <w:rPr>
                  <w:color w:val="2F6578"/>
                  <w:u w:val="single"/>
                  <w:rFonts w:ascii="Noto Sans" w:hAnsi="Noto Sans"/>
                </w:rPr>
                <w:t>Plutarch, Isis and Osiris</w:t>
              </w:r>
            </w:hyperlink>
          </w:p>
        </w:tc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чтение + экспорт</w:t>
            </w:r>
          </w:p>
        </w:tc>
        <w:tc>
          <w:tcPr>
            <w:tcW w:type="dxa" w:w="3175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PD + CC BY-SA транскрипция</w:t>
            </w:r>
          </w:p>
        </w:tc>
      </w:tr>
    </w:tbl>
    <w:p>
      <w:pPr>
        <w:spacing w:after="20"/>
      </w:pPr>
    </w:p>
    <w:p>
      <w:pPr>
        <w:pStyle w:val="Heading1"/>
      </w:pPr>
      <w:r>
        <w:t>4. Карта прав и практического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83A4A"/>
                <w:sz w:val="20"/>
              </w:rPr>
              <w:t>Главное правило</w:t>
              <w:br/>
            </w:r>
            <w:r>
              <w:rPr>
                <w:rFonts w:ascii="Noto Sans" w:hAnsi="Noto Sans" w:eastAsia="Noto Sans"/>
                <w:sz w:val="18"/>
              </w:rPr>
              <w:t>Положительный тег действует только для указанного rights_scope и coverage. Например, CC BY-SA на ORACC-транслитерацию не открывает музейную фотографию; CC BY-NC-SA на изображение Британского музея не открывает весь текст карточки; public domain древнего произведения не снимает право с современного перевода.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84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402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Основные источники</w:t>
            </w:r>
          </w:p>
        </w:tc>
        <w:tc>
          <w:tcPr>
            <w:tcW w:type="dxa" w:w="3912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Условия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Потенциально зеркалировать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Wikimedia Commons public-domain scans; Wikisource CC BY-SA transcriptions; ORACC CC BY-SA text and CC0 metadata</w:t>
            </w:r>
          </w:p>
        </w:tc>
        <w:tc>
          <w:tcPr>
            <w:tcW w:type="dxa" w:w="3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Сохранять item-level statement, атрибуцию и ShareAlike; не переносить лицензию на изображения третьих лиц.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Некоммерческое зеркало</w:t>
            </w:r>
          </w:p>
        </w:tc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British Museum qualifying collection images; VedaWeb CC BY-NC-SA components</w:t>
            </w:r>
          </w:p>
        </w:tc>
        <w:tc>
          <w:tcPr>
            <w:tcW w:type="dxa" w:w="391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Только некоммерчески, с атрибуцией и ShareAlike; проверить каждый файл.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Свободно читать/скачивать, но зеркало не доказано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CAB exports; Internet Archive scans; Sacred Texts; HathiTrust full view; ADA images</w:t>
            </w:r>
          </w:p>
        </w:tc>
        <w:tc>
          <w:tcPr>
            <w:tcW w:type="dxa" w:w="3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Допустимы LINK_OK, research copy и иногда OCR/index по PD-содержимому; публичную копию файла не размещать без rights evidence.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Только ссылки</w:t>
            </w:r>
          </w:p>
        </w:tc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TITUS, Avesta.org, Livius, Iranica, Vedic Heritage, большинство MUYA media</w:t>
            </w:r>
          </w:p>
        </w:tc>
        <w:tc>
          <w:tcPr>
            <w:tcW w:type="dxa" w:w="391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Сайты прямо запрещают републикацию либо не дают открытой лицензии.</w:t>
            </w:r>
          </w:p>
        </w:tc>
      </w:tr>
      <w:tr>
        <w:tc>
          <w:tcPr>
            <w:tcW w:type="dxa" w:w="198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Borrow / preview / purchase</w:t>
            </w:r>
          </w:p>
        </w:tc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Insler, Humbach, Hintze, Kent, Schmitt, Lecoq, русские современные переводы</w:t>
            </w:r>
          </w:p>
        </w:tc>
        <w:tc>
          <w:tcPr>
            <w:tcW w:type="dxa" w:w="3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Современная редакция/перевод защищены; хранить библиографическую карточку и внешнюю ссылку.</w:t>
            </w:r>
          </w:p>
        </w:tc>
      </w:tr>
      <w:tr>
        <w:tc>
          <w:tcPr>
            <w:tcW w:type="dxa" w:w="1984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Неизменённое распространение</w:t>
            </w:r>
          </w:p>
        </w:tc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Чёткой ND-лицензии для центрального корпуса не найдено</w:t>
            </w:r>
          </w:p>
        </w:tc>
        <w:tc>
          <w:tcPr>
            <w:tcW w:type="dxa" w:w="391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Запрет на копирование — не то же самое, что разрешение распространять неизменённо; такие источники остаются link-only.</w:t>
            </w:r>
          </w:p>
        </w:tc>
      </w:tr>
    </w:tbl>
    <w:p>
      <w:pPr>
        <w:spacing w:after="20"/>
      </w:pPr>
    </w:p>
    <w:p>
      <w:pPr>
        <w:pStyle w:val="Heading2"/>
      </w:pPr>
      <w:r>
        <w:t>4.1. Что ToS может потенциально зеркалировать</w:t>
      </w:r>
    </w:p>
    <w:p>
      <w:r>
        <w:rPr>
          <w:rFonts w:ascii="Noto Sans" w:hAnsi="Noto Sans" w:eastAsia="Noto Sans"/>
        </w:rPr>
        <w:t>Самый чистый слой образуют публичнодоменные файлы Wikimedia Commons: три тома Anquetil-Duperron и три тома Darmesteter, а также связанные сканы. Их можно хранить, OCR-ить, индексировать и отдавать пользователю в пределах item-level Public Domain statement. Для Wikisource поверх публичнодоменного оригинала действует CC BY-SA 4.0: требуются атрибуция и сохранение ShareAlike. У ORACC ARIo текст, транслитерации и переводы проекта доступны по CC BY-SA 3.0, а каталоговые данные — CC0.</w:t>
      </w:r>
    </w:p>
    <w:p>
      <w:pPr>
        <w:pStyle w:val="Heading2"/>
      </w:pPr>
      <w:r>
        <w:t>4.2. Некоммерческий слой</w:t>
      </w:r>
    </w:p>
    <w:p>
      <w:r>
        <w:rPr>
          <w:rFonts w:ascii="Noto Sans" w:hAnsi="Noto Sans" w:eastAsia="Noto Sans"/>
        </w:rPr>
        <w:t>Некоммерческие лицензии обнаружены в двух важных местах. Во-первых, отдельные компоненты VedaWeb имеют CC BY-NC-SA 4.0; их можно зеркалировать и индексировать только в некоммерческом контуре с атрибуцией и ShareAlike. Во-вторых, Британский музей объявляет квалифицируемые collection images доступными по CC BY-NC-SA 4.0. Для ToS это полезно, но только после проверки конкретной картинки на карточке цилиндра Кира.</w:t>
      </w:r>
    </w:p>
    <w:p>
      <w:pPr>
        <w:pStyle w:val="Heading2"/>
      </w:pPr>
      <w:r>
        <w:t>4.3. Чтение и скачивание без доказанного права повторного размещения</w:t>
      </w:r>
    </w:p>
    <w:p>
      <w:r>
        <w:rPr>
          <w:rFonts w:ascii="Noto Sans" w:hAnsi="Noto Sans" w:eastAsia="Noto Sans"/>
        </w:rPr>
        <w:t>CAB позволяет выгружать XML, JSON и plain text, однако его disclaimer не даёт открытой лицензии. TITUS прямо запрещает перепубликацию. Avesta.org разрешает ссылки, но запрещает зеркала. Livius защищает собственные переводы и изображения. Internet Archive и HathiTrust часто дают полный доступ к публичнодоменной книге, однако условия конкретной цифровой копии, Google-derived scans и территориальные ограничения не следует игнорировать. Поэтому для этих групп в реестре сохранены FREE_READ/FREE_DOWNLOAD, но MIRROR_OK не поставлен.</w:t>
      </w:r>
    </w:p>
    <w:p>
      <w:pPr>
        <w:pStyle w:val="Heading2"/>
      </w:pPr>
      <w:r>
        <w:t>4.4. Основа для собственного перевода 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70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381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Основа</w:t>
            </w:r>
          </w:p>
        </w:tc>
        <w:tc>
          <w:tcPr>
            <w:tcW w:type="dxa" w:w="260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Правовой статус</w:t>
            </w:r>
          </w:p>
        </w:tc>
        <w:tc>
          <w:tcPr>
            <w:tcW w:type="dxa" w:w="260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Вывод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Авеста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Geldner 1886–1896; Westergaard 1852–1854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Публичнодоменные оригинально-языковые издания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Да, в объёме издания; сверять с CAB и рукописями.</w:t>
            </w:r>
          </w:p>
        </w:tc>
      </w:tr>
      <w:t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Гаты / Ясна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те же PD-издания + факсимиле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Чистый текстовый слой есть; modern corrections защищены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Да, но критические решения ToS должен делать самостоятельно.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Ахеменидские надписи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ORACC ARIo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CC BY-SA 3.0 original-language transliterations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Да, для покрытых item records, с атрибуцией/SA на reused editorial layer.</w:t>
            </w:r>
          </w:p>
        </w:tc>
      </w:tr>
      <w:t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Цилиндр Кира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ARIo Q006653; BM image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Открытая транслитерация + условно NC-SA изображение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Да для текста ARIo; изображение — только после item-check.</w:t>
            </w:r>
          </w:p>
        </w:tc>
      </w:tr>
      <w:tr>
        <w:tc>
          <w:tcPr>
            <w:tcW w:type="dxa" w:w="17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CAB/TITUS</w:t>
            </w:r>
          </w:p>
        </w:tc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современные цифровые транскрипции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Права на цифровую редакцию не открыты</w:t>
            </w:r>
          </w:p>
        </w:tc>
        <w:tc>
          <w:tcPr>
            <w:tcW w:type="dxa" w:w="2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Нет безусловного OWN_TRANSLATION_POSSIBLE как основания для публичной версии.</w:t>
            </w:r>
          </w:p>
        </w:tc>
      </w:tr>
      <w:tr>
        <w:tc>
          <w:tcPr>
            <w:tcW w:type="dxa" w:w="170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Современные переводы</w:t>
            </w:r>
          </w:p>
        </w:tc>
        <w:tc>
          <w:tcPr>
            <w:tcW w:type="dxa" w:w="2381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Insler, Humbach, Hintze, Schmitt, Lecoq, русские издания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Защищённый перевод/аппарат</w:t>
            </w:r>
          </w:p>
        </w:tc>
        <w:tc>
          <w:tcPr>
            <w:tcW w:type="dxa" w:w="260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6"/>
              </w:rPr>
              <w:t>Только консультация; не перевод-посредник для свободной публикации.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Noto Sans" w:hAnsi="Noto Sans" w:eastAsia="Noto Sans"/>
          <w:i/>
          <w:color w:val="4C5D66"/>
          <w:sz w:val="17"/>
        </w:rPr>
        <w:t>OWN_TRANSLATION_POSSIBLE в реестре не означает, что старое издание научно достаточно. Это лишь указание на правовую чистоту доступного оригинально-языкового слоя в указанном объёме.</w:t>
      </w:r>
    </w:p>
    <w:p>
      <w:pPr>
        <w:pStyle w:val="Heading1"/>
      </w:pPr>
      <w:r>
        <w:t>5. Характерные правовые тонкости</w:t>
      </w:r>
    </w:p>
    <w:p>
      <w:r>
        <w:rPr>
          <w:rFonts w:ascii="Noto Sans" w:hAnsi="Noto Sans" w:eastAsia="Noto Sans"/>
          <w:b/>
          <w:color w:val="183A4A"/>
        </w:rPr>
        <w:t xml:space="preserve">Древний текст и современная редакция. </w:t>
      </w:r>
      <w:r>
        <w:rPr>
          <w:rFonts w:ascii="Noto Sans" w:hAnsi="Noto Sans" w:eastAsia="Noto Sans"/>
        </w:rPr>
        <w:t>Авеста и DB свободны по возрасту, но CAB-коррекция, Schmitt, Insler, Humbach и Hintze защищены как современная редакция, перевод и аппарат.</w:t>
      </w:r>
    </w:p>
    <w:p>
      <w:r>
        <w:rPr>
          <w:rFonts w:ascii="Noto Sans" w:hAnsi="Noto Sans" w:eastAsia="Noto Sans"/>
          <w:b/>
          <w:color w:val="183A4A"/>
        </w:rPr>
        <w:t xml:space="preserve">Книга и её цифровая копия. </w:t>
      </w:r>
      <w:r>
        <w:rPr>
          <w:rFonts w:ascii="Noto Sans" w:hAnsi="Noto Sans" w:eastAsia="Noto Sans"/>
        </w:rPr>
        <w:t>Публичнодоменный Geldner не автоматически делает свободным любой скан. Для Commons есть item-level PD statement; для IA/Hathi права конкретной копии менее прямы.</w:t>
      </w:r>
    </w:p>
    <w:p>
      <w:r>
        <w:rPr>
          <w:rFonts w:ascii="Noto Sans" w:hAnsi="Noto Sans" w:eastAsia="Noto Sans"/>
          <w:b/>
          <w:color w:val="183A4A"/>
        </w:rPr>
        <w:t xml:space="preserve">Текст, данные, код и изображения. </w:t>
      </w:r>
      <w:r>
        <w:rPr>
          <w:rFonts w:ascii="Noto Sans" w:hAnsi="Noto Sans" w:eastAsia="Noto Sans"/>
        </w:rPr>
        <w:t>ORACC отделяет CC BY-SA text/project content, CC0 catalogue data и программный код; лицензия не распространяется на чужие фотографии.</w:t>
      </w:r>
    </w:p>
    <w:p>
      <w:r>
        <w:rPr>
          <w:rFonts w:ascii="Noto Sans" w:hAnsi="Noto Sans" w:eastAsia="Noto Sans"/>
          <w:b/>
          <w:color w:val="183A4A"/>
        </w:rPr>
        <w:t xml:space="preserve">Открытый доступ и отсутствие лицензии. </w:t>
      </w:r>
      <w:r>
        <w:rPr>
          <w:rFonts w:ascii="Noto Sans" w:hAnsi="Noto Sans" w:eastAsia="Noto Sans"/>
        </w:rPr>
        <w:t>CAB даёт загрузку данных, но download button не равен разрешению на зеркало, публичный полнотекстовый индекс или embedding service.</w:t>
      </w:r>
    </w:p>
    <w:p>
      <w:r>
        <w:rPr>
          <w:rFonts w:ascii="Noto Sans" w:hAnsi="Noto Sans" w:eastAsia="Noto Sans"/>
          <w:b/>
          <w:color w:val="183A4A"/>
        </w:rPr>
        <w:t xml:space="preserve">Некомерческий режим. </w:t>
      </w:r>
      <w:r>
        <w:rPr>
          <w:rFonts w:ascii="Noto Sans" w:hAnsi="Noto Sans" w:eastAsia="Noto Sans"/>
        </w:rPr>
        <w:t>CC BY-NC-SA полезен ToS сейчас, но условия NC, attribution и SA должны сохраняться; будущая коммерциализация потребует нового анализа.</w:t>
      </w:r>
    </w:p>
    <w:p>
      <w:r>
        <w:rPr>
          <w:rFonts w:ascii="Noto Sans" w:hAnsi="Noto Sans" w:eastAsia="Noto Sans"/>
          <w:b/>
          <w:color w:val="183A4A"/>
        </w:rPr>
        <w:t xml:space="preserve">OCR и embeddings. </w:t>
      </w:r>
      <w:r>
        <w:rPr>
          <w:rFonts w:ascii="Noto Sans" w:hAnsi="Noto Sans" w:eastAsia="Noto Sans"/>
        </w:rPr>
        <w:t>Для публичнодоменного скана OCR и внутренний индекс обычно допустимы; публичное размещение OCR, модели или embeddings всё равно должно учитывать права конкретного цифрового объекта и базы данных.</w:t>
      </w:r>
    </w:p>
    <w:p>
      <w:r>
        <w:rPr>
          <w:rFonts w:ascii="Noto Sans" w:hAnsi="Noto Sans" w:eastAsia="Noto Sans"/>
          <w:b/>
          <w:color w:val="183A4A"/>
        </w:rPr>
        <w:t xml:space="preserve">Юрисдикция. </w:t>
      </w:r>
      <w:r>
        <w:rPr>
          <w:rFonts w:ascii="Noto Sans" w:hAnsi="Noto Sans" w:eastAsia="Noto Sans"/>
        </w:rPr>
        <w:t>Public Domain в одной стране не гарантирует одинаковый результат повсюду. Сильные рекомендации привязаны к явному rights statement либо к старому изданию с пометкой о выводе по датам.</w:t>
      </w:r>
    </w:p>
    <w:p>
      <w:r>
        <w:rPr>
          <w:rFonts w:ascii="Noto Sans" w:hAnsi="Noto Sans" w:eastAsia="Noto Sans"/>
          <w:b/>
          <w:color w:val="183A4A"/>
        </w:rPr>
        <w:t xml:space="preserve">Негативная лицензия не создаёт позитивного права. </w:t>
      </w:r>
      <w:r>
        <w:rPr>
          <w:rFonts w:ascii="Noto Sans" w:hAnsi="Noto Sans" w:eastAsia="Noto Sans"/>
        </w:rPr>
        <w:t>Если сайт запрещает копирование, это не означает «можно распространять неизменённым». В пакете такие материалы маркированы LINK_ONLY/PERMISSION_REQUIRED, а не UNCHANGED_ONLY.</w:t>
      </w:r>
    </w:p>
    <w:p>
      <w:pPr>
        <w:pStyle w:val="Heading1"/>
      </w:pPr>
      <w:r>
        <w:t>6. Пробелы и дальнейший поиск</w:t>
      </w:r>
    </w:p>
    <w:p>
      <w:r>
        <w:rPr>
          <w:rFonts w:ascii="Noto Sans" w:hAnsi="Noto Sans" w:eastAsia="Noto Sans"/>
        </w:rPr>
        <w:t>Лист gaps содержит 14 конкретных незавершённых направлений. Ниже — десять приоритетов, которые наиболее сильно изменят пригодность корпуса для Codex и публичного ToS.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Получить явную лицензию CAB на XML/JSON/TXT или письменное разрешение для некоммерческого зеркала, индекса и embeddings.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Закрепить стабильные item-level страницы, shelfmark, дату, состав и image rights для K7a, K5, J2, K1, L4, Jm4, F1 и RSPA 230.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Найти современную полную критическую Авесту с открытой лицензией либо author-accepted manuscript по ключевым частям.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Найти современные английские и русские переводы с явной CC/author licence; сейчас свободный слой в основном исторический.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Добыть законный full-text Hērbedestān/Nērangestān: publisher permission, OA deposit или старое публичнодоменное издание.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Провести отдельный поиск по санскритской/пазандской передаче Нерйосанга и соответствующим рукописям.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Развернуть историческую русскую линию 1861–начала XX века через РГБ, НЭБ и Президентскую библиотеку, избегая неавторизованных зеркал.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Сопоставить традиционные сигла DB, DNa, DNb, DSe, DSf и DZ со стабильными Q-ID ARIo и выгрузками каждой языковой версии.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Найти полный набор высококачественных изображений Бехистуна/снятий/слепков с IIIF или ясным reuse statement.</w:t>
      </w:r>
    </w:p>
    <w:p>
      <w:pPr>
        <w:pStyle w:val="ListNumber"/>
        <w:spacing w:after="60"/>
      </w:pPr>
      <w:r>
        <w:rPr>
          <w:rFonts w:ascii="Noto Sans" w:hAnsi="Noto Sans" w:eastAsia="Noto Sans"/>
        </w:rPr>
        <w:t>Проверить и разделить компонентные права DARIOSH и MUYA; сохранить отдельно data, text, code, image, audio и video layers.</w:t>
      </w:r>
    </w:p>
    <w:p>
      <w:pPr>
        <w:pStyle w:val="Heading2"/>
      </w:pPr>
      <w:r>
        <w:t>6.1. Ссылки и доступ, которые требуют ручной проверки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British Museum: карточка цилиндра Кира временами блокирует автоматический доступ; item-level licence нужно открыть вручную.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CAB/ADA: портал доступен, но стабильные deep links и права конкретных рукописей не всегда очевидны.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HathiTrust: full view и download меняются по правам копии, источнику скана, территории и институциональной принадлежности.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Internet Archive: старое произведение часто публичнодоменно, но provenance и rights statement скана могут быть неполными.</w:t>
      </w:r>
    </w:p>
    <w:p>
      <w:pPr>
        <w:pStyle w:val="ListBullet"/>
        <w:spacing w:after="60"/>
      </w:pPr>
      <w:r>
        <w:rPr>
          <w:rFonts w:ascii="Noto Sans" w:hAnsi="Noto Sans" w:eastAsia="Noto Sans"/>
        </w:rPr>
        <w:t>Некоторые Iranica URLs могут редиректить; их следует нормализовать перед автоматическим импортом в ToS.</w:t>
      </w:r>
    </w:p>
    <w:p>
      <w:pPr>
        <w:pStyle w:val="Heading2"/>
      </w:pPr>
      <w:r>
        <w:t>6.2. Внепериодные объекты, требующие отдельной волны</w:t>
      </w:r>
    </w:p>
    <w:p>
      <w:r>
        <w:rPr>
          <w:rFonts w:ascii="Noto Sans" w:hAnsi="Noto Sans" w:eastAsia="Noto Sans"/>
        </w:rPr>
        <w:t>Наиболее перспективны nask-by-nask карта по Dēnkard 8–9; санскритско-пазандская передача; полные тексты и изображения ŠKZ и надписей Картира; поздние персидские Rivāyats; а также более точная история русских переводов. Эти направления связаны с A22 через сохранение, перевод, комментарий и институциональное продолжение, но не должны превращать узел в общую историю зороастризма.</w:t>
      </w:r>
    </w:p>
    <w:p>
      <w:pPr>
        <w:pStyle w:val="Heading1"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7143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Покрытие корпуса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Высокое для центральных авестийских книг и главных ахеменидских надписей; среднее для learned Avestan texts и рукописных item-level прав.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Оригиналы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Сильное: CAB/TITUS дают исследовательский текст, Geldner/Westergaard — публичнодоменную основу, ARIo — открытый Old Persian/Akkadian/Elamite слой.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Переводы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Исторические английские и французские переводы доступны хорошо; современный английский, немецкий, французский и русский слой в основном library/purchase/link-only.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Самый свободный слой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ORACC ARIo; Wikimedia Commons public-domain scans; Wikisource CC BY-SA transcriptions; отдельные VedaWeb components.</w:t>
            </w:r>
          </w:p>
        </w:tc>
      </w:tr>
      <w:tr>
        <w:tc>
          <w:tcPr>
            <w:tcW w:type="dxa" w:w="22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Главные ограничения</w:t>
            </w:r>
          </w:p>
        </w:tc>
        <w:tc>
          <w:tcPr>
            <w:tcW w:type="dxa" w:w="714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Неясная лицензия CAB exports, права рукописных фотографий, защищённые современные критические издания, нестабильный item-level доступ некоторых каталогов.</w:t>
            </w:r>
          </w:p>
        </w:tc>
      </w:tr>
      <w:tr>
        <w:tc>
          <w:tcPr>
            <w:tcW w:type="dxa" w:w="2268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Готовность к Codex</w:t>
            </w:r>
          </w:p>
        </w:tc>
        <w:tc>
          <w:tcPr>
            <w:tcW w:type="dxa" w:w="7143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8"/>
              </w:rPr>
              <w:t>Да. Реестр нормализован по одной записи на практически различимый путь доступа, содержит scope/coverage/rights evidence, 14 gaps и не смешивает свободное чтение с зеркалированием.</w:t>
            </w:r>
          </w:p>
        </w:tc>
      </w:tr>
    </w:tbl>
    <w:p>
      <w:pPr>
        <w:spacing w:after="20"/>
      </w:pPr>
    </w:p>
    <w:p>
      <w:r>
        <w:rPr>
          <w:rFonts w:ascii="Noto Sans" w:hAnsi="Noto Sans" w:eastAsia="Noto Sans"/>
          <w:b/>
          <w:color w:val="183A4A"/>
        </w:rPr>
        <w:t>Вывод.</w:t>
      </w:r>
      <w:r>
        <w:rPr>
          <w:rFonts w:ascii="Noto Sans" w:hAnsi="Noto Sans" w:eastAsia="Noto Sans"/>
        </w:rPr>
        <w:t xml:space="preserve"> A22 уже пригоден как самостоятельный исследовательский пакет. Для публичного ToS сейчас разумно строить три слоя: (1) открыто лицензированный/публичнодоменный корпус для локального хранения, OCR, индекса и собственного перевода; (2) link-only слой современных научных ресурсов; (3) очередь ручной правовой проверки для CAB, ADA, MUYA, музейных изображений и защищённых современных изданий. Такая архитектура сохраняет широту корпуса, не маскируя ограничения.</w:t>
      </w:r>
    </w:p>
    <w:p>
      <w:pPr>
        <w:pStyle w:val="Heading2"/>
      </w:pPr>
      <w:r>
        <w:t>Ключевые rights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402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6009"/>
            <w:shd w:fill="183A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Что доказывает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5">
              <w:r>
                <w:rPr>
                  <w:color w:val="2F6578"/>
                  <w:u w:val="single"/>
                  <w:rFonts w:ascii="Noto Sans" w:hAnsi="Noto Sans"/>
                </w:rPr>
                <w:t>CAB disclaimer</w:t>
              </w:r>
            </w:hyperlink>
          </w:p>
        </w:tc>
        <w:tc>
          <w:tcPr>
            <w:tcW w:type="dxa" w:w="600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нет открытой лицензии на корпусные exports</w:t>
            </w:r>
          </w:p>
        </w:tc>
      </w:tr>
      <w:tr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6">
              <w:r>
                <w:rPr>
                  <w:color w:val="2F6578"/>
                  <w:u w:val="single"/>
                  <w:rFonts w:ascii="Noto Sans" w:hAnsi="Noto Sans"/>
                </w:rPr>
                <w:t>ORACC licensing</w:t>
              </w:r>
            </w:hyperlink>
          </w:p>
        </w:tc>
        <w:tc>
          <w:tcPr>
            <w:tcW w:type="dxa" w:w="600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CC BY-SA 3.0 text/project content; CC0 catalogue data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7">
              <w:r>
                <w:rPr>
                  <w:color w:val="2F6578"/>
                  <w:u w:val="single"/>
                  <w:rFonts w:ascii="Noto Sans" w:hAnsi="Noto Sans"/>
                </w:rPr>
                <w:t>Avesta.org copyright</w:t>
              </w:r>
            </w:hyperlink>
          </w:p>
        </w:tc>
        <w:tc>
          <w:tcPr>
            <w:tcW w:type="dxa" w:w="600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links allowed; no reposting/mirroring</w:t>
            </w:r>
          </w:p>
        </w:tc>
      </w:tr>
      <w:tr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8">
              <w:r>
                <w:rPr>
                  <w:color w:val="2F6578"/>
                  <w:u w:val="single"/>
                  <w:rFonts w:ascii="Noto Sans" w:hAnsi="Noto Sans"/>
                </w:rPr>
                <w:t>TITUS copyright</w:t>
              </w:r>
            </w:hyperlink>
          </w:p>
        </w:tc>
        <w:tc>
          <w:tcPr>
            <w:tcW w:type="dxa" w:w="600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no republication without permission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49">
              <w:r>
                <w:rPr>
                  <w:color w:val="2F6578"/>
                  <w:u w:val="single"/>
                  <w:rFonts w:ascii="Noto Sans" w:hAnsi="Noto Sans"/>
                </w:rPr>
                <w:t>Wikimedia Commons file pages</w:t>
              </w:r>
            </w:hyperlink>
          </w:p>
        </w:tc>
        <w:tc>
          <w:tcPr>
            <w:tcW w:type="dxa" w:w="600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item-level public-domain statements</w:t>
            </w:r>
          </w:p>
        </w:tc>
      </w:tr>
      <w:tr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50">
              <w:r>
                <w:rPr>
                  <w:color w:val="2F6578"/>
                  <w:u w:val="single"/>
                  <w:rFonts w:ascii="Noto Sans" w:hAnsi="Noto Sans"/>
                </w:rPr>
                <w:t>HathiTrust access policy</w:t>
              </w:r>
            </w:hyperlink>
          </w:p>
        </w:tc>
        <w:tc>
          <w:tcPr>
            <w:tcW w:type="dxa" w:w="600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view/download and source restrictions</w:t>
            </w:r>
          </w:p>
        </w:tc>
      </w:tr>
      <w:tr>
        <w:tc>
          <w:tcPr>
            <w:tcW w:type="dxa" w:w="34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51">
              <w:r>
                <w:rPr>
                  <w:color w:val="2F6578"/>
                  <w:u w:val="single"/>
                  <w:rFonts w:ascii="Noto Sans" w:hAnsi="Noto Sans"/>
                </w:rPr>
                <w:t>British Museum image policy</w:t>
              </w:r>
            </w:hyperlink>
          </w:p>
        </w:tc>
        <w:tc>
          <w:tcPr>
            <w:tcW w:type="dxa" w:w="600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CC BY-NC-SA for qualifying non-commercial collection images</w:t>
            </w:r>
          </w:p>
        </w:tc>
      </w:tr>
      <w:tr>
        <w:tc>
          <w:tcPr>
            <w:tcW w:type="dxa" w:w="3402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hyperlink r:id="rId38">
              <w:r>
                <w:rPr>
                  <w:color w:val="2F6578"/>
                  <w:u w:val="single"/>
                  <w:rFonts w:ascii="Noto Sans" w:hAnsi="Noto Sans"/>
                </w:rPr>
                <w:t>VedaWeb public data</w:t>
              </w:r>
            </w:hyperlink>
          </w:p>
        </w:tc>
        <w:tc>
          <w:tcPr>
            <w:tcW w:type="dxa" w:w="6009"/>
            <w:shd w:fill="F5F8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sz w:val="17"/>
              </w:rPr>
              <w:t>component-specific CC/public-domain terms</w:t>
            </w:r>
          </w:p>
        </w:tc>
      </w:tr>
    </w:tbl>
    <w:p>
      <w:pPr>
        <w:spacing w:after="20"/>
      </w:pPr>
    </w:p>
    <w:p>
      <w:pPr>
        <w:pStyle w:val="Smallnote"/>
        <w:jc w:val="center"/>
      </w:pPr>
      <w:r>
        <w:rPr>
          <w:rFonts w:ascii="Noto Sans" w:hAnsi="Noto Sans" w:eastAsia="Noto Sans"/>
          <w:i/>
          <w:color w:val="4C5D66"/>
          <w:sz w:val="17"/>
        </w:rPr>
        <w:t>Связанный реестр: ToS_Corpus_Rights_A22_registry.xlsx, листы registry и gaps.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4C5D66"/>
        <w:sz w:val="16"/>
      </w:rPr>
      <w:t xml:space="preserve">A22  •  проверено 2026-09-03  •  стр. </w:t>
    </w:r>
    <w:r>
      <w:rPr>
        <w:rFonts w:ascii="Noto Sans" w:hAnsi="Noto Sans" w:eastAsia="Noto Sans"/>
        <w:color w:val="4C5D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color w:val="4C5D66"/>
        <w:sz w:val="16"/>
      </w:rPr>
      <w:t>ToS / A22  |  Corpus &amp; Rights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"/>
      <w:color w:val="1F2D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83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2F65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2F65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color w:val="183A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4C5D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" w:hAnsi="Noto Sans"/>
      <w:color w:val="4C5D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b.geschkult.fu-berlin.de/exist/apps/cab/pages/tools/static_linguistic_corpus.html" TargetMode="External"/><Relationship Id="rId12" Type="http://schemas.openxmlformats.org/officeDocument/2006/relationships/hyperlink" Target="https://archive.org/details/in.ernet.dli.2015.217560" TargetMode="External"/><Relationship Id="rId13" Type="http://schemas.openxmlformats.org/officeDocument/2006/relationships/hyperlink" Target="https://www.sacred-texts.com/zor/sbe31/index.htm" TargetMode="External"/><Relationship Id="rId14" Type="http://schemas.openxmlformats.org/officeDocument/2006/relationships/hyperlink" Target="https://fr.wikisource.org/wiki/Le_Zend-Avesta_(trad._Darmesteter)" TargetMode="External"/><Relationship Id="rId15" Type="http://schemas.openxmlformats.org/officeDocument/2006/relationships/hyperlink" Target="https://catalog.hathitrust.org/Record/000332085" TargetMode="External"/><Relationship Id="rId16" Type="http://schemas.openxmlformats.org/officeDocument/2006/relationships/hyperlink" Target="https://catalog.hathitrust.org/Record/002546922" TargetMode="External"/><Relationship Id="rId17" Type="http://schemas.openxmlformats.org/officeDocument/2006/relationships/hyperlink" Target="https://www.ozon.ru/product/gaty-zaratushtry-237529102/" TargetMode="External"/><Relationship Id="rId18" Type="http://schemas.openxmlformats.org/officeDocument/2006/relationships/hyperlink" Target="https://cab.geschkult.fu-berlin.de/exist/apps/cab/pages/tools/static_liturgical_corpus.html?ceremony=yasna" TargetMode="External"/><Relationship Id="rId19" Type="http://schemas.openxmlformats.org/officeDocument/2006/relationships/hyperlink" Target="https://fr.wikisource.org/wiki/Le_Zend-Avesta_(trad._Darmesteter)/Volume_I" TargetMode="External"/><Relationship Id="rId20" Type="http://schemas.openxmlformats.org/officeDocument/2006/relationships/hyperlink" Target="https://eprints.soas.ac.uk/18459/" TargetMode="External"/><Relationship Id="rId21" Type="http://schemas.openxmlformats.org/officeDocument/2006/relationships/hyperlink" Target="https://muya.soas.ac.uk/" TargetMode="External"/><Relationship Id="rId22" Type="http://schemas.openxmlformats.org/officeDocument/2006/relationships/hyperlink" Target="https://cab.geschkult.fu-berlin.de/exist/apps/cab/pages/tools/static_liturgical_corpus.html?ceremony=videvdad" TargetMode="External"/><Relationship Id="rId23" Type="http://schemas.openxmlformats.org/officeDocument/2006/relationships/hyperlink" Target="https://www.sacred-texts.com/zor/sbe04/index.htm" TargetMode="External"/><Relationship Id="rId24" Type="http://schemas.openxmlformats.org/officeDocument/2006/relationships/hyperlink" Target="https://fr.wikisource.org/wiki/Le_Zend-Avesta_(trad._Darmesteter)/Volume_II" TargetMode="External"/><Relationship Id="rId25" Type="http://schemas.openxmlformats.org/officeDocument/2006/relationships/hyperlink" Target="https://www.sacred-texts.com/zor/sbe23/index.htm" TargetMode="External"/><Relationship Id="rId26" Type="http://schemas.openxmlformats.org/officeDocument/2006/relationships/hyperlink" Target="https://cab.geschkult.fu-berlin.de/exist/apps/cab/pages/tools/static_liturgical_corpus.html?ceremony=khordeavesta" TargetMode="External"/><Relationship Id="rId27" Type="http://schemas.openxmlformats.org/officeDocument/2006/relationships/hyperlink" Target="https://books.google.com/books/about/The_H%C4%93rbedest%C4%81n_and_N%C4%93rangest%C4%81n_H%C4%93r.html?id=RGjS0QEACAAJ" TargetMode="External"/><Relationship Id="rId28" Type="http://schemas.openxmlformats.org/officeDocument/2006/relationships/hyperlink" Target="https://cab.geschkult.fu-berlin.de/exist/apps/cab/pages/tools/manuscript_database.html" TargetMode="External"/><Relationship Id="rId29" Type="http://schemas.openxmlformats.org/officeDocument/2006/relationships/hyperlink" Target="https://ada.geschkult.fu-berlin.de/ada/index.html" TargetMode="External"/><Relationship Id="rId30" Type="http://schemas.openxmlformats.org/officeDocument/2006/relationships/hyperlink" Target="https://cab.geschkult.fu-berlin.de/exist/apps/cab/pages/tools/manuscript_full_viewer.html?manuscript=0006" TargetMode="External"/><Relationship Id="rId31" Type="http://schemas.openxmlformats.org/officeDocument/2006/relationships/hyperlink" Target="https://oracc.museum.upenn.edu/ario/pager" TargetMode="External"/><Relationship Id="rId32" Type="http://schemas.openxmlformats.org/officeDocument/2006/relationships/hyperlink" Target="https://www.livius.org/sources/content/behistun-persian-text/" TargetMode="External"/><Relationship Id="rId33" Type="http://schemas.openxmlformats.org/officeDocument/2006/relationships/hyperlink" Target="https://archive.org/details/jstor-25581217" TargetMode="External"/><Relationship Id="rId34" Type="http://schemas.openxmlformats.org/officeDocument/2006/relationships/hyperlink" Target="https://reichert-verlag.de/en/9783752007169_die_altpersischen_inschriften_der_achaimeniden-detail/" TargetMode="External"/><Relationship Id="rId35" Type="http://schemas.openxmlformats.org/officeDocument/2006/relationships/hyperlink" Target="https://oracc.museum.upenn.edu/ario/Q006653" TargetMode="External"/><Relationship Id="rId36" Type="http://schemas.openxmlformats.org/officeDocument/2006/relationships/hyperlink" Target="https://www.britishmuseum.org/collection/object/W_1880-0617-1941" TargetMode="External"/><Relationship Id="rId37" Type="http://schemas.openxmlformats.org/officeDocument/2006/relationships/hyperlink" Target="https://whc.unesco.org/en/list/1222/" TargetMode="External"/><Relationship Id="rId38" Type="http://schemas.openxmlformats.org/officeDocument/2006/relationships/hyperlink" Target="https://github.com/VedaWebProject/vedaweb-data" TargetMode="External"/><Relationship Id="rId39" Type="http://schemas.openxmlformats.org/officeDocument/2006/relationships/hyperlink" Target="https://vedicheritage.gov.in/" TargetMode="External"/><Relationship Id="rId40" Type="http://schemas.openxmlformats.org/officeDocument/2006/relationships/hyperlink" Target="https://oracc.museum.upenn.edu/rinap/" TargetMode="External"/><Relationship Id="rId41" Type="http://schemas.openxmlformats.org/officeDocument/2006/relationships/hyperlink" Target="https://oracc.museum.upenn.edu/ribo/" TargetMode="External"/><Relationship Id="rId42" Type="http://schemas.openxmlformats.org/officeDocument/2006/relationships/hyperlink" Target="https://www.sacred-texts.com/zor/sbe37/index.htm" TargetMode="External"/><Relationship Id="rId43" Type="http://schemas.openxmlformats.org/officeDocument/2006/relationships/hyperlink" Target="https://archive.org/details/pahlavitexts01west" TargetMode="External"/><Relationship Id="rId44" Type="http://schemas.openxmlformats.org/officeDocument/2006/relationships/hyperlink" Target="https://en.wikisource.org/wiki/Plutarch%27s_Morals_(Goodwin,_1878)/Isis_and_Osiris" TargetMode="External"/><Relationship Id="rId45" Type="http://schemas.openxmlformats.org/officeDocument/2006/relationships/hyperlink" Target="https://cab.geschkult.fu-berlin.de/exist/apps/cab/pages/misc/disclaimer.html" TargetMode="External"/><Relationship Id="rId46" Type="http://schemas.openxmlformats.org/officeDocument/2006/relationships/hyperlink" Target="https://oracc.museum.upenn.edu/doc/about/licensing/" TargetMode="External"/><Relationship Id="rId47" Type="http://schemas.openxmlformats.org/officeDocument/2006/relationships/hyperlink" Target="https://www.avesta.org/copyright.htm" TargetMode="External"/><Relationship Id="rId48" Type="http://schemas.openxmlformats.org/officeDocument/2006/relationships/hyperlink" Target="https://titus.uni-frankfurt.de/curric/copyright.htm" TargetMode="External"/><Relationship Id="rId49" Type="http://schemas.openxmlformats.org/officeDocument/2006/relationships/hyperlink" Target="https://commons.wikimedia.org/wiki/Category:Zend-Avesta" TargetMode="External"/><Relationship Id="rId50" Type="http://schemas.openxmlformats.org/officeDocument/2006/relationships/hyperlink" Target="https://www.hathitrust.org/the-collection/search-access/access-use-policy/" TargetMode="External"/><Relationship Id="rId51" Type="http://schemas.openxmlformats.org/officeDocument/2006/relationships/hyperlink" Target="https://www.britishmuseum.org/terms-use/copyright-and-permissions/images-and-photogra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