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 Registry</w:t>
      </w:r>
    </w:p>
    <w:p>
      <w:pPr>
        <w:pStyle w:val="Subtitle"/>
      </w:pPr>
      <w:r>
        <w:t>T2-10 — Falsafa и авиценновский синтез</w:t>
      </w:r>
    </w:p>
    <w:p>
      <w:r>
        <w:t>Исследовательский пакет доступа и прав · 4 сентября 2026 года</w:t>
      </w:r>
    </w:p>
    <w:p>
      <w:r>
        <w:rPr>
          <w:b/>
        </w:rPr>
        <w:t>Ключевой результат.</w:t>
      </w:r>
      <w:r>
        <w:t xml:space="preserve"> Для исторического ядра найдены бесплатные сканы, конкретные рукописные свидетели и современные научные издания. Наиболее определённый свободный слой — факсимиле с Public Domain Mark и два современных открыто лицензированных текста. Полный критический машиночитаемый корпус пока не установлен.</w:t>
      </w:r>
      <w:r>
        <w:t xml:space="preserve">  </w:t>
      </w:r>
      <w:hyperlink r:id="rId11">
        <w:r>
          <w:rPr>
            <w:color w:val="126290"/>
            <w:u w:val="single"/>
            <w:sz w:val="17"/>
          </w:rPr>
          <w:t>[R014]</w:t>
        </w:r>
      </w:hyperlink>
      <w:r>
        <w:t xml:space="preserve"> · </w:t>
      </w:r>
      <w:hyperlink r:id="rId12">
        <w:r>
          <w:rPr>
            <w:color w:val="126290"/>
            <w:u w:val="single"/>
            <w:sz w:val="17"/>
          </w:rPr>
          <w:t>[R026]</w:t>
        </w:r>
      </w:hyperlink>
      <w:r>
        <w:t xml:space="preserve"> · </w:t>
      </w:r>
      <w:hyperlink r:id="rId13">
        <w:r>
          <w:rPr>
            <w:color w:val="126290"/>
            <w:u w:val="single"/>
            <w:sz w:val="17"/>
          </w:rPr>
          <w:t>[R029]</w:t>
        </w:r>
      </w:hyperlink>
      <w:r>
        <w:t xml:space="preserve"> · </w:t>
      </w:r>
      <w:hyperlink r:id="rId14">
        <w:r>
          <w:rPr>
            <w:color w:val="126290"/>
            <w:u w:val="single"/>
            <w:sz w:val="17"/>
          </w:rPr>
          <w:t>[R046]</w:t>
        </w:r>
      </w:hyperlink>
      <w:r>
        <w:t xml:space="preserve"> · </w:t>
      </w:r>
      <w:hyperlink r:id="rId15">
        <w:r>
          <w:rPr>
            <w:color w:val="126290"/>
            <w:u w:val="single"/>
            <w:sz w:val="17"/>
          </w:rPr>
          <w:t>[R055]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2948"/>
            <w:vAlign w:val="top"/>
            <w:shd w:fill="173550"/>
          </w:tcPr>
          <w:p>
            <w:pPr>
              <w:spacing w:after="100" w:before="80"/>
            </w:pPr>
            <w:r>
              <w:rPr>
                <w:b/>
                <w:color w:val="FFFFFF"/>
                <w:sz w:val="18"/>
              </w:rPr>
              <w:t>Доступ</w:t>
            </w:r>
          </w:p>
        </w:tc>
        <w:tc>
          <w:tcPr>
            <w:tcW w:type="dxa" w:w="3628"/>
            <w:vAlign w:val="top"/>
            <w:shd w:fill="173550"/>
          </w:tcPr>
          <w:p>
            <w:pPr>
              <w:spacing w:after="100" w:before="80"/>
            </w:pPr>
            <w:r>
              <w:rPr>
                <w:b/>
                <w:color w:val="FFFFFF"/>
                <w:sz w:val="18"/>
              </w:rPr>
              <w:t>Текстовый охват</w:t>
            </w:r>
          </w:p>
        </w:tc>
        <w:tc>
          <w:tcPr>
            <w:tcW w:type="dxa" w:w="3175"/>
            <w:vAlign w:val="top"/>
            <w:shd w:fill="173550"/>
          </w:tcPr>
          <w:p>
            <w:pPr>
              <w:spacing w:after="100" w:before="80"/>
            </w:pPr>
            <w:r>
              <w:rPr>
                <w:b/>
                <w:color w:val="FFFFFF"/>
                <w:sz w:val="18"/>
              </w:rPr>
              <w:t>Открытые вопросы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fill="F0F4F7"/>
          </w:tcPr>
          <w:p>
            <w:pPr>
              <w:spacing w:after="100" w:before="80"/>
            </w:pPr>
            <w:r>
              <w:rPr>
                <w:sz w:val="18"/>
              </w:rPr>
              <w:t>55 записей registry</w:t>
            </w:r>
          </w:p>
        </w:tc>
        <w:tc>
          <w:tcPr>
            <w:tcW w:type="dxa" w:w="3628"/>
            <w:vAlign w:val="top"/>
            <w:shd w:fill="F0F4F7"/>
          </w:tcPr>
          <w:p>
            <w:pPr>
              <w:spacing w:after="100" w:before="80"/>
            </w:pPr>
            <w:r>
              <w:rPr>
                <w:sz w:val="18"/>
              </w:rPr>
              <w:t>38 библиографических текстовых групп</w:t>
            </w:r>
          </w:p>
        </w:tc>
        <w:tc>
          <w:tcPr>
            <w:tcW w:type="dxa" w:w="3175"/>
            <w:vAlign w:val="top"/>
            <w:shd w:fill="F0F4F7"/>
          </w:tcPr>
          <w:p>
            <w:pPr>
              <w:spacing w:after="100" w:before="80"/>
            </w:pPr>
            <w:r>
              <w:rPr>
                <w:sz w:val="18"/>
              </w:rPr>
              <w:t>30 записей gaps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fill="FFFFFF"/>
          </w:tcPr>
          <w:p>
            <w:pPr>
              <w:spacing w:after="100" w:before="80"/>
            </w:pPr>
            <w:r>
              <w:rPr>
                <w:sz w:val="18"/>
              </w:rPr>
              <w:t>Чтение, загрузка, каталог, preview, покупка</w:t>
            </w:r>
          </w:p>
        </w:tc>
        <w:tc>
          <w:tcPr>
            <w:tcW w:type="dxa" w:w="3628"/>
            <w:vAlign w:val="top"/>
            <w:shd w:fill="FFFFFF"/>
          </w:tcPr>
          <w:p>
            <w:pPr>
              <w:spacing w:after="100" w:before="80"/>
            </w:pPr>
            <w:r>
              <w:rPr>
                <w:sz w:val="18"/>
              </w:rPr>
              <w:t>Группы заглавий и составных сборников, не 38 независимых сочинений</w:t>
            </w:r>
          </w:p>
        </w:tc>
        <w:tc>
          <w:tcPr>
            <w:tcW w:type="dxa" w:w="3175"/>
            <w:vAlign w:val="top"/>
            <w:shd w:fill="FFFFFF"/>
          </w:tcPr>
          <w:p>
            <w:pPr>
              <w:spacing w:after="100" w:before="80"/>
            </w:pPr>
            <w:r>
              <w:rPr>
                <w:sz w:val="18"/>
              </w:rPr>
              <w:t>Неудачные ссылки, непроверенные версии и права</w:t>
            </w:r>
          </w:p>
        </w:tc>
      </w:tr>
    </w:tbl>
    <w:p>
      <w:r>
        <w:t>Ссылки [R001]–[R055] открывают источники; полный ID в XLSX имеет вид T2-10-R001. Все детальные метаданные, объём, условия использования и статус проверки находятся в реестре. Позиции G001–G030 отсылают к листу gaps.</w:t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2268"/>
            <w:vAlign w:val="top"/>
            <w:shd w:fill="173550"/>
          </w:tcPr>
          <w:p>
            <w:pPr>
              <w:spacing w:after="100" w:before="8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483"/>
            <w:vAlign w:val="top"/>
            <w:shd w:fill="173550"/>
          </w:tcPr>
          <w:p>
            <w:pPr>
              <w:spacing w:after="100" w:before="80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4F7"/>
          </w:tcPr>
          <w:p>
            <w:pPr>
              <w:spacing w:after="100" w:before="80"/>
            </w:pPr>
            <w:r>
              <w:rPr>
                <w:sz w:val="18"/>
              </w:rPr>
              <w:t>Строка и статус</w:t>
            </w:r>
          </w:p>
        </w:tc>
        <w:tc>
          <w:tcPr>
            <w:tcW w:type="dxa" w:w="7483"/>
            <w:vAlign w:val="top"/>
            <w:shd w:fill="F0F4F7"/>
          </w:tcPr>
          <w:p>
            <w:pPr>
              <w:spacing w:after="100" w:before="80"/>
            </w:pPr>
            <w:r>
              <w:rPr>
                <w:sz w:val="18"/>
              </w:rPr>
              <w:t>T2-10 · Falsafa и авиценновский синтез · A; исходная уверенность 5/5.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100" w:before="80"/>
            </w:pPr>
            <w:r>
              <w:rPr>
                <w:sz w:val="18"/>
              </w:rPr>
              <w:t>Источник</w:t>
            </w:r>
          </w:p>
        </w:tc>
        <w:tc>
          <w:tcPr>
            <w:tcW w:type="dxa" w:w="7483"/>
            <w:vAlign w:val="top"/>
            <w:shd w:fill="FFFFFF"/>
          </w:tcPr>
          <w:p>
            <w:pPr>
              <w:spacing w:after="100" w:before="80"/>
            </w:pPr>
            <w:r>
              <w:rPr>
                <w:sz w:val="18"/>
              </w:rPr>
              <w:t>ToS Deep Research_ T2-10 — Falsafa и авиценновский синтез(1).docx; прежде всего разделы об идентификации, корпусах, сохранности и источниках.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0F4F7"/>
          </w:tcPr>
          <w:p>
            <w:pPr>
              <w:spacing w:after="100" w:before="80"/>
            </w:pPr>
            <w:r>
              <w:rPr>
                <w:sz w:val="18"/>
              </w:rPr>
              <w:t>Хронологический фокус</w:t>
            </w:r>
          </w:p>
        </w:tc>
        <w:tc>
          <w:tcPr>
            <w:tcW w:type="dxa" w:w="7483"/>
            <w:vAlign w:val="top"/>
            <w:shd w:fill="F0F4F7"/>
          </w:tcPr>
          <w:p>
            <w:pPr>
              <w:spacing w:after="100" w:before="80"/>
            </w:pPr>
            <w:r>
              <w:rPr>
                <w:sz w:val="18"/>
              </w:rPr>
              <w:t>Формирование VIII–XI вв.; письменная фиксация IX–XII вв.; канонизация XI–XIII вв. Ядро авторских корпусов — X–XI вв. Границы мастер-строки не изменены.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</w:tcPr>
          <w:p>
            <w:pPr>
              <w:spacing w:after="100" w:before="80"/>
            </w:pPr>
            <w:r>
              <w:rPr>
                <w:sz w:val="18"/>
              </w:rPr>
              <w:t>Проверка и языки</w:t>
            </w:r>
          </w:p>
        </w:tc>
        <w:tc>
          <w:tcPr>
            <w:tcW w:type="dxa" w:w="7483"/>
            <w:vAlign w:val="top"/>
            <w:shd w:fill="FFFFFF"/>
          </w:tcPr>
          <w:p>
            <w:pPr>
              <w:spacing w:after="100" w:before="80"/>
            </w:pPr>
            <w:r>
              <w:rPr>
                <w:sz w:val="18"/>
              </w:rPr>
              <w:t>04.09.2026. Поиск на русском, английском, арабском, персидском, латинском; также французские, немецкие, испанские библиографические формы. Еврейская передача искалась через имена переводчиков и академические указатели.</w:t>
            </w:r>
          </w:p>
        </w:tc>
      </w:tr>
    </w:tbl>
    <w:p>
      <w:r>
        <w:t>Исходный DR задаёт два центральных корпуса: фарабийский и авиценновский. Из него извлечены Ḥurūf, Burhān и проблема yaqīn, политическая философия и Aghrāḍ аль-Фараби; Shifāʾ, Najāt, Ishārāt, Dāneš-nāma, психологические и определительные трактаты Ибн Сины; ученическая биография, рукописная и комментарийная передача. Встроенные задания по графам и YAML не выполнялись.</w:t>
      </w:r>
    </w:p>
    <w:p>
      <w:r>
        <w:t>Искались оригинальные тексты, конкретные редакции и переводы, самостоятельные трактаты внутри сборников, исторические свидетели, факсимиле, библиотечные экземпляры и машиночитаемые входы. Эпиграфика и нерасшифрованные письменности к доказательному ядру этой строки не относятся.</w:t>
      </w:r>
    </w:p>
    <w:p>
      <w:r>
        <w:t>Для доступа использованы официальные библиотечные просмотрщики и каталоги, ACO, QDL, Wellcome, OPenn, NLI, университетские репозитории, издатели и дистрибьюторы, JSTOR, Project Gutenberg, SIEPM и документированная коллекция McGill на Internet Archive. Идентификация опирается на каталоги, издательские карточки, специализированные публикации и сведения о составе рукописей. Права — на item-level statements, лицензию статьи или книги и применимые официальные условия, а не на возраст текста или поисковый сниппет.</w:t>
      </w:r>
    </w:p>
    <w:p>
      <w:r>
        <w:t>Слабые навигационные подсказки не использованы как доказательство. Прямую еврейскую передачу Ishārāt, связанную в указателях с Todros Todrosi, оставлено как unverified_candidate (G024). Возможная открытая ND-лицензия переводов Butterworth не подтверждена и находится в G030. Ссылок на Wikipedia в пакете нет.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От исходного ядра к конкретным объектам</w:t>
      </w:r>
    </w:p>
    <w:p>
      <w:r>
        <w:t>Аль-Фараби. Для Ḥurūf установлены полный современный арабско-английский выпуск и отдельная выборка; для Madīna — старый скан и научное издание Walzer; для Burhān и Sharāʾiṭ al-yaqīn — каталог конкретного издания с глоссами Ибн Баджжи. Aghrāḍ получил открытый арабско-испанский вход. Расширение охватывает Iḥṣāʾ al-ʿulūm, Risāla fī l-ʿaql, трактат о пустоте и политические подборки.</w:t>
      </w:r>
      <w:r>
        <w:t xml:space="preserve">  </w:t>
      </w:r>
      <w:hyperlink r:id="rId16">
        <w:r>
          <w:rPr>
            <w:color w:val="126290"/>
            <w:u w:val="single"/>
            <w:sz w:val="17"/>
          </w:rPr>
          <w:t>[R001]</w:t>
        </w:r>
      </w:hyperlink>
      <w:r>
        <w:t xml:space="preserve"> · </w:t>
      </w:r>
      <w:hyperlink r:id="rId17">
        <w:r>
          <w:rPr>
            <w:color w:val="126290"/>
            <w:u w:val="single"/>
            <w:sz w:val="17"/>
          </w:rPr>
          <w:t>[R002]</w:t>
        </w:r>
      </w:hyperlink>
      <w:r>
        <w:t xml:space="preserve"> · </w:t>
      </w:r>
      <w:hyperlink r:id="rId18">
        <w:r>
          <w:rPr>
            <w:color w:val="126290"/>
            <w:u w:val="single"/>
            <w:sz w:val="17"/>
          </w:rPr>
          <w:t>[R003]</w:t>
        </w:r>
      </w:hyperlink>
      <w:r>
        <w:t xml:space="preserve"> · </w:t>
      </w:r>
      <w:hyperlink r:id="rId19">
        <w:r>
          <w:rPr>
            <w:color w:val="126290"/>
            <w:u w:val="single"/>
            <w:sz w:val="17"/>
          </w:rPr>
          <w:t>[R011]</w:t>
        </w:r>
      </w:hyperlink>
      <w:r>
        <w:t xml:space="preserve"> · </w:t>
      </w:r>
      <w:hyperlink r:id="rId20">
        <w:r>
          <w:rPr>
            <w:color w:val="126290"/>
            <w:u w:val="single"/>
            <w:sz w:val="17"/>
          </w:rPr>
          <w:t>[R019]</w:t>
        </w:r>
      </w:hyperlink>
      <w:r>
        <w:t xml:space="preserve"> · </w:t>
      </w:r>
      <w:hyperlink r:id="rId21">
        <w:r>
          <w:rPr>
            <w:color w:val="126290"/>
            <w:u w:val="single"/>
            <w:sz w:val="17"/>
          </w:rPr>
          <w:t>[R021]</w:t>
        </w:r>
      </w:hyperlink>
      <w:r>
        <w:t xml:space="preserve"> · </w:t>
      </w:r>
      <w:hyperlink r:id="rId22">
        <w:r>
          <w:rPr>
            <w:color w:val="126290"/>
            <w:u w:val="single"/>
            <w:sz w:val="17"/>
          </w:rPr>
          <w:t>[R022]</w:t>
        </w:r>
      </w:hyperlink>
      <w:r>
        <w:t xml:space="preserve"> · </w:t>
      </w:r>
      <w:hyperlink r:id="rId23">
        <w:r>
          <w:rPr>
            <w:color w:val="126290"/>
            <w:u w:val="single"/>
            <w:sz w:val="17"/>
          </w:rPr>
          <w:t>[R024]</w:t>
        </w:r>
      </w:hyperlink>
      <w:r>
        <w:t xml:space="preserve"> · </w:t>
      </w:r>
      <w:hyperlink r:id="rId13">
        <w:r>
          <w:rPr>
            <w:color w:val="126290"/>
            <w:u w:val="single"/>
            <w:sz w:val="17"/>
          </w:rPr>
          <w:t>[R029]</w:t>
        </w:r>
      </w:hyperlink>
      <w:r>
        <w:t xml:space="preserve"> · </w:t>
      </w:r>
      <w:hyperlink r:id="rId24">
        <w:r>
          <w:rPr>
            <w:color w:val="126290"/>
            <w:u w:val="single"/>
            <w:sz w:val="17"/>
          </w:rPr>
          <w:t>[R034]</w:t>
        </w:r>
      </w:hyperlink>
      <w:r>
        <w:t xml:space="preserve"> · </w:t>
      </w:r>
      <w:hyperlink r:id="rId25">
        <w:r>
          <w:rPr>
            <w:color w:val="126290"/>
            <w:u w:val="single"/>
            <w:sz w:val="17"/>
          </w:rPr>
          <w:t>[R035]</w:t>
        </w:r>
      </w:hyperlink>
    </w:p>
    <w:p>
      <w:r>
        <w:t>Ибн Сина. Четыре большие суммы не сведены к одному «полному корпусу»: у Shifāʾ отдельно отмечены доказательство, метафизика, общая физика, психология и каталог каирской серии; у Najāt — арабское старопечатное приложение и современный перевод логики; у Ishārāt — перевод физики и метафизики, поздние комментарии и персидская версия; у Dāneš-nāma — трёхчастный рукописный основной текст, дополнение Джузджани, французский перевод и отдельно англоязычная метафизика.</w:t>
      </w:r>
      <w:r>
        <w:t xml:space="preserve">  </w:t>
      </w:r>
      <w:hyperlink r:id="rId26">
        <w:r>
          <w:rPr>
            <w:color w:val="126290"/>
            <w:u w:val="single"/>
            <w:sz w:val="17"/>
          </w:rPr>
          <w:t>[R004]</w:t>
        </w:r>
      </w:hyperlink>
      <w:r>
        <w:t xml:space="preserve"> · </w:t>
      </w:r>
      <w:hyperlink r:id="rId27">
        <w:r>
          <w:rPr>
            <w:color w:val="126290"/>
            <w:u w:val="single"/>
            <w:sz w:val="17"/>
          </w:rPr>
          <w:t>[R008]</w:t>
        </w:r>
      </w:hyperlink>
      <w:r>
        <w:t xml:space="preserve"> · </w:t>
      </w:r>
      <w:hyperlink r:id="rId11">
        <w:r>
          <w:rPr>
            <w:color w:val="126290"/>
            <w:u w:val="single"/>
            <w:sz w:val="17"/>
          </w:rPr>
          <w:t>[R014]</w:t>
        </w:r>
      </w:hyperlink>
      <w:r>
        <w:t xml:space="preserve"> · </w:t>
      </w:r>
      <w:hyperlink r:id="rId28">
        <w:r>
          <w:rPr>
            <w:color w:val="126290"/>
            <w:u w:val="single"/>
            <w:sz w:val="17"/>
          </w:rPr>
          <w:t>[R015]</w:t>
        </w:r>
      </w:hyperlink>
      <w:r>
        <w:t xml:space="preserve"> · </w:t>
      </w:r>
      <w:hyperlink r:id="rId29">
        <w:r>
          <w:rPr>
            <w:color w:val="126290"/>
            <w:u w:val="single"/>
            <w:sz w:val="17"/>
          </w:rPr>
          <w:t>[R016]</w:t>
        </w:r>
      </w:hyperlink>
      <w:r>
        <w:t xml:space="preserve"> · </w:t>
      </w:r>
      <w:hyperlink r:id="rId30">
        <w:r>
          <w:rPr>
            <w:color w:val="126290"/>
            <w:u w:val="single"/>
            <w:sz w:val="17"/>
          </w:rPr>
          <w:t>[R017]</w:t>
        </w:r>
      </w:hyperlink>
      <w:r>
        <w:t xml:space="preserve"> · </w:t>
      </w:r>
      <w:hyperlink r:id="rId31">
        <w:r>
          <w:rPr>
            <w:color w:val="126290"/>
            <w:u w:val="single"/>
            <w:sz w:val="17"/>
          </w:rPr>
          <w:t>[R020]</w:t>
        </w:r>
      </w:hyperlink>
      <w:r>
        <w:t xml:space="preserve"> · </w:t>
      </w:r>
      <w:hyperlink r:id="rId32">
        <w:r>
          <w:rPr>
            <w:color w:val="126290"/>
            <w:u w:val="single"/>
            <w:sz w:val="17"/>
          </w:rPr>
          <w:t>[R023]</w:t>
        </w:r>
      </w:hyperlink>
      <w:r>
        <w:t xml:space="preserve"> · </w:t>
      </w:r>
      <w:hyperlink r:id="rId33">
        <w:r>
          <w:rPr>
            <w:color w:val="126290"/>
            <w:u w:val="single"/>
            <w:sz w:val="17"/>
          </w:rPr>
          <w:t>[R031]</w:t>
        </w:r>
      </w:hyperlink>
      <w:r>
        <w:t xml:space="preserve"> · </w:t>
      </w:r>
      <w:hyperlink r:id="rId34">
        <w:r>
          <w:rPr>
            <w:color w:val="126290"/>
            <w:u w:val="single"/>
            <w:sz w:val="17"/>
          </w:rPr>
          <w:t>[R039]</w:t>
        </w:r>
      </w:hyperlink>
      <w:r>
        <w:t xml:space="preserve"> · </w:t>
      </w:r>
      <w:hyperlink r:id="rId35">
        <w:r>
          <w:rPr>
            <w:color w:val="126290"/>
            <w:u w:val="single"/>
            <w:sz w:val="17"/>
          </w:rPr>
          <w:t>[R044]</w:t>
        </w:r>
      </w:hyperlink>
      <w:r>
        <w:t xml:space="preserve"> · </w:t>
      </w:r>
      <w:hyperlink r:id="rId36">
        <w:r>
          <w:rPr>
            <w:color w:val="126290"/>
            <w:u w:val="single"/>
            <w:sz w:val="17"/>
          </w:rPr>
          <w:t>[R045]</w:t>
        </w:r>
      </w:hyperlink>
      <w:r>
        <w:t xml:space="preserve"> · </w:t>
      </w:r>
      <w:hyperlink r:id="rId37">
        <w:r>
          <w:rPr>
            <w:color w:val="126290"/>
            <w:u w:val="single"/>
            <w:sz w:val="17"/>
          </w:rPr>
          <w:t>[R054]</w:t>
        </w:r>
      </w:hyperlink>
    </w:p>
    <w:p>
      <w:r>
        <w:t>Малые сочинения и сохранение. Установлены пути к ʿIshq, Ḥudūd, Taʿlīqāt, извлечениям из Mubāḥathāt, Ḥayy ibn Yaqẓān, Mabdaʾ wa-maʿād, психологическим и печатным сборникам; биография Gohlman сохранена как библиотечный маршрут, а не свободный файл. Это первичный материал и конкретные версии, не общая вторичная библиография.</w:t>
      </w:r>
      <w:r>
        <w:t xml:space="preserve">  </w:t>
      </w:r>
      <w:hyperlink r:id="rId38">
        <w:r>
          <w:rPr>
            <w:color w:val="126290"/>
            <w:u w:val="single"/>
            <w:sz w:val="17"/>
          </w:rPr>
          <w:t>[R005]</w:t>
        </w:r>
      </w:hyperlink>
      <w:r>
        <w:t xml:space="preserve"> · </w:t>
      </w:r>
      <w:hyperlink r:id="rId39">
        <w:r>
          <w:rPr>
            <w:color w:val="126290"/>
            <w:u w:val="single"/>
            <w:sz w:val="17"/>
          </w:rPr>
          <w:t>[R010]</w:t>
        </w:r>
      </w:hyperlink>
      <w:r>
        <w:t xml:space="preserve"> · </w:t>
      </w:r>
      <w:hyperlink r:id="rId40">
        <w:r>
          <w:rPr>
            <w:color w:val="126290"/>
            <w:u w:val="single"/>
            <w:sz w:val="17"/>
          </w:rPr>
          <w:t>[R027]</w:t>
        </w:r>
      </w:hyperlink>
      <w:r>
        <w:t xml:space="preserve"> · </w:t>
      </w:r>
      <w:hyperlink r:id="rId41">
        <w:r>
          <w:rPr>
            <w:color w:val="126290"/>
            <w:u w:val="single"/>
            <w:sz w:val="17"/>
          </w:rPr>
          <w:t>[R033]</w:t>
        </w:r>
      </w:hyperlink>
      <w:r>
        <w:t xml:space="preserve"> · </w:t>
      </w:r>
      <w:hyperlink r:id="rId42">
        <w:r>
          <w:rPr>
            <w:color w:val="126290"/>
            <w:u w:val="single"/>
            <w:sz w:val="17"/>
          </w:rPr>
          <w:t>[R036]</w:t>
        </w:r>
      </w:hyperlink>
      <w:r>
        <w:t xml:space="preserve"> · </w:t>
      </w:r>
      <w:hyperlink r:id="rId43">
        <w:r>
          <w:rPr>
            <w:color w:val="126290"/>
            <w:u w:val="single"/>
            <w:sz w:val="17"/>
          </w:rPr>
          <w:t>[R037]</w:t>
        </w:r>
      </w:hyperlink>
      <w:r>
        <w:t xml:space="preserve"> · </w:t>
      </w:r>
      <w:hyperlink r:id="rId44">
        <w:r>
          <w:rPr>
            <w:color w:val="126290"/>
            <w:u w:val="single"/>
            <w:sz w:val="17"/>
          </w:rPr>
          <w:t>[R038]</w:t>
        </w:r>
      </w:hyperlink>
      <w:r>
        <w:t xml:space="preserve"> · </w:t>
      </w:r>
      <w:hyperlink r:id="rId45">
        <w:r>
          <w:rPr>
            <w:color w:val="126290"/>
            <w:u w:val="single"/>
            <w:sz w:val="17"/>
          </w:rPr>
          <w:t>[R040]</w:t>
        </w:r>
      </w:hyperlink>
      <w:r>
        <w:t xml:space="preserve"> · </w:t>
      </w:r>
      <w:hyperlink r:id="rId46">
        <w:r>
          <w:rPr>
            <w:color w:val="126290"/>
            <w:u w:val="single"/>
            <w:sz w:val="17"/>
          </w:rPr>
          <w:t>[R041]</w:t>
        </w:r>
      </w:hyperlink>
      <w:r>
        <w:t xml:space="preserve"> · </w:t>
      </w:r>
      <w:hyperlink r:id="rId47">
        <w:r>
          <w:rPr>
            <w:color w:val="126290"/>
            <w:u w:val="single"/>
            <w:sz w:val="17"/>
          </w:rPr>
          <w:t>[R043]</w:t>
        </w:r>
      </w:hyperlink>
      <w:r>
        <w:t xml:space="preserve"> · </w:t>
      </w:r>
      <w:hyperlink r:id="rId48">
        <w:r>
          <w:rPr>
            <w:color w:val="126290"/>
            <w:u w:val="single"/>
            <w:sz w:val="17"/>
          </w:rPr>
          <w:t>[R047]</w:t>
        </w:r>
      </w:hyperlink>
    </w:p>
    <w:p>
      <w:pPr>
        <w:pStyle w:val="Heading2"/>
      </w:pPr>
      <w:r>
        <w:t>Поиск назад и вперёд во времени</w:t>
      </w:r>
    </w:p>
    <w:p>
      <w:r>
        <w:t>Antecedent. Аристотелевское De anima включено как прямой предмет авиценновской психологической переработки, но найденный арабский выпуск 1949 года не выдан за средневековый перевод. Четыре латинских трактата аль-Кинди представляют предшествующую разработку интеллекта, сна, сущностей и демонстрации. Для арабской Theology of Aristotle, её комментария Ибн Сины и De interpretatione в переводе Исхака ибн Хунайна сохранились конкретные задания G015–G017: наличие произведений и отсутствие проверенного файла различены.</w:t>
      </w:r>
      <w:r>
        <w:t xml:space="preserve">  </w:t>
      </w:r>
      <w:hyperlink r:id="rId49">
        <w:r>
          <w:rPr>
            <w:color w:val="126290"/>
            <w:u w:val="single"/>
            <w:sz w:val="17"/>
          </w:rPr>
          <w:t>[R048]</w:t>
        </w:r>
      </w:hyperlink>
      <w:r>
        <w:t xml:space="preserve"> · </w:t>
      </w:r>
      <w:hyperlink r:id="rId50">
        <w:r>
          <w:rPr>
            <w:color w:val="126290"/>
            <w:u w:val="single"/>
            <w:sz w:val="17"/>
          </w:rPr>
          <w:t>[R050]</w:t>
        </w:r>
      </w:hyperlink>
    </w:p>
    <w:p>
      <w:r>
        <w:t>Continuation и непосредственная ученическая передача. Персидский Taḥṣīl Бахманьяра, математическое дополнение Джузджани и комментарий Ибн Зайлы к Ḥayy связаны со строкой не общей принадлежностью к исламской философии, а с передачей системы и конкретных сочинений Ибн Сины. Извлечения Mubāḥathāt важны как вопросы ученика и ответы учителя. Поздняя дата копии этих текстов не является датой их создания.</w:t>
      </w:r>
      <w:r>
        <w:t xml:space="preserve">  </w:t>
      </w:r>
      <w:hyperlink r:id="rId51">
        <w:r>
          <w:rPr>
            <w:color w:val="126290"/>
            <w:u w:val="single"/>
            <w:sz w:val="17"/>
          </w:rPr>
          <w:t>[R028]</w:t>
        </w:r>
      </w:hyperlink>
      <w:r>
        <w:t xml:space="preserve"> · </w:t>
      </w:r>
      <w:hyperlink r:id="rId46">
        <w:r>
          <w:rPr>
            <w:color w:val="126290"/>
            <w:u w:val="single"/>
            <w:sz w:val="17"/>
          </w:rPr>
          <w:t>[R041]</w:t>
        </w:r>
      </w:hyperlink>
      <w:r>
        <w:t xml:space="preserve"> · </w:t>
      </w:r>
      <w:hyperlink r:id="rId52">
        <w:r>
          <w:rPr>
            <w:color w:val="126290"/>
            <w:u w:val="single"/>
            <w:sz w:val="17"/>
          </w:rPr>
          <w:t>[R042]</w:t>
        </w:r>
      </w:hyperlink>
      <w:r>
        <w:t xml:space="preserve"> · </w:t>
      </w:r>
      <w:hyperlink r:id="rId36">
        <w:r>
          <w:rPr>
            <w:color w:val="126290"/>
            <w:u w:val="single"/>
            <w:sz w:val="17"/>
          </w:rPr>
          <w:t>[R045]</w:t>
        </w:r>
      </w:hyperlink>
    </w:p>
    <w:p>
      <w:r>
        <w:t>Commentary_or_reception. Аль-Масуди непосредственно критикует Ishārāt; ар-Рази, ат-Туси и Кутб ад-Дин ар-Рази представлены в комментарийных изданиях и эпитоме. Глоссы Муллы Садры и комментарий ан-Нараки сохраняются в реестре как конкретные поздние чтения метафизики Shifāʾ. Tahāfut аль-Газали — прямой полемический ответ философам, а не повод разворачивать всю историю kalām.</w:t>
      </w:r>
      <w:r>
        <w:t xml:space="preserve">  </w:t>
      </w:r>
      <w:hyperlink r:id="rId53">
        <w:r>
          <w:rPr>
            <w:color w:val="126290"/>
            <w:u w:val="single"/>
            <w:sz w:val="17"/>
          </w:rPr>
          <w:t>[R006]</w:t>
        </w:r>
      </w:hyperlink>
      <w:r>
        <w:t xml:space="preserve"> · </w:t>
      </w:r>
      <w:hyperlink r:id="rId54">
        <w:r>
          <w:rPr>
            <w:color w:val="126290"/>
            <w:u w:val="single"/>
            <w:sz w:val="17"/>
          </w:rPr>
          <w:t>[R007]</w:t>
        </w:r>
      </w:hyperlink>
      <w:r>
        <w:t xml:space="preserve"> · </w:t>
      </w:r>
      <w:hyperlink r:id="rId55">
        <w:r>
          <w:rPr>
            <w:color w:val="126290"/>
            <w:u w:val="single"/>
            <w:sz w:val="17"/>
          </w:rPr>
          <w:t>[R012]</w:t>
        </w:r>
      </w:hyperlink>
      <w:r>
        <w:t xml:space="preserve"> · </w:t>
      </w:r>
      <w:hyperlink r:id="rId56">
        <w:r>
          <w:rPr>
            <w:color w:val="126290"/>
            <w:u w:val="single"/>
            <w:sz w:val="17"/>
          </w:rPr>
          <w:t>[R013]</w:t>
        </w:r>
      </w:hyperlink>
      <w:r>
        <w:t xml:space="preserve"> · </w:t>
      </w:r>
      <w:hyperlink r:id="rId12">
        <w:r>
          <w:rPr>
            <w:color w:val="126290"/>
            <w:u w:val="single"/>
            <w:sz w:val="17"/>
          </w:rPr>
          <w:t>[R026]</w:t>
        </w:r>
      </w:hyperlink>
      <w:r>
        <w:t xml:space="preserve"> · </w:t>
      </w:r>
      <w:hyperlink r:id="rId57">
        <w:r>
          <w:rPr>
            <w:color w:val="126290"/>
            <w:u w:val="single"/>
            <w:sz w:val="17"/>
          </w:rPr>
          <w:t>[R030]</w:t>
        </w:r>
      </w:hyperlink>
      <w:r>
        <w:t xml:space="preserve"> · </w:t>
      </w:r>
      <w:hyperlink r:id="rId58">
        <w:r>
          <w:rPr>
            <w:color w:val="126290"/>
            <w:u w:val="single"/>
            <w:sz w:val="17"/>
          </w:rPr>
          <w:t>[R053]</w:t>
        </w:r>
      </w:hyperlink>
    </w:p>
    <w:p>
      <w:r>
        <w:t>Transmission_or_preservation. Латинские Opera 1508 года, Avicenna Latinus / De anima и латинский свидетель Canon показывают разные формы передачи. Maqāṣid аль-Газали, доступный в латинском выпуске 1506 года, включён как переработка материала Dāneš-nāma; это не буквальный перевод Ибн Сины. Связанные еврейские переводы Maqāṣid и комментарии к ним вынесены в G023 до установления конкретных цифровых свидетелей.</w:t>
      </w:r>
      <w:r>
        <w:t xml:space="preserve">  </w:t>
      </w:r>
      <w:hyperlink r:id="rId59">
        <w:r>
          <w:rPr>
            <w:color w:val="126290"/>
            <w:u w:val="single"/>
            <w:sz w:val="17"/>
          </w:rPr>
          <w:t>[R032]</w:t>
        </w:r>
      </w:hyperlink>
      <w:r>
        <w:t xml:space="preserve"> · </w:t>
      </w:r>
      <w:hyperlink r:id="rId60">
        <w:r>
          <w:rPr>
            <w:color w:val="126290"/>
            <w:u w:val="single"/>
            <w:sz w:val="17"/>
          </w:rPr>
          <w:t>[R049]</w:t>
        </w:r>
      </w:hyperlink>
      <w:r>
        <w:t xml:space="preserve"> · </w:t>
      </w:r>
      <w:hyperlink r:id="rId61">
        <w:r>
          <w:rPr>
            <w:color w:val="126290"/>
            <w:u w:val="single"/>
            <w:sz w:val="17"/>
          </w:rPr>
          <w:t>[R051]</w:t>
        </w:r>
      </w:hyperlink>
      <w:r>
        <w:t xml:space="preserve"> · </w:t>
      </w:r>
      <w:hyperlink r:id="rId62">
        <w:r>
          <w:rPr>
            <w:color w:val="126290"/>
            <w:u w:val="single"/>
            <w:sz w:val="17"/>
          </w:rPr>
          <w:t>[R052]</w:t>
        </w:r>
      </w:hyperlink>
    </w:p>
    <w:p>
      <w:r>
        <w:t>Связь Maqāṣid с персидской суммой и различие латинской и еврейской передачи дополнительно проверены по специализированной статье Stanford Encyclopedia of Philosophy «al-Ghazali», раздел о сочинениях.</w:t>
      </w:r>
      <w:hyperlink r:id="rId63">
        <w:r>
          <w:rPr>
            <w:color w:val="126290"/>
            <w:u w:val="single"/>
            <w:sz w:val="17"/>
          </w:rPr>
          <w:t>  Академическая идентификация</w:t>
        </w:r>
      </w:hyperlink>
    </w:p>
    <w:p>
      <w:r>
        <w:t>Boundary представлен узко: латинский фрагмент Canon полезен из-за учения об элементах и натурфилософского содержания. Медицинская библиография целиком не включалась. Infrastructure — документация OpenITI; она не заменяет конкретного текста. Отдельные категории supporting и secondary_navigation не заполнялись ради симметрии: вспомогательная библиография преимущественно осталась в примечаниях и пробелах.</w:t>
      </w:r>
    </w:p>
    <w:p>
      <w:pPr>
        <w:pStyle w:val="Heading2"/>
      </w:pPr>
      <w:r>
        <w:t>Что означают количественные итоги</w:t>
      </w:r>
    </w:p>
    <w:p>
      <w:r>
        <w:t>В registry 55 практически различимых записей: 20 core, 13 same_corpus_or_tradition, 2 antecedent, 2 continuation, 7 commentary_or_reception, 9 transmission_or_preservation, 1 boundary и 1 infrastructure. Категория описывает роль данной записи, а не ранг автора или ценность текста.</w:t>
      </w:r>
    </w:p>
    <w:p>
      <w:r>
        <w:t>Для оценки текстового покрытия записи сведены к 38 библиографическим группам: 29 группам вокруг одного основного заглавия и 9 составным подборкам. Разделы и латинская передача Shifāʾ при этом объединены; отдельные маршруты Dāneš-nāma или Ḥurūf не умножают число произведений. Сборники могут перекрываться с отдельными трактатами, поэтому 38 — не число непересекающихся авторских сочинений.</w:t>
      </w:r>
    </w:p>
    <w:p>
      <w:r>
        <w:t>Add MS 16659 — один физический кодекс и один общий цифровой пакет. В его каталоге 53 текста и 1 208 изображений; в registry выделены девять особенно важных самостоятельных текстов и общий вход. Эти десять записей нельзя считать десятью рукописями или десятью независимыми полными загрузками. Прочие части отмечены в gaps для проверки атрибуции и границ.</w:t>
      </w:r>
      <w:r>
        <w:t xml:space="preserve">  </w:t>
      </w:r>
      <w:hyperlink r:id="rId14">
        <w:r>
          <w:rPr>
            <w:color w:val="126290"/>
            <w:u w:val="single"/>
            <w:sz w:val="17"/>
          </w:rPr>
          <w:t>[R046]</w:t>
        </w:r>
      </w:hyperlink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Аль-Фараби: метаязык, доказательство, политика</w:t>
      </w:r>
    </w:p>
    <w:p>
      <w:r>
        <w:t>Ḥurūf. Лучший найденный полный современный вход — арабско-английское издание Butterworth в Zaytuna Curriculum Series: продажа у официального распространителя, ISBN 9781733836340. Выборка Khalidi в Cambridge — отдельный частичный маршрут, начинающийся с поздней части текста; её нельзя подменять полным переводом. Чистый свободный полный исходник для собственного перевода здесь не установлен.</w:t>
      </w:r>
      <w:r>
        <w:t xml:space="preserve">  </w:t>
      </w:r>
      <w:hyperlink r:id="rId21">
        <w:r>
          <w:rPr>
            <w:color w:val="126290"/>
            <w:u w:val="single"/>
            <w:sz w:val="17"/>
          </w:rPr>
          <w:t>[R021]</w:t>
        </w:r>
      </w:hyperlink>
      <w:r>
        <w:t xml:space="preserve"> · </w:t>
      </w:r>
      <w:hyperlink r:id="rId22">
        <w:r>
          <w:rPr>
            <w:color w:val="126290"/>
            <w:u w:val="single"/>
            <w:sz w:val="17"/>
          </w:rPr>
          <w:t>[R022]</w:t>
        </w:r>
      </w:hyperlink>
    </w:p>
    <w:p>
      <w:r>
        <w:t>Madīna. Для бесплатного чтения и скачивания — ACO, издание 1906 года. Для научной работы — Al-Farabi on the Perfect State, Walzer, 1985; подтверждён библиотечный экземпляр. Скан старого выпуска и современная реконструкция не имеют одинакового правового статуса. Iḥṣāʾ, трактат об интеллекте и трактат о пустоте также доступны в ACO, но вывод о свободном публичном использовании современных редакторских слоёв не сделан.</w:t>
      </w:r>
      <w:r>
        <w:t xml:space="preserve">  </w:t>
      </w:r>
      <w:hyperlink r:id="rId16">
        <w:r>
          <w:rPr>
            <w:color w:val="126290"/>
            <w:u w:val="single"/>
            <w:sz w:val="17"/>
          </w:rPr>
          <w:t>[R001]</w:t>
        </w:r>
      </w:hyperlink>
      <w:r>
        <w:t xml:space="preserve"> · </w:t>
      </w:r>
      <w:hyperlink r:id="rId17">
        <w:r>
          <w:rPr>
            <w:color w:val="126290"/>
            <w:u w:val="single"/>
            <w:sz w:val="17"/>
          </w:rPr>
          <w:t>[R002]</w:t>
        </w:r>
      </w:hyperlink>
      <w:r>
        <w:t xml:space="preserve"> · </w:t>
      </w:r>
      <w:hyperlink r:id="rId18">
        <w:r>
          <w:rPr>
            <w:color w:val="126290"/>
            <w:u w:val="single"/>
            <w:sz w:val="17"/>
          </w:rPr>
          <w:t>[R003]</w:t>
        </w:r>
      </w:hyperlink>
      <w:r>
        <w:t xml:space="preserve"> · </w:t>
      </w:r>
      <w:hyperlink r:id="rId19">
        <w:r>
          <w:rPr>
            <w:color w:val="126290"/>
            <w:u w:val="single"/>
            <w:sz w:val="17"/>
          </w:rPr>
          <w:t>[R011]</w:t>
        </w:r>
      </w:hyperlink>
      <w:r>
        <w:t xml:space="preserve"> · </w:t>
      </w:r>
      <w:hyperlink r:id="rId20">
        <w:r>
          <w:rPr>
            <w:color w:val="126290"/>
            <w:u w:val="single"/>
            <w:sz w:val="17"/>
          </w:rPr>
          <w:t>[R019]</w:t>
        </w:r>
      </w:hyperlink>
    </w:p>
    <w:p>
      <w:r>
        <w:t>Burhān / yaqīn. Каталог CiNii подтверждает издание Fakhry 1987 года, объединяющее соответствующие тексты и глоссы Ибн Баджжи. Это достаточный библиографический вход для заказа или поиска экземпляра, но не подтверждение полного цифрового чтения. Не путать фарабийский Burhān с одноимённой книгой внутри Shifāʾ.</w:t>
      </w:r>
      <w:r>
        <w:t xml:space="preserve">  </w:t>
      </w:r>
      <w:hyperlink r:id="rId23">
        <w:r>
          <w:rPr>
            <w:color w:val="126290"/>
            <w:u w:val="single"/>
            <w:sz w:val="17"/>
          </w:rPr>
          <w:t>[R024]</w:t>
        </w:r>
      </w:hyperlink>
      <w:r>
        <w:t xml:space="preserve"> · </w:t>
      </w:r>
      <w:hyperlink r:id="rId26">
        <w:r>
          <w:rPr>
            <w:color w:val="126290"/>
            <w:u w:val="single"/>
            <w:sz w:val="17"/>
          </w:rPr>
          <w:t>[R004]</w:t>
        </w:r>
      </w:hyperlink>
    </w:p>
    <w:p>
      <w:r>
        <w:t>Aghrāḍ. Наиболее свободный современный вариант: арабский текст и испанский перевод в MEAH 70 (2021), с item-level CC BY 3.0 ES в репозитории Университета Гранады. Это конкретная основа для атрибутированного повторного использования и собственного перевода короткого трактата. Открылась карточка с лицензией и ссылкой на PDF; сам PDF не получен инструментом, поэтому перед публикацией нужно проверить возможные отдельные исключения.</w:t>
      </w:r>
      <w:r>
        <w:t xml:space="preserve">  </w:t>
      </w:r>
      <w:hyperlink r:id="rId13">
        <w:r>
          <w:rPr>
            <w:color w:val="126290"/>
            <w:u w:val="single"/>
            <w:sz w:val="17"/>
          </w:rPr>
          <w:t>[R029]</w:t>
        </w:r>
      </w:hyperlink>
    </w:p>
    <w:p>
      <w:r>
        <w:t>Политические сочинения. Сборники Butterworth I и II в JSTOR сохраняются как preview/institutional access. Первый включает Selected Aphorisms, политически значимую часть Iḥṣāʾ, Book of Religion и Harmony; второй — Political Regime и Summary of Plato’s Laws. Русские «Философские трактаты» 1970 года представлены карточкой НЭБ. Свободный перевод этих сборников не предполагается.</w:t>
      </w:r>
      <w:r>
        <w:t xml:space="preserve">  </w:t>
      </w:r>
      <w:hyperlink r:id="rId64">
        <w:r>
          <w:rPr>
            <w:color w:val="126290"/>
            <w:u w:val="single"/>
            <w:sz w:val="17"/>
          </w:rPr>
          <w:t>[R025]</w:t>
        </w:r>
      </w:hyperlink>
      <w:r>
        <w:t xml:space="preserve"> · </w:t>
      </w:r>
      <w:hyperlink r:id="rId24">
        <w:r>
          <w:rPr>
            <w:color w:val="126290"/>
            <w:u w:val="single"/>
            <w:sz w:val="17"/>
          </w:rPr>
          <w:t>[R034]</w:t>
        </w:r>
      </w:hyperlink>
      <w:r>
        <w:t xml:space="preserve"> · </w:t>
      </w:r>
      <w:hyperlink r:id="rId25">
        <w:r>
          <w:rPr>
            <w:color w:val="126290"/>
            <w:u w:val="single"/>
            <w:sz w:val="17"/>
          </w:rPr>
          <w:t>[R035]</w:t>
        </w:r>
      </w:hyperlink>
    </w:p>
    <w:p>
      <w:pPr>
        <w:pStyle w:val="Heading2"/>
      </w:pPr>
      <w:r>
        <w:t>Shifāʾ: разделы, а не мнимая полнота</w:t>
      </w:r>
    </w:p>
    <w:p>
      <w:r>
        <w:t>Метафизика. Основной современный научный ориентир — двуязычное издание Marmura, BYU, ©2005, продаваемое University of Chicago Press. Свободно доступны современные сканы комментарийных слоёв в McGill/Internet Archive и ACO, но они не дают автоматической лицензии на критическую редакцию. Каталог Wellcome фиксирует каирскую арабскую серию, не предоставляя её целиком онлайн.</w:t>
      </w:r>
      <w:r>
        <w:t xml:space="preserve">  </w:t>
      </w:r>
      <w:hyperlink r:id="rId27">
        <w:r>
          <w:rPr>
            <w:color w:val="126290"/>
            <w:u w:val="single"/>
            <w:sz w:val="17"/>
          </w:rPr>
          <w:t>[R008]</w:t>
        </w:r>
      </w:hyperlink>
      <w:r>
        <w:t xml:space="preserve"> · </w:t>
      </w:r>
      <w:hyperlink r:id="rId31">
        <w:r>
          <w:rPr>
            <w:color w:val="126290"/>
            <w:u w:val="single"/>
            <w:sz w:val="17"/>
          </w:rPr>
          <w:t>[R020]</w:t>
        </w:r>
      </w:hyperlink>
      <w:r>
        <w:t xml:space="preserve"> · </w:t>
      </w:r>
      <w:hyperlink r:id="rId57">
        <w:r>
          <w:rPr>
            <w:color w:val="126290"/>
            <w:u w:val="single"/>
            <w:sz w:val="17"/>
          </w:rPr>
          <w:t>[R030]</w:t>
        </w:r>
      </w:hyperlink>
      <w:r>
        <w:t xml:space="preserve"> · </w:t>
      </w:r>
      <w:hyperlink r:id="rId54">
        <w:r>
          <w:rPr>
            <w:color w:val="126290"/>
            <w:u w:val="single"/>
            <w:sz w:val="17"/>
          </w:rPr>
          <w:t>[R007]</w:t>
        </w:r>
      </w:hyperlink>
    </w:p>
    <w:p>
      <w:r>
        <w:t>Доказательство и физика. Burhān, редакция Badawi 1954 года, читается и скачивается в ACO; полнота относится только к этой книге. The Physics of The Healing, McGinnis, ©2009, два тома — лучший найденный современный двуязычный маршрут к общей физике, через покупку. Он не равен всем естественнонаучным частям Shifāʾ. Математика, музыка и ряд специальных физических книг остаются главным содержательным пробелом G001.</w:t>
      </w:r>
      <w:r>
        <w:t xml:space="preserve">  </w:t>
      </w:r>
      <w:hyperlink r:id="rId26">
        <w:r>
          <w:rPr>
            <w:color w:val="126290"/>
            <w:u w:val="single"/>
            <w:sz w:val="17"/>
          </w:rPr>
          <w:t>[R004]</w:t>
        </w:r>
      </w:hyperlink>
      <w:r>
        <w:t xml:space="preserve"> · </w:t>
      </w:r>
      <w:hyperlink r:id="rId32">
        <w:r>
          <w:rPr>
            <w:color w:val="126290"/>
            <w:u w:val="single"/>
            <w:sz w:val="17"/>
          </w:rPr>
          <w:t>[R023]</w:t>
        </w:r>
      </w:hyperlink>
    </w:p>
    <w:p>
      <w:r>
        <w:t>Психология и латинский текст. Rahman, Avicenna’s De anima (Arabic text), 1959, и Van Riet, Avicenna Latinus / Liber de anima, 1968–, подтверждены каталогом Wellcome. Это пути к научным изданиям через библиотеку, не свободные тексты. Раннее латинское Opera 1508 года даёт дополнительный старопечатный маршрут к нескольким разделам, но его PDF не коллирован.</w:t>
      </w:r>
      <w:r>
        <w:t xml:space="preserve">  </w:t>
      </w:r>
      <w:hyperlink r:id="rId33">
        <w:r>
          <w:rPr>
            <w:color w:val="126290"/>
            <w:u w:val="single"/>
            <w:sz w:val="17"/>
          </w:rPr>
          <w:t>[R031]</w:t>
        </w:r>
      </w:hyperlink>
      <w:r>
        <w:t xml:space="preserve"> · </w:t>
      </w:r>
      <w:hyperlink r:id="rId59">
        <w:r>
          <w:rPr>
            <w:color w:val="126290"/>
            <w:u w:val="single"/>
            <w:sz w:val="17"/>
          </w:rPr>
          <w:t>[R032]</w:t>
        </w:r>
      </w:hyperlink>
      <w:r>
        <w:t xml:space="preserve"> · </w:t>
      </w:r>
      <w:hyperlink r:id="rId61">
        <w:r>
          <w:rPr>
            <w:color w:val="126290"/>
            <w:u w:val="single"/>
            <w:sz w:val="17"/>
          </w:rPr>
          <w:t>[R051]</w:t>
        </w:r>
      </w:hyperlink>
    </w:p>
    <w:p>
      <w:pPr>
        <w:pStyle w:val="Heading2"/>
      </w:pPr>
      <w:r>
        <w:t>Najāt, Ishārāt, Dāneš-nāma</w:t>
      </w:r>
    </w:p>
    <w:p>
      <w:r>
        <w:t>Najāt. Наиболее свободная установленная основа — арабское издание 1593 года, приложенное к Canon, в Wellcome: факсимиле с Public Domain Mark 1.0. Кнопка PDF есть; прямое получение файла завершилось ошибкой инструмента. Состав подтверждён каталогом, но 1 060 изображений относятся ко всему совместному изданию, не только к Najāt. Ahmed, 2011, представляет только английский перевод логики и здесь имеет каталожный, а не полнотекстовый вход.</w:t>
      </w:r>
      <w:r>
        <w:t xml:space="preserve">  </w:t>
      </w:r>
      <w:hyperlink r:id="rId11">
        <w:r>
          <w:rPr>
            <w:color w:val="126290"/>
            <w:u w:val="single"/>
            <w:sz w:val="17"/>
          </w:rPr>
          <w:t>[R014]</w:t>
        </w:r>
      </w:hyperlink>
      <w:r>
        <w:t xml:space="preserve"> · </w:t>
      </w:r>
      <w:hyperlink r:id="rId29">
        <w:r>
          <w:rPr>
            <w:color w:val="126290"/>
            <w:u w:val="single"/>
            <w:sz w:val="17"/>
          </w:rPr>
          <w:t>[R016]</w:t>
        </w:r>
      </w:hyperlink>
    </w:p>
    <w:p>
      <w:r>
        <w:t>Ishārāt. Inati, Physics and Metaphysics, 2014, — современный защищённый перевод соответствующих частей. ACO предоставляет комментарийные издания ар-Рази и ат-Туси, а отдельный поздний том с Кутб ад-Дином ар-Рази охватывает только часть целого. В QDL есть персидский перевод метафизической части: исторический свидетель, не арабский авторский текст и не полный Ishārāt. Переводы логики и мистики Inati оставлены отдельными задачами G008.</w:t>
      </w:r>
      <w:r>
        <w:t xml:space="preserve">  </w:t>
      </w:r>
      <w:hyperlink r:id="rId28">
        <w:r>
          <w:rPr>
            <w:color w:val="126290"/>
            <w:u w:val="single"/>
            <w:sz w:val="17"/>
          </w:rPr>
          <w:t>[R015]</w:t>
        </w:r>
      </w:hyperlink>
      <w:r>
        <w:t xml:space="preserve"> · </w:t>
      </w:r>
      <w:hyperlink r:id="rId53">
        <w:r>
          <w:rPr>
            <w:color w:val="126290"/>
            <w:u w:val="single"/>
            <w:sz w:val="17"/>
          </w:rPr>
          <w:t>[R006]</w:t>
        </w:r>
      </w:hyperlink>
      <w:r>
        <w:t xml:space="preserve"> · </w:t>
      </w:r>
      <w:hyperlink r:id="rId55">
        <w:r>
          <w:rPr>
            <w:color w:val="126290"/>
            <w:u w:val="single"/>
            <w:sz w:val="17"/>
          </w:rPr>
          <w:t>[R012]</w:t>
        </w:r>
      </w:hyperlink>
      <w:r>
        <w:t xml:space="preserve"> · </w:t>
      </w:r>
      <w:hyperlink r:id="rId56">
        <w:r>
          <w:rPr>
            <w:color w:val="126290"/>
            <w:u w:val="single"/>
            <w:sz w:val="17"/>
          </w:rPr>
          <w:t>[R013]</w:t>
        </w:r>
      </w:hyperlink>
      <w:r>
        <w:t xml:space="preserve"> · </w:t>
      </w:r>
      <w:hyperlink r:id="rId35">
        <w:r>
          <w:rPr>
            <w:color w:val="126290"/>
            <w:u w:val="single"/>
            <w:sz w:val="17"/>
          </w:rPr>
          <w:t>[R044]</w:t>
        </w:r>
      </w:hyperlink>
    </w:p>
    <w:p>
      <w:r>
        <w:t>Dāneš-nāma. Для оригинала — персидское факсимиле Add MS 16659, ff. 258v–310r: логика, метафизика и физика. Для математического дополнения Джузджани — ff. 310v–342v того же кодекса; каталог отмечает незаполненные места под диаграммы. Полный французский Livre de science, Achena/Massé, издание Les Belles Lettres 2007 года, доступен для покупки. Morewedge переводит только метафизику: это не полный английский аналог французского тома.</w:t>
      </w:r>
      <w:r>
        <w:t xml:space="preserve">  </w:t>
      </w:r>
      <w:hyperlink r:id="rId34">
        <w:r>
          <w:rPr>
            <w:color w:val="126290"/>
            <w:u w:val="single"/>
            <w:sz w:val="17"/>
          </w:rPr>
          <w:t>[R039]</w:t>
        </w:r>
      </w:hyperlink>
      <w:r>
        <w:t xml:space="preserve"> · </w:t>
      </w:r>
      <w:hyperlink r:id="rId36">
        <w:r>
          <w:rPr>
            <w:color w:val="126290"/>
            <w:u w:val="single"/>
            <w:sz w:val="17"/>
          </w:rPr>
          <w:t>[R045]</w:t>
        </w:r>
      </w:hyperlink>
      <w:r>
        <w:t xml:space="preserve"> · </w:t>
      </w:r>
      <w:hyperlink r:id="rId37">
        <w:r>
          <w:rPr>
            <w:color w:val="126290"/>
            <w:u w:val="single"/>
            <w:sz w:val="17"/>
          </w:rPr>
          <w:t>[R054]</w:t>
        </w:r>
      </w:hyperlink>
      <w:r>
        <w:t xml:space="preserve"> · </w:t>
      </w:r>
      <w:hyperlink r:id="rId30">
        <w:r>
          <w:rPr>
            <w:color w:val="126290"/>
            <w:u w:val="single"/>
            <w:sz w:val="17"/>
          </w:rPr>
          <w:t>[R017]</w:t>
        </w:r>
      </w:hyperlink>
      <w:r>
        <w:t xml:space="preserve"> · </w:t>
      </w:r>
      <w:hyperlink r:id="rId65">
        <w:r>
          <w:rPr>
            <w:color w:val="126290"/>
            <w:u w:val="single"/>
            <w:sz w:val="17"/>
          </w:rPr>
          <w:t>[R018]</w:t>
        </w:r>
      </w:hyperlink>
    </w:p>
    <w:p>
      <w:pPr>
        <w:pStyle w:val="Heading2"/>
      </w:pPr>
      <w:r>
        <w:t>Малые трактаты и непосредственная школа</w:t>
      </w:r>
    </w:p>
    <w:p>
      <w:r>
        <w:t>ʿIshq и Ḥudūd. Лучший найденный оригинальный свободный слой — отдельные item-level части QDL: ff. 8v–13r и 414v–419r. Их можно транскрибировать и переводить как конкретный исторический свидетель. Современные переводы Fackenheim, Kennedy-Day и Goichon библиографически важны, но полные подтверждённые цифровые маршруты для них не получены: G005–G007.</w:t>
      </w:r>
      <w:r>
        <w:t xml:space="preserve">  </w:t>
      </w:r>
      <w:hyperlink r:id="rId43">
        <w:r>
          <w:rPr>
            <w:color w:val="126290"/>
            <w:u w:val="single"/>
            <w:sz w:val="17"/>
          </w:rPr>
          <w:t>[R037]</w:t>
        </w:r>
      </w:hyperlink>
      <w:r>
        <w:t xml:space="preserve"> · </w:t>
      </w:r>
      <w:hyperlink r:id="rId44">
        <w:r>
          <w:rPr>
            <w:color w:val="126290"/>
            <w:u w:val="single"/>
            <w:sz w:val="17"/>
          </w:rPr>
          <w:t>[R038]</w:t>
        </w:r>
      </w:hyperlink>
    </w:p>
    <w:p>
      <w:r>
        <w:t>Taʿlīqāt, Mubāḥathāt, Ḥayy. QDL даёт соответственно ff. 141r–200v, 201r–228v и 13v–15v. Особенно важно: текст под рукописным заглавием Taḥṣīlāt Bahmanyār каталог определяет как извлечения из Mubāḥathāt, а не весь Taḥṣīl Бахманьяра. Комментарий Ибн Зайлы к Ḥayy имеет собственную карточку и собственные листы; он не смешан с сочинением Ибн Туфайля.</w:t>
      </w:r>
      <w:r>
        <w:t xml:space="preserve">  </w:t>
      </w:r>
      <w:hyperlink r:id="rId45">
        <w:r>
          <w:rPr>
            <w:color w:val="126290"/>
            <w:u w:val="single"/>
            <w:sz w:val="17"/>
          </w:rPr>
          <w:t>[R040]</w:t>
        </w:r>
      </w:hyperlink>
      <w:r>
        <w:t xml:space="preserve"> · </w:t>
      </w:r>
      <w:hyperlink r:id="rId46">
        <w:r>
          <w:rPr>
            <w:color w:val="126290"/>
            <w:u w:val="single"/>
            <w:sz w:val="17"/>
          </w:rPr>
          <w:t>[R041]</w:t>
        </w:r>
      </w:hyperlink>
      <w:r>
        <w:t xml:space="preserve"> · </w:t>
      </w:r>
      <w:hyperlink r:id="rId52">
        <w:r>
          <w:rPr>
            <w:color w:val="126290"/>
            <w:u w:val="single"/>
            <w:sz w:val="17"/>
          </w:rPr>
          <w:t>[R042]</w:t>
        </w:r>
      </w:hyperlink>
      <w:r>
        <w:t xml:space="preserve"> · </w:t>
      </w:r>
      <w:hyperlink r:id="rId47">
        <w:r>
          <w:rPr>
            <w:color w:val="126290"/>
            <w:u w:val="single"/>
            <w:sz w:val="17"/>
          </w:rPr>
          <w:t>[R043]</w:t>
        </w:r>
      </w:hyperlink>
    </w:p>
    <w:p>
      <w:r>
        <w:t>Печатные подборки. Mabdaʾ wa-maʿād и персидский Jām-i jahān-numāy доступны в официальной коллекции публикаций McGill на Internet Archive. Tisʿ rasāʾil, Константинополь 1298 AH, имеет цифровую копию в NLI; правообладательская формулировка привязана к Израилю. Rasāʾil / Les opuscules в ACO содержит материалы разного авторства, в том числе Кусты ибн Луки: весь том нельзя автоматически приписать Ибн Сине.</w:t>
      </w:r>
      <w:r>
        <w:t xml:space="preserve">  </w:t>
      </w:r>
      <w:hyperlink r:id="rId39">
        <w:r>
          <w:rPr>
            <w:color w:val="126290"/>
            <w:u w:val="single"/>
            <w:sz w:val="17"/>
          </w:rPr>
          <w:t>[R010]</w:t>
        </w:r>
      </w:hyperlink>
      <w:r>
        <w:t xml:space="preserve"> · </w:t>
      </w:r>
      <w:hyperlink r:id="rId40">
        <w:r>
          <w:rPr>
            <w:color w:val="126290"/>
            <w:u w:val="single"/>
            <w:sz w:val="17"/>
          </w:rPr>
          <w:t>[R027]</w:t>
        </w:r>
      </w:hyperlink>
      <w:r>
        <w:t xml:space="preserve"> · </w:t>
      </w:r>
      <w:hyperlink r:id="rId51">
        <w:r>
          <w:rPr>
            <w:color w:val="126290"/>
            <w:u w:val="single"/>
            <w:sz w:val="17"/>
          </w:rPr>
          <w:t>[R028]</w:t>
        </w:r>
      </w:hyperlink>
      <w:r>
        <w:t xml:space="preserve"> · </w:t>
      </w:r>
      <w:hyperlink r:id="rId42">
        <w:r>
          <w:rPr>
            <w:color w:val="126290"/>
            <w:u w:val="single"/>
            <w:sz w:val="17"/>
          </w:rPr>
          <w:t>[R036]</w:t>
        </w:r>
      </w:hyperlink>
    </w:p>
    <w:p>
      <w:r>
        <w:t>Старый английский перевод. Project Gutenberg предоставляет полный HTML и другие форматы A Compendium on the Soul, Van Dyck, 1906. Это удобный машиночитаемый перевод для чтения, но не весь психологический раздел Shifāʾ. Сам переводчик оговаривает опору на предшествующие немецкий и английский переводы. Public Domain in the USA не заменяет проверки права распространения в других странах.</w:t>
      </w:r>
      <w:r>
        <w:t xml:space="preserve">  </w:t>
      </w:r>
      <w:hyperlink r:id="rId48">
        <w:r>
          <w:rPr>
            <w:color w:val="126290"/>
            <w:u w:val="single"/>
            <w:sz w:val="17"/>
          </w:rPr>
          <w:t>[R047]</w:t>
        </w:r>
      </w:hyperlink>
    </w:p>
    <w:p>
      <w:pPr>
        <w:pStyle w:val="Heading2"/>
      </w:pPr>
      <w:r>
        <w:t>Рецепция и цифровая инфраструктура</w:t>
      </w:r>
    </w:p>
    <w:p>
      <w:r>
        <w:t>Аль-Масуди. Doubts on Avicenna, Shihadeh, Brill, 2016, включает арабское критическое издание Shukūk, pp. 193–289, и исследовательскую часть. На официальной странице открытой книги в JSTOR указана CC BY-NC 4.0. Это один из наиболее полезных современных источников для некоммерческого текстового слоя ToS; лицензия относится к этой книге, не ко всему Ishārāt.</w:t>
      </w:r>
      <w:r>
        <w:t xml:space="preserve">  </w:t>
      </w:r>
      <w:hyperlink r:id="rId12">
        <w:r>
          <w:rPr>
            <w:color w:val="126290"/>
            <w:u w:val="single"/>
            <w:sz w:val="17"/>
          </w:rPr>
          <w:t>[R026]</w:t>
        </w:r>
      </w:hyperlink>
    </w:p>
    <w:p>
      <w:r>
        <w:t>Аль-Газали и латинская передача. Для современного Tahāfut — двуязычный Marmura, второе издание ©2000, официальный путь покупки. Для Maqāṣid — латинское Logica et philosophia Algazelis, 1506, через SIEPM. Ранние латинские трактаты аль-Кинди и Opera Ибн Сины доступны тем же институционально организованным путём; целевые страницы файлов открылись, но полное содержимое PDF не анализировалось.</w:t>
      </w:r>
      <w:r>
        <w:t xml:space="preserve">  </w:t>
      </w:r>
      <w:hyperlink r:id="rId50">
        <w:r>
          <w:rPr>
            <w:color w:val="126290"/>
            <w:u w:val="single"/>
            <w:sz w:val="17"/>
          </w:rPr>
          <w:t>[R050]</w:t>
        </w:r>
      </w:hyperlink>
      <w:r>
        <w:t xml:space="preserve"> · </w:t>
      </w:r>
      <w:hyperlink r:id="rId61">
        <w:r>
          <w:rPr>
            <w:color w:val="126290"/>
            <w:u w:val="single"/>
            <w:sz w:val="17"/>
          </w:rPr>
          <w:t>[R051]</w:t>
        </w:r>
      </w:hyperlink>
      <w:r>
        <w:t xml:space="preserve"> · </w:t>
      </w:r>
      <w:hyperlink r:id="rId62">
        <w:r>
          <w:rPr>
            <w:color w:val="126290"/>
            <w:u w:val="single"/>
            <w:sz w:val="17"/>
          </w:rPr>
          <w:t>[R052]</w:t>
        </w:r>
      </w:hyperlink>
      <w:r>
        <w:t xml:space="preserve"> · </w:t>
      </w:r>
      <w:hyperlink r:id="rId58">
        <w:r>
          <w:rPr>
            <w:color w:val="126290"/>
            <w:u w:val="single"/>
            <w:sz w:val="17"/>
          </w:rPr>
          <w:t>[R053]</w:t>
        </w:r>
      </w:hyperlink>
    </w:p>
    <w:p>
      <w:r>
        <w:t>Машиночитаемость. Уже установлены HTML/TXT у Gutenberg и инфраструктура IIIF у рукописных библиотек. OPenn даёт изображения и TEI-описание LJS 359, но TEI здесь — метаданные, не готовая транскрипция. OpenITI подтверждает политику CC BY-NC-SA 4.0 для корпуса; конкретный файл или релиз нужного сочинения T2-10 не установлен. Поэтому registry не обещает готовый полный Arabic corpus для загрузки в поиск или embeddings.</w:t>
      </w:r>
      <w:r>
        <w:t xml:space="preserve">  </w:t>
      </w:r>
      <w:hyperlink r:id="rId48">
        <w:r>
          <w:rPr>
            <w:color w:val="126290"/>
            <w:u w:val="single"/>
            <w:sz w:val="17"/>
          </w:rPr>
          <w:t>[R047]</w:t>
        </w:r>
      </w:hyperlink>
      <w:r>
        <w:t xml:space="preserve"> · </w:t>
      </w:r>
      <w:hyperlink r:id="rId60">
        <w:r>
          <w:rPr>
            <w:color w:val="126290"/>
            <w:u w:val="single"/>
            <w:sz w:val="17"/>
          </w:rPr>
          <w:t>[R049]</w:t>
        </w:r>
      </w:hyperlink>
      <w:r>
        <w:t xml:space="preserve"> · </w:t>
      </w:r>
      <w:hyperlink r:id="rId15">
        <w:r>
          <w:rPr>
            <w:color w:val="126290"/>
            <w:u w:val="single"/>
            <w:sz w:val="17"/>
          </w:rPr>
          <w:t>[R055]</w:t>
        </w:r>
      </w:hyperlink>
    </w:p>
    <w:p>
      <w:pPr>
        <w:pStyle w:val="Heading1"/>
      </w:pPr>
      <w:r>
        <w:t>4. Карта прав и практического использования</w:t>
      </w:r>
    </w:p>
    <w:p>
      <w:r>
        <w:t>Потенциальное зеркалирование. Wellcome Najāt 1593, выбранные части QDL и OPenn LJS 359 имеют Public Domain Mark. В registry положительные теги ограничены данным факсимиле и его реальным объёмом. Собственная транскрипция может стать основой перевода и полнотекстовой обработки. Public Domain Mark — обозначение статуса, не лицензия; оно не делает этот свидетель критически безошибочным и не распространяется на сторонний современный аппарат.</w:t>
      </w:r>
      <w:r>
        <w:t xml:space="preserve">  </w:t>
      </w:r>
      <w:hyperlink r:id="rId11">
        <w:r>
          <w:rPr>
            <w:color w:val="126290"/>
            <w:u w:val="single"/>
            <w:sz w:val="17"/>
          </w:rPr>
          <w:t>[R014]</w:t>
        </w:r>
      </w:hyperlink>
      <w:r>
        <w:t xml:space="preserve"> · </w:t>
      </w:r>
      <w:hyperlink r:id="rId43">
        <w:r>
          <w:rPr>
            <w:color w:val="126290"/>
            <w:u w:val="single"/>
            <w:sz w:val="17"/>
          </w:rPr>
          <w:t>[R037]</w:t>
        </w:r>
      </w:hyperlink>
      <w:r>
        <w:t xml:space="preserve"> · </w:t>
      </w:r>
      <w:hyperlink r:id="rId44">
        <w:r>
          <w:rPr>
            <w:color w:val="126290"/>
            <w:u w:val="single"/>
            <w:sz w:val="17"/>
          </w:rPr>
          <w:t>[R038]</w:t>
        </w:r>
      </w:hyperlink>
      <w:r>
        <w:t xml:space="preserve"> · </w:t>
      </w:r>
      <w:hyperlink r:id="rId34">
        <w:r>
          <w:rPr>
            <w:color w:val="126290"/>
            <w:u w:val="single"/>
            <w:sz w:val="17"/>
          </w:rPr>
          <w:t>[R039]</w:t>
        </w:r>
      </w:hyperlink>
      <w:r>
        <w:t xml:space="preserve"> · </w:t>
      </w:r>
      <w:hyperlink r:id="rId45">
        <w:r>
          <w:rPr>
            <w:color w:val="126290"/>
            <w:u w:val="single"/>
            <w:sz w:val="17"/>
          </w:rPr>
          <w:t>[R040]</w:t>
        </w:r>
      </w:hyperlink>
      <w:r>
        <w:t xml:space="preserve"> · </w:t>
      </w:r>
      <w:hyperlink r:id="rId46">
        <w:r>
          <w:rPr>
            <w:color w:val="126290"/>
            <w:u w:val="single"/>
            <w:sz w:val="17"/>
          </w:rPr>
          <w:t>[R041]</w:t>
        </w:r>
      </w:hyperlink>
      <w:r>
        <w:t xml:space="preserve"> · </w:t>
      </w:r>
      <w:hyperlink r:id="rId52">
        <w:r>
          <w:rPr>
            <w:color w:val="126290"/>
            <w:u w:val="single"/>
            <w:sz w:val="17"/>
          </w:rPr>
          <w:t>[R042]</w:t>
        </w:r>
      </w:hyperlink>
      <w:r>
        <w:t xml:space="preserve"> · </w:t>
      </w:r>
      <w:hyperlink r:id="rId47">
        <w:r>
          <w:rPr>
            <w:color w:val="126290"/>
            <w:u w:val="single"/>
            <w:sz w:val="17"/>
          </w:rPr>
          <w:t>[R043]</w:t>
        </w:r>
      </w:hyperlink>
      <w:r>
        <w:t xml:space="preserve"> · </w:t>
      </w:r>
      <w:hyperlink r:id="rId35">
        <w:r>
          <w:rPr>
            <w:color w:val="126290"/>
            <w:u w:val="single"/>
            <w:sz w:val="17"/>
          </w:rPr>
          <w:t>[R044]</w:t>
        </w:r>
      </w:hyperlink>
      <w:r>
        <w:t xml:space="preserve"> · </w:t>
      </w:r>
      <w:hyperlink r:id="rId36">
        <w:r>
          <w:rPr>
            <w:color w:val="126290"/>
            <w:u w:val="single"/>
            <w:sz w:val="17"/>
          </w:rPr>
          <w:t>[R045]</w:t>
        </w:r>
      </w:hyperlink>
      <w:r>
        <w:t xml:space="preserve"> · </w:t>
      </w:r>
      <w:hyperlink r:id="rId14">
        <w:r>
          <w:rPr>
            <w:color w:val="126290"/>
            <w:u w:val="single"/>
            <w:sz w:val="17"/>
          </w:rPr>
          <w:t>[R046]</w:t>
        </w:r>
      </w:hyperlink>
      <w:r>
        <w:t xml:space="preserve"> · </w:t>
      </w:r>
      <w:hyperlink r:id="rId60">
        <w:r>
          <w:rPr>
            <w:color w:val="126290"/>
            <w:u w:val="single"/>
            <w:sz w:val="17"/>
          </w:rPr>
          <w:t>[R049]</w:t>
        </w:r>
      </w:hyperlink>
    </w:p>
    <w:p>
      <w:r>
        <w:t>Атрибуция и некоммерческий режим. Для Aghrāḍ применяется CC BY 3.0 ES: нужны атрибуция, лицензионное уведомление и обозначение изменений. Для Shukūk — CC BY-NC 4.0: разрешены некоммерческие переработки при соблюдении условий. Наличие публичного образовательного проекта само по себе не доказывает некоммерческий характер каждого будущего использования; спорные сценарии следует проверять отдельно.</w:t>
      </w:r>
      <w:r>
        <w:t xml:space="preserve">  </w:t>
      </w:r>
      <w:hyperlink r:id="rId13">
        <w:r>
          <w:rPr>
            <w:color w:val="126290"/>
            <w:u w:val="single"/>
            <w:sz w:val="17"/>
          </w:rPr>
          <w:t>[R029]</w:t>
        </w:r>
      </w:hyperlink>
      <w:r>
        <w:t xml:space="preserve"> · </w:t>
      </w:r>
      <w:hyperlink r:id="rId12">
        <w:r>
          <w:rPr>
            <w:color w:val="126290"/>
            <w:u w:val="single"/>
            <w:sz w:val="17"/>
          </w:rPr>
          <w:t>[R026]</w:t>
        </w:r>
      </w:hyperlink>
    </w:p>
    <w:p>
      <w:r>
        <w:t>Только неизменённое распространение. Подтверждённого item-level ND-разрешения в основном реестре нет. Возможные Cornell OA/ND-выпуски переводов Butterworth оставлены в G030. SHAREALIKE_REQUIRED также не присвоен текстам T2-10 автоматически: политика OpenITI содержит SA, но конкретная версия произведения пока не проверена.</w:t>
      </w:r>
    </w:p>
    <w:p>
      <w:r>
        <w:t>Бесплатный доступ без установленного права зеркалирования. ACO, современные издания в коллекции McGill, NLI и SIEPM сохраняются как полезные законные маршруты. Однако локальная исследовательская копия не равна праву публиковать PDF, очищенный OCR, открытый индекс или производный перевод. Особенно осторожно следует обращаться с современной реконструкцией, пунктуацией, аппаратом и переводческим слоем.</w:t>
      </w:r>
      <w:r>
        <w:t xml:space="preserve">  </w:t>
      </w:r>
      <w:hyperlink r:id="rId16">
        <w:r>
          <w:rPr>
            <w:color w:val="126290"/>
            <w:u w:val="single"/>
            <w:sz w:val="17"/>
          </w:rPr>
          <w:t>[R001]</w:t>
        </w:r>
      </w:hyperlink>
      <w:r>
        <w:t xml:space="preserve"> · </w:t>
      </w:r>
      <w:hyperlink r:id="rId18">
        <w:r>
          <w:rPr>
            <w:color w:val="126290"/>
            <w:u w:val="single"/>
            <w:sz w:val="17"/>
          </w:rPr>
          <w:t>[R003]</w:t>
        </w:r>
      </w:hyperlink>
      <w:r>
        <w:t xml:space="preserve"> · </w:t>
      </w:r>
      <w:hyperlink r:id="rId26">
        <w:r>
          <w:rPr>
            <w:color w:val="126290"/>
            <w:u w:val="single"/>
            <w:sz w:val="17"/>
          </w:rPr>
          <w:t>[R004]</w:t>
        </w:r>
      </w:hyperlink>
      <w:r>
        <w:t xml:space="preserve"> · </w:t>
      </w:r>
      <w:hyperlink r:id="rId40">
        <w:r>
          <w:rPr>
            <w:color w:val="126290"/>
            <w:u w:val="single"/>
            <w:sz w:val="17"/>
          </w:rPr>
          <w:t>[R027]</w:t>
        </w:r>
      </w:hyperlink>
      <w:r>
        <w:t xml:space="preserve"> · </w:t>
      </w:r>
      <w:hyperlink r:id="rId51">
        <w:r>
          <w:rPr>
            <w:color w:val="126290"/>
            <w:u w:val="single"/>
            <w:sz w:val="17"/>
          </w:rPr>
          <w:t>[R028]</w:t>
        </w:r>
      </w:hyperlink>
      <w:r>
        <w:t xml:space="preserve"> · </w:t>
      </w:r>
      <w:hyperlink r:id="rId57">
        <w:r>
          <w:rPr>
            <w:color w:val="126290"/>
            <w:u w:val="single"/>
            <w:sz w:val="17"/>
          </w:rPr>
          <w:t>[R030]</w:t>
        </w:r>
      </w:hyperlink>
      <w:r>
        <w:t xml:space="preserve"> · </w:t>
      </w:r>
      <w:hyperlink r:id="rId42">
        <w:r>
          <w:rPr>
            <w:color w:val="126290"/>
            <w:u w:val="single"/>
            <w:sz w:val="17"/>
          </w:rPr>
          <w:t>[R036]</w:t>
        </w:r>
      </w:hyperlink>
      <w:r>
        <w:t xml:space="preserve"> · </w:t>
      </w:r>
      <w:hyperlink r:id="rId50">
        <w:r>
          <w:rPr>
            <w:color w:val="126290"/>
            <w:u w:val="single"/>
            <w:sz w:val="17"/>
          </w:rPr>
          <w:t>[R050]</w:t>
        </w:r>
      </w:hyperlink>
      <w:r>
        <w:t xml:space="preserve"> · </w:t>
      </w:r>
      <w:hyperlink r:id="rId61">
        <w:r>
          <w:rPr>
            <w:color w:val="126290"/>
            <w:u w:val="single"/>
            <w:sz w:val="17"/>
          </w:rPr>
          <w:t>[R051]</w:t>
        </w:r>
      </w:hyperlink>
      <w:r>
        <w:t xml:space="preserve"> · </w:t>
      </w:r>
      <w:hyperlink r:id="rId62">
        <w:r>
          <w:rPr>
            <w:color w:val="126290"/>
            <w:u w:val="single"/>
            <w:sz w:val="17"/>
          </w:rPr>
          <w:t>[R052]</w:t>
        </w:r>
      </w:hyperlink>
    </w:p>
    <w:p>
      <w:r>
        <w:t>Защищённые и каталожные варианты. Издания Marmura, McGinnis, Inati, Morewedge, Butterworth, Walzer, Rahman и Gohlman не исключены. Для них остаются внешняя ссылка, библиографическая карточка, покупка, preview или обращение к библиотеке. Каталожная запись не подтверждает удалённую выдачу, наличие свободного абонемента или право скачивания. Регистрация, покупка, запросы правообладателям и реальная выдача в этом исследовании не выполнялись.</w:t>
      </w:r>
    </w:p>
    <w:p>
      <w:r>
        <w:t>OCR, публичный индекс и embeddings оцениваются отдельно. Положительные теги для свободно маркированных факсимиле и открытых текстов означают вывод из установленного статуса или лицензии в указанном scope; это не отдельное заявление учреждения об одобрении обучения моделей. Для прочих изданий такие теги не поставлены. Техническая возможность извлечь текст не превращается в правовое разрешение.</w:t>
      </w:r>
    </w:p>
    <w:p>
      <w:r>
        <w:t>Собственный перевод ToS возможен прежде всего с указанного исторического арабского, персидского или латинского свидетеля либо открытой арабской редакции. Перевод персидской метафизики Ishārāt является переводом этой версии, а перевод латинского фрагмента Canon — только этого латинского фрагмента. Современный защищённый перевод-посредник не принят за чистый исходный слой.</w:t>
      </w:r>
    </w:p>
    <w:p>
      <w:pPr>
        <w:pStyle w:val="Heading1"/>
      </w:pPr>
      <w:r>
        <w:t>5. Характерные правовые и текстологические тонкости</w:t>
      </w:r>
    </w:p>
    <w:p>
      <w:r>
        <w:t>Смешанные компоненты. В OPenn изображения и их историческое содержание отмечены Public Domain, тогда как каталогизация имеет CC BY 4.0. Поэтому MIRROR_OK для изображений и MIRROR_WITH_ATTRIBUTION для метаданных стоят рядом, но не сливаются в одну лицензию. Аналогично TEI-описание, фотография и расшифровка текста — разные цифровые объекты.</w:t>
      </w:r>
      <w:r>
        <w:t xml:space="preserve">  </w:t>
      </w:r>
      <w:hyperlink r:id="rId60">
        <w:r>
          <w:rPr>
            <w:color w:val="126290"/>
            <w:u w:val="single"/>
            <w:sz w:val="17"/>
          </w:rPr>
          <w:t>[R049]</w:t>
        </w:r>
      </w:hyperlink>
    </w:p>
    <w:p>
      <w:r>
        <w:t>Юрисдикция. Gutenberg сообщает статус для США; NLI отдельно предупреждает о применимости национального права; SIEPM формулирует исследовательские условия и необходимость учитывать местное законодательство. Ни один из этих случаев не превращён в безусловное глобальное разрешение. Само отсутствие планов продажи найденных книг не снимает ограничения.</w:t>
      </w:r>
      <w:r>
        <w:t xml:space="preserve">  </w:t>
      </w:r>
      <w:hyperlink r:id="rId66">
        <w:r>
          <w:rPr>
            <w:color w:val="126290"/>
            <w:u w:val="single"/>
            <w:sz w:val="17"/>
          </w:rPr>
          <w:t>[R047]</w:t>
        </w:r>
      </w:hyperlink>
      <w:r>
        <w:t xml:space="preserve"> · </w:t>
      </w:r>
      <w:hyperlink r:id="rId42">
        <w:r>
          <w:rPr>
            <w:color w:val="126290"/>
            <w:u w:val="single"/>
            <w:sz w:val="17"/>
          </w:rPr>
          <w:t>[R036]</w:t>
        </w:r>
      </w:hyperlink>
      <w:r>
        <w:t xml:space="preserve"> · </w:t>
      </w:r>
      <w:hyperlink r:id="rId67">
        <w:r>
          <w:rPr>
            <w:color w:val="126290"/>
            <w:u w:val="single"/>
            <w:sz w:val="17"/>
          </w:rPr>
          <w:t>[R050]</w:t>
        </w:r>
      </w:hyperlink>
    </w:p>
    <w:p>
      <w:r>
        <w:t>Век оригинала, век копии, год редакции. Add MS 16659 датирован 1182 AH / 1768–1769, а не XII веком нашей эры. Отменённая дата 1680 в колофоне описана каталогом отдельно. Современная книга может печатать древний текст, но сохранять защищённые редакторские элементы. Такая разница особенно существенна для критических изданий Shifāʾ и комментариев.</w:t>
      </w:r>
      <w:r>
        <w:t xml:space="preserve">  </w:t>
      </w:r>
      <w:hyperlink r:id="rId14">
        <w:r>
          <w:rPr>
            <w:color w:val="126290"/>
            <w:u w:val="single"/>
            <w:sz w:val="17"/>
          </w:rPr>
          <w:t>[R046]</w:t>
        </w:r>
      </w:hyperlink>
      <w:r>
        <w:t xml:space="preserve"> · </w:t>
      </w:r>
      <w:hyperlink r:id="rId27">
        <w:r>
          <w:rPr>
            <w:color w:val="126290"/>
            <w:u w:val="single"/>
            <w:sz w:val="17"/>
          </w:rPr>
          <w:t>[R008]</w:t>
        </w:r>
      </w:hyperlink>
      <w:r>
        <w:t xml:space="preserve"> · </w:t>
      </w:r>
      <w:hyperlink r:id="rId57">
        <w:r>
          <w:rPr>
            <w:color w:val="126290"/>
            <w:u w:val="single"/>
            <w:sz w:val="17"/>
          </w:rPr>
          <w:t>[R030]</w:t>
        </w:r>
      </w:hyperlink>
    </w:p>
    <w:p>
      <w:r>
        <w:t>Полнота. Complete_work_or_corpus для Burhān означает полноту этой книги, не Shifāʾ. Translation_only для Morewedge — метафизический раздел, не весь Dāneš-nāma. Single_witness у QDL — один поздний свидетель, а не реконструкция авторского оригинала. Для библиотечных карточек без цифрового текста указано metadata_only; библиографическая полнота продаваемого или хранимого тома оговаривается отдельно.</w:t>
      </w:r>
    </w:p>
    <w:p>
      <w:r>
        <w:t>Уровень технической проверки. Открытие карточки, проверка лицензии, наличие кнопки загрузки и получение файла — разные события. Многие PDF не получены из-за ошибок инструмента либо не скачивались целиком; 3-гигабайтный пакет QDL не загружался. Все листы рукописей не коллированы. Поэтому отчёт не утверждает постраничную исправность каждого файла и не использует поисковый сниппет как доказательство полноты.</w:t>
      </w:r>
    </w:p>
    <w:p>
      <w:pPr>
        <w:pStyle w:val="Heading1"/>
      </w:pPr>
      <w:r>
        <w:t>6. Пробелы и дальнейший поиск</w:t>
      </w:r>
    </w:p>
    <w:p>
      <w:r>
        <w:t>Лист gaps содержит 30 конкретных позиций, а не перечень «несуществующих» текстов. Полный цифровой вход не установлен для некоторых частей Shifāʾ и арабского Taḥṣīl. Часть объектов уже доступна внутри большого кодекса, но не получила полноценной item-level проверки. Неудачное открытие ссылки не равнозначно отсутствию книги.</w:t>
      </w:r>
    </w:p>
    <w:p>
      <w:r>
        <w:t>Главные отказы доступа: Bodleian/Fihrist — Pococke 124, Clarke Or. 19 и Arab. d. 84; отдельные НЭБ-записи русских переводов Ибн Сины; Dieterici 1890 и Theology 1882; LOC Kitāb al-Majmūʿ; некоторые ACO-тома; Avicenn@, Malek 1085 и Heirs of Avicenna. У каждого случая сохранён адрес или идентификатор и задача повторной проверки. Исторические сведения из одного лишь результата поиска не перенесены в основной registry.</w:t>
      </w:r>
    </w:p>
    <w:p>
      <w:pPr>
        <w:pStyle w:val="Heading2"/>
      </w:pPr>
      <w:r>
        <w:t>Восемь приоритетных продолжений</w:t>
      </w:r>
    </w:p>
    <w:p>
      <w:r>
        <w:rPr>
          <w:b/>
        </w:rPr>
        <w:t>1. Закрыть карту Shifāʾ (G001, G018–G020).</w:t>
      </w:r>
      <w:r>
        <w:t xml:space="preserve"> Искать каждую отсутствующую книгу по арабскому заглавию, имени редактора и номеру тома. Отдельно проверить Avicenn@, рукопись Malek 1085 и точные OpenITI URI. Не считать портал или каталог полного собрания полным цифровым корпусом.</w:t>
      </w:r>
    </w:p>
    <w:p>
      <w:r>
        <w:rPr>
          <w:b/>
        </w:rPr>
        <w:t>2. Восстановить три исходных рукописных маршрута (G002–G004).</w:t>
      </w:r>
      <w:r>
        <w:t xml:space="preserve"> Повторно открыть Fihrist и Bodleian по shelfmark; установить актуальные item-level страницы, доступность изображений, IIIF и права на конкретный объект. Сохранять дату свидетеля отдельно от даты текста.</w:t>
      </w:r>
    </w:p>
    <w:p>
      <w:r>
        <w:rPr>
          <w:b/>
        </w:rPr>
        <w:t>3. Завершить малые трактаты и переводы (G005–G008).</w:t>
      </w:r>
      <w:r>
        <w:t xml:space="preserve"> Проверить Kennedy-Day, Goichon, Fackenheim и Mehren у издателей и в университетских библиотеках; отдельно найти официальные маршруты к Logic и Mysticism Inati. У рукописей ʿIshq и Ḥudūd свободный исходный слой уже есть — пробел касается научных версий.</w:t>
      </w:r>
    </w:p>
    <w:p>
      <w:r>
        <w:rPr>
          <w:b/>
        </w:rPr>
        <w:t>4. Русские и ранние фарабийские издания (G009–G014).</w:t>
      </w:r>
      <w:r>
        <w:t xml:space="preserve"> Вернуться к НЭБ/национальным каталогам по полным выходным данным, а не только заглавию. Проверить «Книгу знания» 1957 года, московский сборник Ибн Сины 1980 года, Dieterici, Kitāb al-Majmūʿ, Manṭiqiyyāt и библиографию Anawati. Каталожный доступ сохранить даже без полного файла.</w:t>
      </w:r>
    </w:p>
    <w:p>
      <w:r>
        <w:rPr>
          <w:b/>
        </w:rPr>
        <w:t>5. Углубить входящие трансмиссии (G015–G017).</w:t>
      </w:r>
      <w:r>
        <w:t xml:space="preserve"> Найти проверенный арабский Theology of Aristotle и конкретный комментарий Ибн Сины к нему; открыть Pollack 1913 с De interpretatione Исхака ибн Хунайна. Современный арабский De anima не заменяет реконструкцию средневековой переводческой линии.</w:t>
      </w:r>
    </w:p>
    <w:p>
      <w:r>
        <w:rPr>
          <w:b/>
        </w:rPr>
        <w:t>6. Завершить ближайшую рецепцию (G021–G025).</w:t>
      </w:r>
      <w:r>
        <w:t xml:space="preserve"> Найти арабский Taḥṣīl, официальный файл или научное издание Tahāfut al-tahāfut, цифровые еврейские переводы Maqāṣid и связанный комментарийный материал. Прямую передачу Ishārāt / Todros Todrosi сначала подтвердить академически; статус unverified_candidate не снимать по одному совпадению имени.</w:t>
      </w:r>
    </w:p>
    <w:p>
      <w:r>
        <w:rPr>
          <w:b/>
        </w:rPr>
        <w:t>7. Разобрать доступный QDL-пакет без раздувания реестра (G026–G029).</w:t>
      </w:r>
      <w:r>
        <w:t xml:space="preserve"> Проверить листы Najāt, автобиографии и Fihrist Джузджани, Aḍḥawiyya, комментариев к Ṭayr, переписки с Бируни и других самостоятельных текстов. У Manāmiyya расходится атрибуция между уровнями каталога. Для Ḥayy Ибн Туфайля документировать конкретную связь, а не опираться на одинаковое название.</w:t>
      </w:r>
    </w:p>
    <w:p>
      <w:r>
        <w:rPr>
          <w:b/>
        </w:rPr>
        <w:t>8. Проверить дополнительные права и пригодность файлов (G030 и отмеченные verification_status).</w:t>
      </w:r>
      <w:r>
        <w:t xml:space="preserve"> Найти item-level OA-лицензию Cornell, повторно получить PDF открытых Aghrāḍ и Shukūk, проверить исключения сторонних материалов и целостность нужных файлов. Для SIEPM и национальных PD-заявлений уточнить применимость к предполагаемому публичному использованию ToS.</w:t>
      </w:r>
    </w:p>
    <w:p>
      <w:pPr>
        <w:pStyle w:val="Heading1"/>
      </w:pPr>
      <w:r>
        <w:t>7. Итоговая оценка</w:t>
      </w:r>
    </w:p>
    <w:p>
      <w:r>
        <w:t>Покрытие ядра — содержательно широкое, но не исчерпывающее. Для основных сумм Ибн Сины и центральных фарабийских заглавий сохранён как минимум конкретный доступ или библиографический маршрут; недостаток полного текста обозначен отдельно. Более поздние комментарии не исключены по дате. Греко-арабский входящий слой и еврейская передача пока покрыты заметно слабее.</w:t>
      </w:r>
    </w:p>
    <w:p>
      <w:r>
        <w:t>Оригиналы доступны неравномерно: сильнее всего свободные исторические арабские и персидские факсимиле, слабее — полная современная критическая редакция больших сумм. Английские и французские научные переводы хорошо идентифицированы, но часто защищены; русские цифровые маршруты требуют продолжения. Наиболее свободный современный текстовый слой — Aghrāḍ и Shukūk, с разными условиями атрибуции и NC.</w:t>
      </w:r>
    </w:p>
    <w:p>
      <w:r>
        <w:t>Пакет пригоден для передачи Codex как исследовательский реестр: стабильные локальные ID, URL, отдельные поля прав, реальное покрытие, ограниченные теги действий и конкретные gaps. Это не разрешение на автоматическое зеркалирование всех 55 записей и не готовый нормализованный корпус. Первым практическим шагом может быть небольшая публикация из проверенных свободных свидетелей и открытых текстов с сохранением происхождения и лицензии; остальные материалы остаются законными внешними путями доступа.</w:t>
      </w:r>
    </w:p>
    <w:p>
      <w:r>
        <w:t>Состав поставки: один DOCX-отчёт и один XLSX с листами registry и gaps. Исходный DR не изменён.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T2-10  •  04.09.2026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D7B89"/>
        <w:sz w:val="16"/>
      </w:rPr>
      <w:t>ДРЕВО СОФИИ  /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DejaVu Sans" w:hAnsi="DejaVu Sans"/>
      <w:color w:val="2636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5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5D6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735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color w:val="1735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DejaVu Sans" w:hAnsi="DejaVu Sans"/>
      <w:i/>
      <w:iCs/>
      <w:color w:val="5166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ellcomecollection.org/works/n94uwhrk" TargetMode="External"/><Relationship Id="rId12" Type="http://schemas.openxmlformats.org/officeDocument/2006/relationships/hyperlink" Target="https://www.jstor.org/content/oa_book_monograph/10.1163/j.ctv2gjwxrx" TargetMode="External"/><Relationship Id="rId13" Type="http://schemas.openxmlformats.org/officeDocument/2006/relationships/hyperlink" Target="https://digibug.ugr.es/handle/10481/65926" TargetMode="External"/><Relationship Id="rId14" Type="http://schemas.openxmlformats.org/officeDocument/2006/relationships/hyperlink" Target="https://www.qdl.qa/en/archive/81055/vdc_100000001517.0x000093" TargetMode="External"/><Relationship Id="rId15" Type="http://schemas.openxmlformats.org/officeDocument/2006/relationships/hyperlink" Target="https://openiti.org/documentation/" TargetMode="External"/><Relationship Id="rId16" Type="http://schemas.openxmlformats.org/officeDocument/2006/relationships/hyperlink" Target="https://sites.dlib.nyu.edu/viewer/books/auc_aco001058/1" TargetMode="External"/><Relationship Id="rId17" Type="http://schemas.openxmlformats.org/officeDocument/2006/relationships/hyperlink" Target="https://sites.dlib.nyu.edu/viewer/books/nyu_aco000417/1" TargetMode="External"/><Relationship Id="rId18" Type="http://schemas.openxmlformats.org/officeDocument/2006/relationships/hyperlink" Target="https://sites.dlib.nyu.edu/viewer/books/columbia_aco003424/1" TargetMode="External"/><Relationship Id="rId19" Type="http://schemas.openxmlformats.org/officeDocument/2006/relationships/hyperlink" Target="https://sites.dlib.nyu.edu/viewer/books/aub_aco002844/1" TargetMode="External"/><Relationship Id="rId20" Type="http://schemas.openxmlformats.org/officeDocument/2006/relationships/hyperlink" Target="https://bpl.bibliocommons.com/v2/record/S75C2191678" TargetMode="External"/><Relationship Id="rId21" Type="http://schemas.openxmlformats.org/officeDocument/2006/relationships/hyperlink" Target="https://bookstore.zaytuna.edu/products/alfarabi-book-of-letters-kitab-al-haruf" TargetMode="External"/><Relationship Id="rId22" Type="http://schemas.openxmlformats.org/officeDocument/2006/relationships/hyperlink" Target="https://www.cambridge.org/core/books/abs/medieval-islamic-philosophical-writings/alfarabi-the-book-of-letters/50DDA7F5C5314917FFFBA532530E579A" TargetMode="External"/><Relationship Id="rId23" Type="http://schemas.openxmlformats.org/officeDocument/2006/relationships/hyperlink" Target="https://ci.nii.ac.jp/ncid/BA4442313X" TargetMode="External"/><Relationship Id="rId24" Type="http://schemas.openxmlformats.org/officeDocument/2006/relationships/hyperlink" Target="https://www.jstor.org/stable/10.7591/j.ctt20d88x0" TargetMode="External"/><Relationship Id="rId25" Type="http://schemas.openxmlformats.org/officeDocument/2006/relationships/hyperlink" Target="https://www.jstor.org/stable/10.7591/j.ctt20d89dq" TargetMode="External"/><Relationship Id="rId26" Type="http://schemas.openxmlformats.org/officeDocument/2006/relationships/hyperlink" Target="https://sites.dlib.nyu.edu/viewer/books/columbia_aco003324/1" TargetMode="External"/><Relationship Id="rId27" Type="http://schemas.openxmlformats.org/officeDocument/2006/relationships/hyperlink" Target="https://press.uchicago.edu/ucp/books/book/distributed/M/bo3622795.html" TargetMode="External"/><Relationship Id="rId28" Type="http://schemas.openxmlformats.org/officeDocument/2006/relationships/hyperlink" Target="https://cup.columbia.edu/book/ibn-sinas-remarks-and-admonitions-physics-and-metaphysics/9780231537421/" TargetMode="External"/><Relationship Id="rId29" Type="http://schemas.openxmlformats.org/officeDocument/2006/relationships/hyperlink" Target="https://nes.princeton.edu/publications/deliverance-logic" TargetMode="External"/><Relationship Id="rId30" Type="http://schemas.openxmlformats.org/officeDocument/2006/relationships/hyperlink" Target="https://www.routledge.com/The-Metaphysica-of-Avicenna-ibn-Sina-A-critical-translation-commentary/Morewedge/p/book/9781138947375" TargetMode="External"/><Relationship Id="rId31" Type="http://schemas.openxmlformats.org/officeDocument/2006/relationships/hyperlink" Target="https://wellcomecollection.org/works/ytxdn83q" TargetMode="External"/><Relationship Id="rId32" Type="http://schemas.openxmlformats.org/officeDocument/2006/relationships/hyperlink" Target="https://press.uchicago.edu/ucp/books/book/distributed/P/bo10581412.html" TargetMode="External"/><Relationship Id="rId33" Type="http://schemas.openxmlformats.org/officeDocument/2006/relationships/hyperlink" Target="https://wellcomecollection.org/works/g9jzxtmj" TargetMode="External"/><Relationship Id="rId34" Type="http://schemas.openxmlformats.org/officeDocument/2006/relationships/hyperlink" Target="https://www.qdl.qa/en/archive/81055/vdc_100148048612.0x00000d" TargetMode="External"/><Relationship Id="rId35" Type="http://schemas.openxmlformats.org/officeDocument/2006/relationships/hyperlink" Target="https://www.qdl.qa/en/archive/81055/vdc_100148048612.0x000008" TargetMode="External"/><Relationship Id="rId36" Type="http://schemas.openxmlformats.org/officeDocument/2006/relationships/hyperlink" Target="https://www.qdl.qa/en/archive/81055/vdc_100148048612.0x00000e" TargetMode="External"/><Relationship Id="rId37" Type="http://schemas.openxmlformats.org/officeDocument/2006/relationships/hyperlink" Target="https://www.lesbelleslettres.com/livre/9782251356068/livre-de-science" TargetMode="External"/><Relationship Id="rId38" Type="http://schemas.openxmlformats.org/officeDocument/2006/relationships/hyperlink" Target="https://sites.dlib.nyu.edu/viewer/books/columbia_aco000298/1" TargetMode="External"/><Relationship Id="rId39" Type="http://schemas.openxmlformats.org/officeDocument/2006/relationships/hyperlink" Target="https://sites.dlib.nyu.edu/viewer/books/columbia_aco003814/1" TargetMode="External"/><Relationship Id="rId40" Type="http://schemas.openxmlformats.org/officeDocument/2006/relationships/hyperlink" Target="https://archive.org/details/McGillLibrary-119164-1458" TargetMode="External"/><Relationship Id="rId41" Type="http://schemas.openxmlformats.org/officeDocument/2006/relationships/hyperlink" Target="https://search.worldcat.org/title/The-life-of-Ibn-Sina/oclc/940316191" TargetMode="External"/><Relationship Id="rId42" Type="http://schemas.openxmlformats.org/officeDocument/2006/relationships/hyperlink" Target="https://www.nli.org.il/ar/books/NNL_ALEPH990018571810205171/NLI" TargetMode="External"/><Relationship Id="rId43" Type="http://schemas.openxmlformats.org/officeDocument/2006/relationships/hyperlink" Target="https://www.qdl.qa/en/archive/81055/vdc_100148048612.0x000003" TargetMode="External"/><Relationship Id="rId44" Type="http://schemas.openxmlformats.org/officeDocument/2006/relationships/hyperlink" Target="https://www.qdl.qa/en/archive/81055/vdc_100148048612.0x00002b" TargetMode="External"/><Relationship Id="rId45" Type="http://schemas.openxmlformats.org/officeDocument/2006/relationships/hyperlink" Target="https://www.qdl.qa/en/archive/81055/vdc_100148048612.0x000009" TargetMode="External"/><Relationship Id="rId46" Type="http://schemas.openxmlformats.org/officeDocument/2006/relationships/hyperlink" Target="https://www.qdl.qa/en/archive/81055/vdc_100148048612.0x00000a" TargetMode="External"/><Relationship Id="rId47" Type="http://schemas.openxmlformats.org/officeDocument/2006/relationships/hyperlink" Target="https://www.qdl.qa/en/archive/81055/vdc_100148048612.0x000004" TargetMode="External"/><Relationship Id="rId48" Type="http://schemas.openxmlformats.org/officeDocument/2006/relationships/hyperlink" Target="https://www.gutenberg.org/ebooks/58186" TargetMode="External"/><Relationship Id="rId49" Type="http://schemas.openxmlformats.org/officeDocument/2006/relationships/hyperlink" Target="https://sites.dlib.nyu.edu/viewer/books/nyu_aco000403/1?embed=1&amp;lang=ar" TargetMode="External"/><Relationship Id="rId50" Type="http://schemas.openxmlformats.org/officeDocument/2006/relationships/hyperlink" Target="https://drive.google.com/file/d/16FDhHZpPEJSLdWR7syzZ_btzN4e3emR9/view?usp=drive_copy" TargetMode="External"/><Relationship Id="rId51" Type="http://schemas.openxmlformats.org/officeDocument/2006/relationships/hyperlink" Target="https://archive.org/details/McGillLibrary-118540-1395" TargetMode="External"/><Relationship Id="rId52" Type="http://schemas.openxmlformats.org/officeDocument/2006/relationships/hyperlink" Target="https://www.qdl.qa/en/archive/81055/vdc_100148048612.0x000005" TargetMode="External"/><Relationship Id="rId53" Type="http://schemas.openxmlformats.org/officeDocument/2006/relationships/hyperlink" Target="https://sites.dlib.nyu.edu/viewer/books/princeton_aco000636/1" TargetMode="External"/><Relationship Id="rId54" Type="http://schemas.openxmlformats.org/officeDocument/2006/relationships/hyperlink" Target="https://sites.dlib.nyu.edu/viewer/books/columbia_aco001880/1" TargetMode="External"/><Relationship Id="rId55" Type="http://schemas.openxmlformats.org/officeDocument/2006/relationships/hyperlink" Target="https://sites.dlib.nyu.edu/viewer/books/auc_aco000084/1?embed=1&amp;lang=ar" TargetMode="External"/><Relationship Id="rId56" Type="http://schemas.openxmlformats.org/officeDocument/2006/relationships/hyperlink" Target="https://sites.dlib.nyu.edu/viewer/books/nyu_aco001625/1" TargetMode="External"/><Relationship Id="rId57" Type="http://schemas.openxmlformats.org/officeDocument/2006/relationships/hyperlink" Target="https://archive.org/details/McGillLibrary-119259-1467" TargetMode="External"/><Relationship Id="rId58" Type="http://schemas.openxmlformats.org/officeDocument/2006/relationships/hyperlink" Target="https://press.uchicago.edu/ucp/books/book/distributed/I/bo3624354.html" TargetMode="External"/><Relationship Id="rId59" Type="http://schemas.openxmlformats.org/officeDocument/2006/relationships/hyperlink" Target="https://wellcomecollection.org/works/wuc2vwty" TargetMode="External"/><Relationship Id="rId60" Type="http://schemas.openxmlformats.org/officeDocument/2006/relationships/hyperlink" Target="https://openn.library.upenn.edu/Data/0001/html/ljs359.html" TargetMode="External"/><Relationship Id="rId61" Type="http://schemas.openxmlformats.org/officeDocument/2006/relationships/hyperlink" Target="https://drive.google.com/file/d/1NIC-Eh9UqyU1f9JY6YhB9ky06sSm6W1B/view?usp=drive_copy" TargetMode="External"/><Relationship Id="rId62" Type="http://schemas.openxmlformats.org/officeDocument/2006/relationships/hyperlink" Target="https://drive.google.com/file/d/16ON1kIa8xfwrBAGcs3DzroaQIjyqMNC_/view?usp=drive_copy" TargetMode="External"/><Relationship Id="rId63" Type="http://schemas.openxmlformats.org/officeDocument/2006/relationships/hyperlink" Target="https://plato.stanford.edu/entries/al-ghazali/" TargetMode="External"/><Relationship Id="rId64" Type="http://schemas.openxmlformats.org/officeDocument/2006/relationships/hyperlink" Target="https://rusneb.ru/catalog/000200_000018_rc_3255099/" TargetMode="External"/><Relationship Id="rId65" Type="http://schemas.openxmlformats.org/officeDocument/2006/relationships/hyperlink" Target="https://wellcomecollection.org/works/zwa46tqt" TargetMode="External"/><Relationship Id="rId66" Type="http://schemas.openxmlformats.org/officeDocument/2006/relationships/hyperlink" Target="https://www.gutenberg.org/cache/epub/58186/pg58186-images.html" TargetMode="External"/><Relationship Id="rId67" Type="http://schemas.openxmlformats.org/officeDocument/2006/relationships/hyperlink" Target="https://siepm-digitalresources.bc.edu/boo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T2-10</dc:title>
  <dc:subject>Falsafa и авиценновский синтез: доступ, версии и права</dc:subject>
  <dc:creator>ToS / Древо Софии</dc:creator>
  <cp:keywords>T2-10; corpus; rights; al-Farabi; Avicenna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