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51"/>
      </w:tblGrid>
      <w:tr>
        <w:tc>
          <w:tcPr>
            <w:tcW w:type="dxa" w:w="9752"/>
            <w:shd w:fill="0B4F5C"/>
            <w:tcMar>
              <w:top w:w="280" w:type="dxa"/>
              <w:start w:w="260" w:type="dxa"/>
              <w:bottom w:w="280" w:type="dxa"/>
              <w:end w:w="260" w:type="dxa"/>
            </w:tcMar>
          </w:tcPr>
          <w:p>
            <w:pPr>
              <w:jc w:val="left"/>
            </w:pPr>
            <w:r>
              <w:rPr>
                <w:rFonts w:ascii="Noto Sans" w:hAnsi="Noto Sans"/>
                <w:b/>
                <w:color w:val="FFFFFF"/>
                <w:sz w:val="34"/>
              </w:rPr>
              <w:t>ToS CORPUS &amp; RIGHTS REGISTRY</w:t>
            </w:r>
          </w:p>
          <w:p>
            <w:pPr>
              <w:spacing w:before="240" w:after="80"/>
            </w:pPr>
            <w:r>
              <w:rPr>
                <w:b/>
                <w:color w:val="FFFFFF"/>
                <w:sz w:val="46"/>
              </w:rPr>
              <w:t>A43 — Ранняя Юго-Восточная Азия:</w:t>
              <w:br/>
              <w:t>санскритские и палийские инскрипции</w:t>
            </w:r>
          </w:p>
          <w:p>
            <w:r>
              <w:rPr>
                <w:color w:val="D8EEF0"/>
                <w:sz w:val="23"/>
              </w:rPr>
              <w:t>Отчёт о корпусе, законных путях доступа и практической карте прав</w:t>
            </w:r>
          </w:p>
        </w:tc>
      </w:tr>
    </w:tbl>
    <w:p>
      <w:pPr>
        <w:spacing w:after="0"/>
      </w:pPr>
    </w:p>
    <w:tbl>
      <w:tblPr>
        <w:tblW w:type="auto" w:w="0"/>
        <w:jc w:val="center"/>
        <w:tblLayout w:type="fixed"/>
        <w:tblLook w:firstColumn="1" w:firstRow="1" w:lastColumn="0" w:lastRow="0" w:noHBand="0" w:noVBand="1" w:val="04A0"/>
        <w:tbl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blBorders>
      </w:tblPr>
      <w:tblGrid>
        <w:gridCol w:w="2438"/>
        <w:gridCol w:w="2438"/>
        <w:gridCol w:w="2438"/>
        <w:gridCol w:w="2438"/>
      </w:tblGrid>
      <w:tr>
        <w:tc>
          <w:tcPr>
            <w:tcW w:type="dxa" w:w="2381"/>
            <w:shd w:fill="E8F3F4"/>
            <w:tcMar>
              <w:top w:w="150" w:type="dxa"/>
              <w:start w:w="120" w:type="dxa"/>
              <w:bottom w:w="150" w:type="dxa"/>
              <w:end w:w="120" w:type="dxa"/>
            </w:tcMar>
            <w:vAlign w:val="center"/>
          </w:tcPr>
          <w:p>
            <w:pPr>
              <w:jc w:val="center"/>
            </w:pPr>
            <w:r>
              <w:rPr>
                <w:b/>
                <w:color w:val="0B4F5C"/>
                <w:sz w:val="42"/>
              </w:rPr>
              <w:t>63</w:t>
            </w:r>
          </w:p>
          <w:p>
            <w:pPr>
              <w:jc w:val="center"/>
            </w:pPr>
            <w:r>
              <w:rPr>
                <w:color w:val="1F2937"/>
                <w:sz w:val="17"/>
              </w:rPr>
              <w:t>записи доступа</w:t>
            </w:r>
          </w:p>
        </w:tc>
        <w:tc>
          <w:tcPr>
            <w:tcW w:type="dxa" w:w="2381"/>
            <w:shd w:fill="EAF2F8"/>
            <w:tcMar>
              <w:top w:w="150" w:type="dxa"/>
              <w:start w:w="120" w:type="dxa"/>
              <w:bottom w:w="150" w:type="dxa"/>
              <w:end w:w="120" w:type="dxa"/>
            </w:tcMar>
            <w:vAlign w:val="center"/>
          </w:tcPr>
          <w:p>
            <w:pPr>
              <w:jc w:val="center"/>
            </w:pPr>
            <w:r>
              <w:rPr>
                <w:b/>
                <w:color w:val="0B4F5C"/>
                <w:sz w:val="42"/>
              </w:rPr>
              <w:t>28</w:t>
            </w:r>
          </w:p>
          <w:p>
            <w:pPr>
              <w:jc w:val="center"/>
            </w:pPr>
            <w:r>
              <w:rPr>
                <w:color w:val="1F2937"/>
                <w:sz w:val="17"/>
              </w:rPr>
              <w:t>уникальных первичных</w:t>
              <w:br/>
              <w:t>объектов / свидетелей</w:t>
            </w:r>
          </w:p>
        </w:tc>
        <w:tc>
          <w:tcPr>
            <w:tcW w:type="dxa" w:w="2381"/>
            <w:shd w:fill="E8F3F4"/>
            <w:tcMar>
              <w:top w:w="150" w:type="dxa"/>
              <w:start w:w="120" w:type="dxa"/>
              <w:bottom w:w="150" w:type="dxa"/>
              <w:end w:w="120" w:type="dxa"/>
            </w:tcMar>
            <w:vAlign w:val="center"/>
          </w:tcPr>
          <w:p>
            <w:pPr>
              <w:jc w:val="center"/>
            </w:pPr>
            <w:r>
              <w:rPr>
                <w:b/>
                <w:color w:val="0B4F5C"/>
                <w:sz w:val="42"/>
              </w:rPr>
              <w:t>46</w:t>
            </w:r>
          </w:p>
          <w:p>
            <w:pPr>
              <w:jc w:val="center"/>
            </w:pPr>
            <w:r>
              <w:rPr>
                <w:color w:val="1F2937"/>
                <w:sz w:val="17"/>
              </w:rPr>
              <w:t>записей со</w:t>
              <w:br/>
              <w:t>скачиванием</w:t>
            </w:r>
          </w:p>
        </w:tc>
        <w:tc>
          <w:tcPr>
            <w:tcW w:type="dxa" w:w="2381"/>
            <w:shd w:fill="EAF2F8"/>
            <w:tcMar>
              <w:top w:w="150" w:type="dxa"/>
              <w:start w:w="120" w:type="dxa"/>
              <w:bottom w:w="150" w:type="dxa"/>
              <w:end w:w="120" w:type="dxa"/>
            </w:tcMar>
            <w:vAlign w:val="center"/>
          </w:tcPr>
          <w:p>
            <w:pPr>
              <w:jc w:val="center"/>
            </w:pPr>
            <w:r>
              <w:rPr>
                <w:b/>
                <w:color w:val="0B4F5C"/>
                <w:sz w:val="42"/>
              </w:rPr>
              <w:t>20</w:t>
            </w:r>
          </w:p>
          <w:p>
            <w:pPr>
              <w:jc w:val="center"/>
            </w:pPr>
            <w:r>
              <w:rPr>
                <w:color w:val="1F2937"/>
                <w:sz w:val="17"/>
              </w:rPr>
              <w:t>зафиксированных</w:t>
              <w:br/>
              <w:t>пробелов</w:t>
            </w:r>
          </w:p>
        </w:tc>
      </w:tr>
    </w:tbl>
    <w:p/>
    <w:p>
      <w:pPr>
        <w:spacing w:after="160"/>
      </w:pPr>
      <w:r>
        <w:rPr>
          <w:b/>
        </w:rPr>
        <w:t xml:space="preserve">Проверено: </w:t>
      </w:r>
      <w:r>
        <w:t xml:space="preserve">3 сентября 2026 года. </w:t>
      </w:r>
      <w:r>
        <w:rPr>
          <w:b/>
        </w:rPr>
        <w:t xml:space="preserve">Исходный статус строки: </w:t>
      </w:r>
      <w:r>
        <w:t xml:space="preserve">B; исходная уверенность 3/5. </w:t>
      </w:r>
      <w:r>
        <w:t>Пакет предназначен для публичного исследовательского и образовательного проекта ToS и не является юридическим заключением.</w:t>
      </w:r>
    </w:p>
    <w:tbl>
      <w:tblPr>
        <w:tblW w:type="auto" w:w="0"/>
        <w:jc w:val="center"/>
        <w:tblLook w:firstColumn="1" w:firstRow="1" w:lastColumn="0" w:lastRow="0" w:noHBand="0" w:noVBand="1" w:val="04A0"/>
      </w:tblPr>
      <w:tblGrid>
        <w:gridCol w:w="9752"/>
      </w:tblGrid>
      <w:tr>
        <w:tc>
          <w:tcPr>
            <w:tcW w:type="dxa" w:w="9752"/>
            <w:shd w:fill="F4F6F7"/>
            <w:tcMar>
              <w:top w:w="130" w:type="dxa"/>
              <w:start w:w="180" w:type="dxa"/>
              <w:bottom w:w="130" w:type="dxa"/>
              <w:end w:w="180" w:type="dxa"/>
            </w:tcMar>
          </w:tcPr>
          <w:p>
            <w:r>
              <w:rPr>
                <w:b/>
                <w:color w:val="0B4F5C"/>
              </w:rPr>
              <w:t xml:space="preserve">Структура: </w:t>
            </w:r>
            <w:r>
              <w:t>1. Паспорт  ·  2. Охват корпуса  ·  3. Лучшие пути доступа  ·  4. Карта прав  ·  5. Правовые тонкости  ·  6. Пробелы  ·  7. Итоговая оценка</w:t>
            </w:r>
          </w:p>
        </w:tc>
      </w:tr>
    </w:tbl>
    <w:p>
      <w:r>
        <w:br w:type="page"/>
      </w:r>
    </w:p>
    <w:p>
      <w:pPr>
        <w:pStyle w:val="Heading1"/>
      </w:pPr>
      <w:r>
        <w:t>1. Паспорт</w:t>
      </w:r>
    </w:p>
    <w:tbl>
      <w:tblPr>
        <w:tblW w:type="auto" w:w="0"/>
        <w:jc w:val="center"/>
        <w:tblLayout w:type="fixed"/>
        <w:tblLook w:firstColumn="1" w:firstRow="1" w:lastColumn="0" w:lastRow="0" w:noHBand="0" w:noVBand="1" w:val="04A0"/>
        <w:tblBorders>
          <w:top w:val="single" w:sz="4" w:space="0" w:color="D7E2E5"/>
          <w:left w:val="single" w:sz="4" w:space="0" w:color="D7E2E5"/>
          <w:bottom w:val="single" w:sz="4" w:space="0" w:color="D7E2E5"/>
          <w:right w:val="single" w:sz="4" w:space="0" w:color="D7E2E5"/>
          <w:insideH w:val="single" w:sz="4" w:space="0" w:color="D7E2E5"/>
          <w:insideV w:val="single" w:sz="4" w:space="0" w:color="D7E2E5"/>
        </w:tblBorders>
      </w:tblPr>
      <w:tblGrid>
        <w:gridCol w:w="2381"/>
        <w:gridCol w:w="7200"/>
      </w:tblGrid>
      <w:tr>
        <w:trPr>
          <w:tblHeader w:val="true"/>
        </w:trPr>
        <w:tc>
          <w:tcPr>
            <w:tcW w:type="dxa" w:w="4876"/>
            <w:shd w:fill="0B4F5C"/>
            <w:tcMar>
              <w:top w:w="80" w:type="dxa"/>
              <w:start w:w="90" w:type="dxa"/>
              <w:bottom w:w="80" w:type="dxa"/>
              <w:end w:w="90" w:type="dxa"/>
            </w:tcMar>
          </w:tcPr>
          <w:p>
            <w:r>
              <w:rPr>
                <w:b/>
                <w:color w:val="FFFFFF"/>
                <w:sz w:val="18"/>
              </w:rPr>
              <w:t>Поле</w:t>
            </w:r>
          </w:p>
        </w:tc>
        <w:tc>
          <w:tcPr>
            <w:tcW w:type="dxa" w:w="4876"/>
            <w:shd w:fill="0B4F5C"/>
            <w:tcMar>
              <w:top w:w="80" w:type="dxa"/>
              <w:start w:w="90" w:type="dxa"/>
              <w:bottom w:w="80" w:type="dxa"/>
              <w:end w:w="90" w:type="dxa"/>
            </w:tcMar>
          </w:tcPr>
          <w:p>
            <w:r>
              <w:rPr>
                <w:b/>
                <w:color w:val="FFFFFF"/>
                <w:sz w:val="18"/>
              </w:rPr>
              <w:t>Значение</w:t>
            </w:r>
          </w:p>
        </w:tc>
      </w:tr>
      <w:tr>
        <w:tc>
          <w:tcPr>
            <w:tcW w:type="dxa" w:w="2381"/>
            <w:vAlign w:val="top"/>
            <w:tcMar>
              <w:top w:w="80" w:type="dxa"/>
              <w:start w:w="90" w:type="dxa"/>
              <w:bottom w:w="80" w:type="dxa"/>
              <w:end w:w="90" w:type="dxa"/>
            </w:tcMar>
          </w:tcPr>
          <w:p>
            <w:pPr>
              <w:spacing w:after="30"/>
            </w:pPr>
            <w:r>
              <w:rPr>
                <w:b/>
                <w:color w:val="0B4F5C"/>
                <w:sz w:val="17"/>
              </w:rPr>
              <w:t>ID и название</w:t>
            </w:r>
          </w:p>
        </w:tc>
        <w:tc>
          <w:tcPr>
            <w:tcW w:type="dxa" w:w="7200"/>
            <w:vAlign w:val="top"/>
            <w:tcMar>
              <w:top w:w="80" w:type="dxa"/>
              <w:start w:w="90" w:type="dxa"/>
              <w:bottom w:w="80" w:type="dxa"/>
              <w:end w:w="90" w:type="dxa"/>
            </w:tcMar>
          </w:tcPr>
          <w:p>
            <w:pPr>
              <w:spacing w:after="30"/>
            </w:pPr>
            <w:r>
              <w:rPr>
                <w:sz w:val="17"/>
              </w:rPr>
              <w:t>A43 — Ранняя Юго-Восточная Азия: санскритские и палийские инскрипции</w:t>
            </w:r>
          </w:p>
        </w:tc>
      </w:tr>
      <w:tr>
        <w:tc>
          <w:tcPr>
            <w:tcW w:type="dxa" w:w="2381"/>
            <w:shd w:fill="F4F6F7"/>
            <w:vAlign w:val="top"/>
            <w:tcMar>
              <w:top w:w="80" w:type="dxa"/>
              <w:start w:w="90" w:type="dxa"/>
              <w:bottom w:w="80" w:type="dxa"/>
              <w:end w:w="90" w:type="dxa"/>
            </w:tcMar>
          </w:tcPr>
          <w:p>
            <w:pPr>
              <w:spacing w:after="30"/>
            </w:pPr>
            <w:r>
              <w:rPr>
                <w:b/>
                <w:color w:val="0B4F5C"/>
                <w:sz w:val="17"/>
              </w:rPr>
              <w:t>Исходный статус</w:t>
            </w:r>
          </w:p>
        </w:tc>
        <w:tc>
          <w:tcPr>
            <w:tcW w:type="dxa" w:w="7200"/>
            <w:shd w:fill="F4F6F7"/>
            <w:vAlign w:val="top"/>
            <w:tcMar>
              <w:top w:w="80" w:type="dxa"/>
              <w:start w:w="90" w:type="dxa"/>
              <w:bottom w:w="80" w:type="dxa"/>
              <w:end w:w="90" w:type="dxa"/>
            </w:tcMar>
          </w:tcPr>
          <w:p>
            <w:pPr>
              <w:spacing w:after="30"/>
            </w:pPr>
            <w:r>
              <w:rPr>
                <w:sz w:val="17"/>
              </w:rPr>
              <w:t>B; уверенность 3/5. Статус и границы мастер-строки не изменялись.</w:t>
            </w:r>
          </w:p>
        </w:tc>
      </w:tr>
      <w:tr>
        <w:tc>
          <w:tcPr>
            <w:tcW w:type="dxa" w:w="2381"/>
            <w:vAlign w:val="top"/>
            <w:tcMar>
              <w:top w:w="80" w:type="dxa"/>
              <w:start w:w="90" w:type="dxa"/>
              <w:bottom w:w="80" w:type="dxa"/>
              <w:end w:w="90" w:type="dxa"/>
            </w:tcMar>
          </w:tcPr>
          <w:p>
            <w:pPr>
              <w:spacing w:after="30"/>
            </w:pPr>
            <w:r>
              <w:rPr>
                <w:b/>
                <w:color w:val="0B4F5C"/>
                <w:sz w:val="17"/>
              </w:rPr>
              <w:t>Исходный DR</w:t>
            </w:r>
          </w:p>
        </w:tc>
        <w:tc>
          <w:tcPr>
            <w:tcW w:type="dxa" w:w="7200"/>
            <w:vAlign w:val="top"/>
            <w:tcMar>
              <w:top w:w="80" w:type="dxa"/>
              <w:start w:w="90" w:type="dxa"/>
              <w:bottom w:w="80" w:type="dxa"/>
              <w:end w:w="90" w:type="dxa"/>
            </w:tcMar>
          </w:tcPr>
          <w:p>
            <w:pPr>
              <w:spacing w:after="30"/>
            </w:pPr>
            <w:r>
              <w:rPr>
                <w:sz w:val="17"/>
              </w:rPr>
              <w:t>ToS Deep Research_ A43 — Ранняя Юго-Восточная Азия_ санскритские и палийские инскрипции(1).docx</w:t>
            </w:r>
          </w:p>
        </w:tc>
      </w:tr>
      <w:tr>
        <w:tc>
          <w:tcPr>
            <w:tcW w:type="dxa" w:w="2381"/>
            <w:shd w:fill="F4F6F7"/>
            <w:vAlign w:val="top"/>
            <w:tcMar>
              <w:top w:w="80" w:type="dxa"/>
              <w:start w:w="90" w:type="dxa"/>
              <w:bottom w:w="80" w:type="dxa"/>
              <w:end w:w="90" w:type="dxa"/>
            </w:tcMar>
          </w:tcPr>
          <w:p>
            <w:pPr>
              <w:spacing w:after="30"/>
            </w:pPr>
            <w:r>
              <w:rPr>
                <w:b/>
                <w:color w:val="0B4F5C"/>
                <w:sz w:val="17"/>
              </w:rPr>
              <w:t>Дата проверки</w:t>
            </w:r>
          </w:p>
        </w:tc>
        <w:tc>
          <w:tcPr>
            <w:tcW w:type="dxa" w:w="7200"/>
            <w:shd w:fill="F4F6F7"/>
            <w:vAlign w:val="top"/>
            <w:tcMar>
              <w:top w:w="80" w:type="dxa"/>
              <w:start w:w="90" w:type="dxa"/>
              <w:bottom w:w="80" w:type="dxa"/>
              <w:end w:w="90" w:type="dxa"/>
            </w:tcMar>
          </w:tcPr>
          <w:p>
            <w:pPr>
              <w:spacing w:after="30"/>
            </w:pPr>
            <w:r>
              <w:rPr>
                <w:sz w:val="17"/>
              </w:rPr>
              <w:t>2026-09-03</w:t>
            </w:r>
          </w:p>
        </w:tc>
      </w:tr>
      <w:tr>
        <w:tc>
          <w:tcPr>
            <w:tcW w:type="dxa" w:w="2381"/>
            <w:vAlign w:val="top"/>
            <w:tcMar>
              <w:top w:w="80" w:type="dxa"/>
              <w:start w:w="90" w:type="dxa"/>
              <w:bottom w:w="80" w:type="dxa"/>
              <w:end w:w="90" w:type="dxa"/>
            </w:tcMar>
          </w:tcPr>
          <w:p>
            <w:pPr>
              <w:spacing w:after="30"/>
            </w:pPr>
            <w:r>
              <w:rPr>
                <w:b/>
                <w:color w:val="0B4F5C"/>
                <w:sz w:val="17"/>
              </w:rPr>
              <w:t>Языки поиска</w:t>
            </w:r>
          </w:p>
        </w:tc>
        <w:tc>
          <w:tcPr>
            <w:tcW w:type="dxa" w:w="7200"/>
            <w:vAlign w:val="top"/>
            <w:tcMar>
              <w:top w:w="80" w:type="dxa"/>
              <w:start w:w="90" w:type="dxa"/>
              <w:bottom w:w="80" w:type="dxa"/>
              <w:end w:w="90" w:type="dxa"/>
            </w:tcMar>
          </w:tcPr>
          <w:p>
            <w:pPr>
              <w:spacing w:after="30"/>
            </w:pPr>
            <w:r>
              <w:rPr>
                <w:sz w:val="17"/>
              </w:rPr>
              <w:t>русский, английский, французский, индонезийский, вьетнамский и тайский; санскритские, палийские, кхмерские, чамские и Pyu-названия, варианты транслитерации и каталожные номера.</w:t>
            </w:r>
          </w:p>
        </w:tc>
      </w:tr>
      <w:tr>
        <w:tc>
          <w:tcPr>
            <w:tcW w:type="dxa" w:w="2381"/>
            <w:shd w:fill="F4F6F7"/>
            <w:vAlign w:val="top"/>
            <w:tcMar>
              <w:top w:w="80" w:type="dxa"/>
              <w:start w:w="90" w:type="dxa"/>
              <w:bottom w:w="80" w:type="dxa"/>
              <w:end w:w="90" w:type="dxa"/>
            </w:tcMar>
          </w:tcPr>
          <w:p>
            <w:pPr>
              <w:spacing w:after="30"/>
            </w:pPr>
            <w:r>
              <w:rPr>
                <w:b/>
                <w:color w:val="0B4F5C"/>
                <w:sz w:val="17"/>
              </w:rPr>
              <w:t>Ядро</w:t>
            </w:r>
          </w:p>
        </w:tc>
        <w:tc>
          <w:tcPr>
            <w:tcW w:type="dxa" w:w="7200"/>
            <w:shd w:fill="F4F6F7"/>
            <w:vAlign w:val="top"/>
            <w:tcMar>
              <w:top w:w="80" w:type="dxa"/>
              <w:start w:w="90" w:type="dxa"/>
              <w:bottom w:w="80" w:type="dxa"/>
              <w:end w:w="90" w:type="dxa"/>
            </w:tcMar>
          </w:tcPr>
          <w:p>
            <w:pPr>
              <w:spacing w:after="30"/>
            </w:pPr>
            <w:r>
              <w:rPr>
                <w:sz w:val="17"/>
              </w:rPr>
              <w:t>Võ Cạnh; yūpa Кутая; Таруманагара; Пью; двараватийские ye dhammā; раннеченлинская/раннекхмерская эпиграфика и Sambor Prei Kuk; Đông Yên Châu.</w:t>
            </w:r>
          </w:p>
        </w:tc>
      </w:tr>
      <w:tr>
        <w:tc>
          <w:tcPr>
            <w:tcW w:type="dxa" w:w="2381"/>
            <w:vAlign w:val="top"/>
            <w:tcMar>
              <w:top w:w="80" w:type="dxa"/>
              <w:start w:w="90" w:type="dxa"/>
              <w:bottom w:w="80" w:type="dxa"/>
              <w:end w:w="90" w:type="dxa"/>
            </w:tcMar>
          </w:tcPr>
          <w:p>
            <w:pPr>
              <w:spacing w:after="30"/>
            </w:pPr>
            <w:r>
              <w:rPr>
                <w:b/>
                <w:color w:val="0B4F5C"/>
                <w:sz w:val="17"/>
              </w:rPr>
              <w:t>Типы объектов</w:t>
            </w:r>
          </w:p>
        </w:tc>
        <w:tc>
          <w:tcPr>
            <w:tcW w:type="dxa" w:w="7200"/>
            <w:vAlign w:val="top"/>
            <w:tcMar>
              <w:top w:w="80" w:type="dxa"/>
              <w:start w:w="90" w:type="dxa"/>
              <w:bottom w:w="80" w:type="dxa"/>
              <w:end w:w="90" w:type="dxa"/>
            </w:tcMar>
          </w:tcPr>
          <w:p>
            <w:pPr>
              <w:spacing w:after="30"/>
            </w:pPr>
            <w:r>
              <w:rPr>
                <w:sz w:val="17"/>
              </w:rPr>
              <w:t>произведения/корпусы, физические свидетели, цифровые транскрипции и факсимиле, переводы/издания, datasets/API, каталоги и строго функциональные вторичные навигационные ресурсы.</w:t>
            </w:r>
          </w:p>
        </w:tc>
      </w:tr>
      <w:tr>
        <w:tc>
          <w:tcPr>
            <w:tcW w:type="dxa" w:w="2381"/>
            <w:shd w:fill="F4F6F7"/>
            <w:vAlign w:val="top"/>
            <w:tcMar>
              <w:top w:w="80" w:type="dxa"/>
              <w:start w:w="90" w:type="dxa"/>
              <w:bottom w:w="80" w:type="dxa"/>
              <w:end w:w="90" w:type="dxa"/>
            </w:tcMar>
          </w:tcPr>
          <w:p>
            <w:pPr>
              <w:spacing w:after="30"/>
            </w:pPr>
            <w:r>
              <w:rPr>
                <w:b/>
                <w:color w:val="0B4F5C"/>
                <w:sz w:val="17"/>
              </w:rPr>
              <w:t>Классы источников</w:t>
            </w:r>
          </w:p>
        </w:tc>
        <w:tc>
          <w:tcPr>
            <w:tcW w:type="dxa" w:w="7200"/>
            <w:shd w:fill="F4F6F7"/>
            <w:vAlign w:val="top"/>
            <w:tcMar>
              <w:top w:w="80" w:type="dxa"/>
              <w:start w:w="90" w:type="dxa"/>
              <w:bottom w:w="80" w:type="dxa"/>
              <w:end w:w="90" w:type="dxa"/>
            </w:tcMar>
          </w:tcPr>
          <w:p>
            <w:pPr>
              <w:spacing w:after="30"/>
            </w:pPr>
            <w:r>
              <w:rPr>
                <w:sz w:val="17"/>
              </w:rPr>
              <w:t>DHARMA/CIK/CIC и другие корпусные проекты; национальные музеи и базы; UNESCO; университетские репозитории; Persée, PTS, Brill, MDPI; Zenodo; Wikimedia Commons; The Met; WorldCat.</w:t>
            </w:r>
          </w:p>
        </w:tc>
      </w:tr>
      <w:tr>
        <w:tc>
          <w:tcPr>
            <w:tcW w:type="dxa" w:w="2381"/>
            <w:vAlign w:val="top"/>
            <w:tcMar>
              <w:top w:w="80" w:type="dxa"/>
              <w:start w:w="90" w:type="dxa"/>
              <w:bottom w:w="80" w:type="dxa"/>
              <w:end w:w="90" w:type="dxa"/>
            </w:tcMar>
          </w:tcPr>
          <w:p>
            <w:pPr>
              <w:spacing w:after="30"/>
            </w:pPr>
            <w:r>
              <w:rPr>
                <w:b/>
                <w:color w:val="0B4F5C"/>
                <w:sz w:val="17"/>
              </w:rPr>
              <w:t>Политика слабых источников</w:t>
            </w:r>
          </w:p>
        </w:tc>
        <w:tc>
          <w:tcPr>
            <w:tcW w:type="dxa" w:w="7200"/>
            <w:vAlign w:val="top"/>
            <w:tcMar>
              <w:top w:w="80" w:type="dxa"/>
              <w:start w:w="90" w:type="dxa"/>
              <w:bottom w:w="80" w:type="dxa"/>
              <w:end w:w="90" w:type="dxa"/>
            </w:tcMar>
          </w:tcPr>
          <w:p>
            <w:pPr>
              <w:spacing w:after="30"/>
            </w:pPr>
            <w:r>
              <w:rPr>
                <w:sz w:val="17"/>
              </w:rPr>
              <w:t>Wikipedia и общие агрегаторы использовались лишь как внутренние поисковые указатели. Ни одна ссылка на Wikipedia не перенесена в DOCX или XLSX. Неподтверждённые кандидаты вынесены в gaps.</w:t>
            </w:r>
          </w:p>
        </w:tc>
      </w:tr>
    </w:tbl>
    <w:p>
      <w:pPr>
        <w:pStyle w:val="SmallNote"/>
      </w:pPr>
      <w:r>
        <w:rPr>
          <w:b/>
        </w:rPr>
        <w:t xml:space="preserve">Метод: </w:t>
      </w:r>
      <w:r>
        <w:t>сначала инвентаризировано ядро из DR, затем выполнены отдельные проходы назад и вперёд по конкретным текстовым, эпиграфическим и институциональным связям. Общие тематические сходства без документируемой связи не включались.</w:t>
      </w:r>
    </w:p>
    <w:p>
      <w:pPr>
        <w:pStyle w:val="Heading1"/>
      </w:pPr>
      <w:r>
        <w:t>2. Охват корпуса</w:t>
      </w:r>
    </w:p>
    <w:p>
      <w:r>
        <w:rPr>
          <w:b/>
        </w:rPr>
        <w:t xml:space="preserve">Количественный итог. </w:t>
      </w:r>
      <w:r>
        <w:t>Реестр содержит 63 практически различимых пути доступа. Среди них 32 записи ведут к цифровому тексту, факсимиле или отдельному физическому свидетелю; они представляют 28 различных первичных объектов: 19 объектов ядра, 2 конкретных antecedent-объекта и 7 продолжений. Остальные записи — корпусные инфраструктуры, критические издания, библиотечные входы и точечные навигационные ресурсы. Отдельный лист gaps содержит 20 незакрытых кандидатов и правовых/идентификационных пробелов.</w:t>
      </w:r>
    </w:p>
    <w:tbl>
      <w:tblPr>
        <w:tblW w:type="auto" w:w="0"/>
        <w:jc w:val="center"/>
        <w:tblLayout w:type="fixed"/>
        <w:tblLook w:firstColumn="1" w:firstRow="1" w:lastColumn="0" w:lastRow="0" w:noHBand="0" w:noVBand="1" w:val="04A0"/>
        <w:tblBorders>
          <w:top w:val="single" w:sz="4" w:space="0" w:color="D7E2E5"/>
          <w:left w:val="single" w:sz="4" w:space="0" w:color="D7E2E5"/>
          <w:bottom w:val="single" w:sz="4" w:space="0" w:color="D7E2E5"/>
          <w:right w:val="single" w:sz="4" w:space="0" w:color="D7E2E5"/>
          <w:insideH w:val="single" w:sz="4" w:space="0" w:color="D7E2E5"/>
          <w:insideV w:val="single" w:sz="4" w:space="0" w:color="D7E2E5"/>
        </w:tblBorders>
      </w:tblPr>
      <w:tblGrid>
        <w:gridCol w:w="2324"/>
        <w:gridCol w:w="907"/>
        <w:gridCol w:w="6350"/>
      </w:tblGrid>
      <w:tr>
        <w:trPr>
          <w:tblHeader w:val="true"/>
        </w:trPr>
        <w:tc>
          <w:tcPr>
            <w:tcW w:type="dxa" w:w="3251"/>
            <w:shd w:fill="0B4F5C"/>
          </w:tcPr>
          <w:p>
            <w:r>
              <w:rPr>
                <w:b/>
                <w:color w:val="FFFFFF"/>
                <w:sz w:val="17"/>
              </w:rPr>
              <w:t>Роль</w:t>
            </w:r>
          </w:p>
        </w:tc>
        <w:tc>
          <w:tcPr>
            <w:tcW w:type="dxa" w:w="3251"/>
            <w:shd w:fill="0B4F5C"/>
          </w:tcPr>
          <w:p>
            <w:r>
              <w:rPr>
                <w:b/>
                <w:color w:val="FFFFFF"/>
                <w:sz w:val="17"/>
              </w:rPr>
              <w:t>Записей</w:t>
            </w:r>
          </w:p>
        </w:tc>
        <w:tc>
          <w:tcPr>
            <w:tcW w:type="dxa" w:w="3251"/>
            <w:shd w:fill="0B4F5C"/>
          </w:tcPr>
          <w:p>
            <w:r>
              <w:rPr>
                <w:b/>
                <w:color w:val="FFFFFF"/>
                <w:sz w:val="17"/>
              </w:rPr>
              <w:t>Содержание</w:t>
            </w:r>
          </w:p>
        </w:tc>
      </w:tr>
      <w:tr>
        <w:tc>
          <w:tcPr>
            <w:tcW w:type="dxa" w:w="2324"/>
            <w:tcMar>
              <w:top w:w="80" w:type="dxa"/>
              <w:start w:w="90" w:type="dxa"/>
              <w:bottom w:w="80" w:type="dxa"/>
              <w:end w:w="90" w:type="dxa"/>
            </w:tcMar>
          </w:tcPr>
          <w:p>
            <w:r>
              <w:rPr>
                <w:sz w:val="17"/>
              </w:rPr>
              <w:t>core</w:t>
            </w:r>
          </w:p>
        </w:tc>
        <w:tc>
          <w:tcPr>
            <w:tcW w:type="dxa" w:w="907"/>
            <w:tcMar>
              <w:top w:w="80" w:type="dxa"/>
              <w:start w:w="90" w:type="dxa"/>
              <w:bottom w:w="80" w:type="dxa"/>
              <w:end w:w="90" w:type="dxa"/>
            </w:tcMar>
          </w:tcPr>
          <w:p>
            <w:pPr>
              <w:jc w:val="center"/>
            </w:pPr>
            <w:r>
              <w:rPr>
                <w:sz w:val="17"/>
              </w:rPr>
              <w:t>25</w:t>
            </w:r>
          </w:p>
        </w:tc>
        <w:tc>
          <w:tcPr>
            <w:tcW w:type="dxa" w:w="6350"/>
            <w:tcMar>
              <w:top w:w="80" w:type="dxa"/>
              <w:start w:w="90" w:type="dxa"/>
              <w:bottom w:w="80" w:type="dxa"/>
              <w:end w:w="90" w:type="dxa"/>
            </w:tcMar>
          </w:tcPr>
          <w:p>
            <w:r>
              <w:rPr>
                <w:sz w:val="17"/>
              </w:rPr>
              <w:t>Ядро строки: отдельные инскрипции, свидетели и прямые корпусные пути.</w:t>
            </w:r>
          </w:p>
        </w:tc>
      </w:tr>
      <w:tr>
        <w:tc>
          <w:tcPr>
            <w:tcW w:type="dxa" w:w="2324"/>
            <w:shd w:fill="F4F6F7"/>
            <w:tcMar>
              <w:top w:w="80" w:type="dxa"/>
              <w:start w:w="90" w:type="dxa"/>
              <w:bottom w:w="80" w:type="dxa"/>
              <w:end w:w="90" w:type="dxa"/>
            </w:tcMar>
          </w:tcPr>
          <w:p>
            <w:r>
              <w:rPr>
                <w:sz w:val="17"/>
              </w:rPr>
              <w:t>antecedent</w:t>
            </w:r>
          </w:p>
        </w:tc>
        <w:tc>
          <w:tcPr>
            <w:tcW w:type="dxa" w:w="907"/>
            <w:shd w:fill="F4F6F7"/>
            <w:tcMar>
              <w:top w:w="80" w:type="dxa"/>
              <w:start w:w="90" w:type="dxa"/>
              <w:bottom w:w="80" w:type="dxa"/>
              <w:end w:w="90" w:type="dxa"/>
            </w:tcMar>
          </w:tcPr>
          <w:p>
            <w:pPr>
              <w:jc w:val="center"/>
            </w:pPr>
            <w:r>
              <w:rPr>
                <w:sz w:val="17"/>
              </w:rPr>
              <w:t>3</w:t>
            </w:r>
          </w:p>
        </w:tc>
        <w:tc>
          <w:tcPr>
            <w:tcW w:type="dxa" w:w="6350"/>
            <w:shd w:fill="F4F6F7"/>
            <w:tcMar>
              <w:top w:w="80" w:type="dxa"/>
              <w:start w:w="90" w:type="dxa"/>
              <w:bottom w:w="80" w:type="dxa"/>
              <w:end w:w="90" w:type="dxa"/>
            </w:tcMar>
          </w:tcPr>
          <w:p>
            <w:r>
              <w:rPr>
                <w:sz w:val="17"/>
              </w:rPr>
              <w:t>Южноиндийский эпиграфический канал, Nagarjunakonda и канонический источник ye dhammā.</w:t>
            </w:r>
          </w:p>
        </w:tc>
      </w:tr>
      <w:tr>
        <w:tc>
          <w:tcPr>
            <w:tcW w:type="dxa" w:w="2324"/>
            <w:tcMar>
              <w:top w:w="80" w:type="dxa"/>
              <w:start w:w="90" w:type="dxa"/>
              <w:bottom w:w="80" w:type="dxa"/>
              <w:end w:w="90" w:type="dxa"/>
            </w:tcMar>
          </w:tcPr>
          <w:p>
            <w:r>
              <w:rPr>
                <w:sz w:val="17"/>
              </w:rPr>
              <w:t>continuation</w:t>
            </w:r>
          </w:p>
        </w:tc>
        <w:tc>
          <w:tcPr>
            <w:tcW w:type="dxa" w:w="907"/>
            <w:tcMar>
              <w:top w:w="80" w:type="dxa"/>
              <w:start w:w="90" w:type="dxa"/>
              <w:bottom w:w="80" w:type="dxa"/>
              <w:end w:w="90" w:type="dxa"/>
            </w:tcMar>
          </w:tcPr>
          <w:p>
            <w:pPr>
              <w:jc w:val="center"/>
            </w:pPr>
            <w:r>
              <w:rPr>
                <w:sz w:val="17"/>
              </w:rPr>
              <w:t>7</w:t>
            </w:r>
          </w:p>
        </w:tc>
        <w:tc>
          <w:tcPr>
            <w:tcW w:type="dxa" w:w="6350"/>
            <w:tcMar>
              <w:top w:w="80" w:type="dxa"/>
              <w:start w:w="90" w:type="dxa"/>
              <w:bottom w:w="80" w:type="dxa"/>
              <w:end w:w="90" w:type="dxa"/>
            </w:tcMar>
          </w:tcPr>
          <w:p>
            <w:r>
              <w:rPr>
                <w:sz w:val="17"/>
              </w:rPr>
              <w:t>Поздний Campā, Old Cham, Java и Śrīvijaya как конкретные линии продолжения.</w:t>
            </w:r>
          </w:p>
        </w:tc>
      </w:tr>
      <w:tr>
        <w:tc>
          <w:tcPr>
            <w:tcW w:type="dxa" w:w="2324"/>
            <w:shd w:fill="F4F6F7"/>
            <w:tcMar>
              <w:top w:w="80" w:type="dxa"/>
              <w:start w:w="90" w:type="dxa"/>
              <w:bottom w:w="80" w:type="dxa"/>
              <w:end w:w="90" w:type="dxa"/>
            </w:tcMar>
          </w:tcPr>
          <w:p>
            <w:r>
              <w:rPr>
                <w:sz w:val="17"/>
              </w:rPr>
              <w:t>infrastructure</w:t>
            </w:r>
          </w:p>
        </w:tc>
        <w:tc>
          <w:tcPr>
            <w:tcW w:type="dxa" w:w="907"/>
            <w:shd w:fill="F4F6F7"/>
            <w:tcMar>
              <w:top w:w="80" w:type="dxa"/>
              <w:start w:w="90" w:type="dxa"/>
              <w:bottom w:w="80" w:type="dxa"/>
              <w:end w:w="90" w:type="dxa"/>
            </w:tcMar>
          </w:tcPr>
          <w:p>
            <w:pPr>
              <w:jc w:val="center"/>
            </w:pPr>
            <w:r>
              <w:rPr>
                <w:sz w:val="17"/>
              </w:rPr>
              <w:t>16</w:t>
            </w:r>
          </w:p>
        </w:tc>
        <w:tc>
          <w:tcPr>
            <w:tcW w:type="dxa" w:w="6350"/>
            <w:shd w:fill="F4F6F7"/>
            <w:tcMar>
              <w:top w:w="80" w:type="dxa"/>
              <w:start w:w="90" w:type="dxa"/>
              <w:bottom w:w="80" w:type="dxa"/>
              <w:end w:w="90" w:type="dxa"/>
            </w:tcMar>
          </w:tcPr>
          <w:p>
            <w:r>
              <w:rPr>
                <w:sz w:val="17"/>
              </w:rPr>
              <w:t>DHARMA, CIK, CIC, SAC, UNESCO, Zenodo и машинно-читаемые корпуса.</w:t>
            </w:r>
          </w:p>
        </w:tc>
      </w:tr>
      <w:tr>
        <w:tc>
          <w:tcPr>
            <w:tcW w:type="dxa" w:w="2324"/>
            <w:tcMar>
              <w:top w:w="80" w:type="dxa"/>
              <w:start w:w="90" w:type="dxa"/>
              <w:bottom w:w="80" w:type="dxa"/>
              <w:end w:w="90" w:type="dxa"/>
            </w:tcMar>
          </w:tcPr>
          <w:p>
            <w:r>
              <w:rPr>
                <w:sz w:val="17"/>
              </w:rPr>
              <w:t>supporting / secondary_navigation</w:t>
            </w:r>
          </w:p>
        </w:tc>
        <w:tc>
          <w:tcPr>
            <w:tcW w:type="dxa" w:w="907"/>
            <w:tcMar>
              <w:top w:w="80" w:type="dxa"/>
              <w:start w:w="90" w:type="dxa"/>
              <w:bottom w:w="80" w:type="dxa"/>
              <w:end w:w="90" w:type="dxa"/>
            </w:tcMar>
          </w:tcPr>
          <w:p>
            <w:pPr>
              <w:jc w:val="center"/>
            </w:pPr>
            <w:r>
              <w:rPr>
                <w:sz w:val="17"/>
              </w:rPr>
              <w:t>11</w:t>
            </w:r>
          </w:p>
        </w:tc>
        <w:tc>
          <w:tcPr>
            <w:tcW w:type="dxa" w:w="6350"/>
            <w:tcMar>
              <w:top w:w="80" w:type="dxa"/>
              <w:start w:w="90" w:type="dxa"/>
              <w:bottom w:w="80" w:type="dxa"/>
              <w:end w:w="90" w:type="dxa"/>
            </w:tcMar>
          </w:tcPr>
          <w:p>
            <w:r>
              <w:rPr>
                <w:sz w:val="17"/>
              </w:rPr>
              <w:t>Издания и исследования, необходимые для идентификации и доступа.</w:t>
            </w:r>
          </w:p>
        </w:tc>
      </w:tr>
      <w:tr>
        <w:tc>
          <w:tcPr>
            <w:tcW w:type="dxa" w:w="2324"/>
            <w:shd w:fill="F4F6F7"/>
            <w:tcMar>
              <w:top w:w="80" w:type="dxa"/>
              <w:start w:w="90" w:type="dxa"/>
              <w:bottom w:w="80" w:type="dxa"/>
              <w:end w:w="90" w:type="dxa"/>
            </w:tcMar>
          </w:tcPr>
          <w:p>
            <w:r>
              <w:rPr>
                <w:sz w:val="17"/>
              </w:rPr>
              <w:t>commentary_or_reception</w:t>
            </w:r>
          </w:p>
        </w:tc>
        <w:tc>
          <w:tcPr>
            <w:tcW w:type="dxa" w:w="907"/>
            <w:shd w:fill="F4F6F7"/>
            <w:tcMar>
              <w:top w:w="80" w:type="dxa"/>
              <w:start w:w="90" w:type="dxa"/>
              <w:bottom w:w="80" w:type="dxa"/>
              <w:end w:w="90" w:type="dxa"/>
            </w:tcMar>
          </w:tcPr>
          <w:p>
            <w:pPr>
              <w:jc w:val="center"/>
            </w:pPr>
            <w:r>
              <w:rPr>
                <w:sz w:val="17"/>
              </w:rPr>
              <w:t>1</w:t>
            </w:r>
          </w:p>
        </w:tc>
        <w:tc>
          <w:tcPr>
            <w:tcW w:type="dxa" w:w="6350"/>
            <w:shd w:fill="F4F6F7"/>
            <w:tcMar>
              <w:top w:w="80" w:type="dxa"/>
              <w:start w:w="90" w:type="dxa"/>
              <w:bottom w:w="80" w:type="dxa"/>
              <w:end w:w="90" w:type="dxa"/>
            </w:tcMar>
          </w:tcPr>
          <w:p>
            <w:r>
              <w:rPr>
                <w:sz w:val="17"/>
              </w:rPr>
              <w:t>Открытая статья по двараватийской рецепции Śrāvastī miracles.</w:t>
            </w:r>
          </w:p>
        </w:tc>
      </w:tr>
    </w:tbl>
    <w:p>
      <w:pPr>
        <w:pStyle w:val="Heading2"/>
      </w:pPr>
      <w:r>
        <w:t>2.1. Ядро</w:t>
      </w:r>
    </w:p>
    <w:p>
      <w:pPr>
        <w:pStyle w:val="ListBullet"/>
      </w:pPr>
      <w:r>
        <w:t>Võ Cạnh представлен официальной музейной карточкой, открытой фотографией CC BY-SA 4.0 и двумя сильными научными входами по датировке и ранней эпиграфике.</w:t>
      </w:r>
    </w:p>
    <w:p>
      <w:pPr>
        <w:pStyle w:val="ListBullet"/>
      </w:pPr>
      <w:r>
        <w:t>Кутаийские yūpa представлены классической публикацией Vogel 1918, библиотечным маршрутом и тремя различными факсимильными слоями — CC0, CC BY 2.0 и историческим public-domain scan с юрисдикционной оговоркой.</w:t>
      </w:r>
    </w:p>
    <w:p>
      <w:pPr>
        <w:pStyle w:val="ListBullet"/>
      </w:pPr>
      <w:r>
        <w:t>Таруманагара получила полноценный item-level путь для Tugu через DHARMA. Остальные шесть известных памятников не были искусственно объявлены закрытыми: они перечислены на gaps как отдельная задача.</w:t>
      </w:r>
    </w:p>
    <w:p>
      <w:pPr>
        <w:pStyle w:val="ListBullet"/>
      </w:pPr>
      <w:r>
        <w:t>Пью покрыты одновременно корпусным release, TEI-репозиторием, шестью item-level записями DHARMA, фундаментальной статьёй-инвентарём и официальным контекстом UNESCO.</w:t>
      </w:r>
    </w:p>
    <w:p>
      <w:pPr>
        <w:pStyle w:val="ListBullet"/>
      </w:pPr>
      <w:r>
        <w:t>Дваравати представлены шестью конкретными палийскими ye dhammā-свидетелями SAC, Si Thep, критическими публикациями, открытой современной статьёй и public-domain музейным объектом как контекстом материальной среды.</w:t>
      </w:r>
    </w:p>
    <w:p>
      <w:pPr>
        <w:pStyle w:val="ListBullet"/>
      </w:pPr>
      <w:r>
        <w:t>Раннеченлинская и раннекхмерская линия представлена DHARMA/CIK, группой K.1106–K.496–K.363–K.508, UNESCO Sambor Prei Kuk и археологическими/филологическими исследованиями.</w:t>
      </w:r>
    </w:p>
    <w:p>
      <w:pPr>
        <w:pStyle w:val="ListBullet"/>
      </w:pPr>
      <w:r>
        <w:t>Đông Yên Châu получил полный открытый Old Cham-текст с переводами и TEI/XML; дальнейшая линия прослежена через CIC, Mỹ Sơn C.87/C.79, C.217 и поздний Po Nagar B4.</w:t>
      </w:r>
    </w:p>
    <w:p>
      <w:pPr>
        <w:pStyle w:val="Heading2"/>
      </w:pPr>
      <w:r>
        <w:t>2.2. Добавления веб-поиска</w:t>
      </w:r>
    </w:p>
    <w:p>
      <w:r>
        <w:rPr>
          <w:b w:val="0"/>
        </w:rPr>
        <w:t xml:space="preserve">Главное расширение по сравнению с исходным DR — переход от общих названий к идентификаторам и практически используемым входам: </w:t>
      </w:r>
      <w:r>
        <w:rPr>
          <w:i/>
        </w:rPr>
        <w:t xml:space="preserve">DHARMA_INSIDENKTugu, DHARMA_INSPYU00004/00009/00010/00051/00142/00152, K.1106/K.496/K.363/K.508, C.174, C.87, C.79, C.217, SAC ลบ.23 / นฐ.2 / นฐ.3 / รบ.2 / สพ.2 / สพ.4. </w:t>
      </w:r>
      <w:r>
        <w:t>Именно эти идентификаторы делают пакет пригодным для автоматической дедупликации и последующего графового слоя.</w:t>
      </w:r>
    </w:p>
    <w:p>
      <w:pPr>
        <w:pStyle w:val="Heading2"/>
      </w:pPr>
      <w:r>
        <w:t>2.3. Открытый хронологический контур</w:t>
      </w:r>
    </w:p>
    <w:p>
      <w:r>
        <w:rPr>
          <w:b/>
        </w:rPr>
        <w:t xml:space="preserve">Поиск назад. </w:t>
      </w:r>
      <w:r>
        <w:t>В реестр включены южноиндийский Pallava TEI corpus, конкретная надпись EIAD 34 из Nagarjunakonda и Pali-источник формулы ye dhammā в Vinaya Mahāvagga. Их связь не просто тематическая: они показывают входящий графический, жанровый и доктринальный канал ранней эпиграфики ЮВА.</w:t>
      </w:r>
    </w:p>
    <w:p>
      <w:r>
        <w:rPr>
          <w:b/>
        </w:rPr>
        <w:t xml:space="preserve">Поиск вперёд. </w:t>
      </w:r>
      <w:r>
        <w:t>Включены зрелые Campā/My Son и Po Nagar, Sanskrit/Old Javanese Kalasan и Hampran, Old Malay Kambang Purun. Эти объекты сохраняют конкретные элементы ядра — храмовый дар, царскую легитимацию, билингвальность, local-language adaptation и трансформацию индийских формул.</w:t>
      </w:r>
    </w:p>
    <w:p>
      <w:pPr>
        <w:pStyle w:val="Heading1"/>
      </w:pPr>
      <w:r>
        <w:t>3. Лучшие пути доступа</w:t>
      </w:r>
    </w:p>
    <w:p>
      <w:pPr>
        <w:pStyle w:val="SmallNote"/>
      </w:pPr>
      <w:r>
        <w:t>Ниже названы лучшие входы по крупным группам; полный набор, прямые downloads, stable identifiers и rights evidence находятся в XLSX.</w:t>
      </w:r>
    </w:p>
    <w:p>
      <w:pPr>
        <w:pStyle w:val="Heading2"/>
      </w:pPr>
      <w:r>
        <w:t>3.1. Таруманагара</w:t>
      </w:r>
    </w:p>
    <w:p>
      <w:pPr>
        <w:spacing w:after="60"/>
      </w:pPr>
      <w:r>
        <w:rPr>
          <w:b/>
          <w:color w:val="0B4F5C"/>
        </w:rPr>
        <w:t xml:space="preserve">Лучший свободный оригинальный текст: </w:t>
      </w:r>
      <w:hyperlink r:id="rId11">
        <w:r>
          <w:rPr>
            <w:color w:val="0B57D0"/>
            <w:u w:val="single"/>
            <w:lang w:val="ru-RU"/>
          </w:rPr>
          <w:t>DHARMA — Tugu inscription of Pūrṇavarman</w:t>
        </w:r>
      </w:hyperlink>
      <w:r>
        <w:rPr>
          <w:color w:val="5F6B73"/>
          <w:sz w:val="17"/>
        </w:rPr>
        <w:t xml:space="preserve">  [A43-R004]</w:t>
      </w:r>
    </w:p>
    <w:p>
      <w:pPr>
        <w:spacing w:after="60"/>
      </w:pPr>
      <w:r>
        <w:rPr>
          <w:b/>
          <w:color w:val="0B4F5C"/>
        </w:rPr>
        <w:t xml:space="preserve">Лучший машиночитаемый вариант: </w:t>
      </w:r>
      <w:hyperlink r:id="rId12">
        <w:r>
          <w:rPr>
            <w:color w:val="0B57D0"/>
            <w:u w:val="single"/>
            <w:lang w:val="ru-RU"/>
          </w:rPr>
          <w:t>TEI/XML Tugu в Nusantara Epigraphy</w:t>
        </w:r>
      </w:hyperlink>
      <w:r>
        <w:rPr>
          <w:color w:val="5F6B73"/>
          <w:sz w:val="17"/>
        </w:rPr>
        <w:t xml:space="preserve">  [A43-R004]</w:t>
      </w:r>
    </w:p>
    <w:p>
      <w:pPr>
        <w:spacing w:after="60"/>
      </w:pPr>
      <w:r>
        <w:rPr>
          <w:b/>
          <w:color w:val="0B4F5C"/>
        </w:rPr>
        <w:t xml:space="preserve">Лучший навигационный обзор: </w:t>
      </w:r>
      <w:hyperlink r:id="rId13">
        <w:r>
          <w:rPr>
            <w:color w:val="0B57D0"/>
            <w:u w:val="single"/>
            <w:lang w:val="ru-RU"/>
          </w:rPr>
          <w:t>BRIN current heritage inventory</w:t>
        </w:r>
      </w:hyperlink>
      <w:r>
        <w:rPr>
          <w:color w:val="5F6B73"/>
          <w:sz w:val="17"/>
        </w:rPr>
        <w:t xml:space="preserve">  [A43-R007]</w:t>
      </w:r>
    </w:p>
    <w:p>
      <w:r>
        <w:rPr>
          <w:b/>
        </w:rPr>
        <w:t xml:space="preserve">Ограничение: </w:t>
      </w:r>
      <w:r>
        <w:t>полные item-level входы к Ciaruteun, Jambu, Kebon Kopi I, Cidanghiang, Muara Cianten и Pasir Awi пока остаются на gaps.</w:t>
      </w:r>
    </w:p>
    <w:p>
      <w:pPr>
        <w:pStyle w:val="Heading2"/>
      </w:pPr>
      <w:r>
        <w:t>3.2. Võ Cạnh</w:t>
      </w:r>
    </w:p>
    <w:p>
      <w:pPr>
        <w:spacing w:after="60"/>
      </w:pPr>
      <w:r>
        <w:rPr>
          <w:b/>
          <w:color w:val="0B4F5C"/>
        </w:rPr>
        <w:t xml:space="preserve">Официальная идентификация: </w:t>
      </w:r>
      <w:hyperlink r:id="rId14">
        <w:r>
          <w:rPr>
            <w:color w:val="0B57D0"/>
            <w:u w:val="single"/>
            <w:lang w:val="ru-RU"/>
          </w:rPr>
          <w:t>Vietnam National Museum of History object page</w:t>
        </w:r>
      </w:hyperlink>
      <w:r>
        <w:rPr>
          <w:color w:val="5F6B73"/>
          <w:sz w:val="17"/>
        </w:rPr>
        <w:t xml:space="preserve">  [A43-R008]</w:t>
      </w:r>
    </w:p>
    <w:p>
      <w:pPr>
        <w:spacing w:after="60"/>
      </w:pPr>
      <w:r>
        <w:rPr>
          <w:b/>
          <w:color w:val="0B4F5C"/>
        </w:rPr>
        <w:t xml:space="preserve">Лучшее свободное факсимиле: </w:t>
      </w:r>
      <w:hyperlink r:id="rId15">
        <w:r>
          <w:rPr>
            <w:color w:val="0B57D0"/>
            <w:u w:val="single"/>
            <w:lang w:val="ru-RU"/>
          </w:rPr>
          <w:t>Commons high-resolution photograph, CC BY-SA 4.0</w:t>
        </w:r>
      </w:hyperlink>
      <w:r>
        <w:rPr>
          <w:color w:val="5F6B73"/>
          <w:sz w:val="17"/>
        </w:rPr>
        <w:t xml:space="preserve">  [A43-R009]</w:t>
      </w:r>
    </w:p>
    <w:p>
      <w:pPr>
        <w:spacing w:after="60"/>
      </w:pPr>
      <w:r>
        <w:rPr>
          <w:b/>
          <w:color w:val="0B4F5C"/>
        </w:rPr>
        <w:t xml:space="preserve">Лучший научный вход: </w:t>
      </w:r>
      <w:hyperlink r:id="rId16">
        <w:r>
          <w:rPr>
            <w:color w:val="0B57D0"/>
            <w:u w:val="single"/>
            <w:lang w:val="ru-RU"/>
          </w:rPr>
          <w:t>Arlo Griffiths, Early Indic Inscriptions of Southeast Asia</w:t>
        </w:r>
      </w:hyperlink>
      <w:r>
        <w:rPr>
          <w:color w:val="5F6B73"/>
          <w:sz w:val="17"/>
        </w:rPr>
        <w:t xml:space="preserve">  [A43-R010]</w:t>
      </w:r>
    </w:p>
    <w:p>
      <w:pPr>
        <w:spacing w:after="60"/>
      </w:pPr>
      <w:r>
        <w:rPr>
          <w:b/>
          <w:color w:val="0B4F5C"/>
        </w:rPr>
        <w:t xml:space="preserve">Лучший хронологический контроль: </w:t>
      </w:r>
      <w:hyperlink r:id="rId17">
        <w:r>
          <w:rPr>
            <w:color w:val="0B57D0"/>
            <w:u w:val="single"/>
            <w:lang w:val="ru-RU"/>
          </w:rPr>
          <w:t>Anne-Valérie Schweyer on Campā chronology</w:t>
        </w:r>
      </w:hyperlink>
      <w:r>
        <w:rPr>
          <w:color w:val="5F6B73"/>
          <w:sz w:val="17"/>
        </w:rPr>
        <w:t xml:space="preserve">  [A43-R011]</w:t>
      </w:r>
    </w:p>
    <w:p>
      <w:pPr>
        <w:pStyle w:val="Heading2"/>
      </w:pPr>
      <w:r>
        <w:t>3.3. Кутаийские yūpa</w:t>
      </w:r>
    </w:p>
    <w:p>
      <w:pPr>
        <w:spacing w:after="60"/>
      </w:pPr>
      <w:r>
        <w:rPr>
          <w:b/>
          <w:color w:val="0B4F5C"/>
        </w:rPr>
        <w:t xml:space="preserve">Лучшее классическое издание: </w:t>
      </w:r>
      <w:hyperlink r:id="rId18">
        <w:r>
          <w:rPr>
            <w:color w:val="0B57D0"/>
            <w:u w:val="single"/>
            <w:lang w:val="ru-RU"/>
          </w:rPr>
          <w:t>J. Ph. Vogel, The Yupa Inscriptions of King Mulavarman (1918)</w:t>
        </w:r>
      </w:hyperlink>
      <w:r>
        <w:rPr>
          <w:color w:val="5F6B73"/>
          <w:sz w:val="17"/>
        </w:rPr>
        <w:t xml:space="preserve">  [A43-R012]</w:t>
      </w:r>
    </w:p>
    <w:p>
      <w:pPr>
        <w:spacing w:after="60"/>
      </w:pPr>
      <w:r>
        <w:rPr>
          <w:b/>
          <w:color w:val="0B4F5C"/>
        </w:rPr>
        <w:t xml:space="preserve">Самое свободное факсимиле: </w:t>
      </w:r>
      <w:hyperlink r:id="rId19">
        <w:r>
          <w:rPr>
            <w:color w:val="0B57D0"/>
            <w:u w:val="single"/>
            <w:lang w:val="ru-RU"/>
          </w:rPr>
          <w:t>High-resolution photograph dedicated to CC0</w:t>
        </w:r>
      </w:hyperlink>
      <w:r>
        <w:rPr>
          <w:color w:val="5F6B73"/>
          <w:sz w:val="17"/>
        </w:rPr>
        <w:t xml:space="preserve">  [A43-R014]</w:t>
      </w:r>
    </w:p>
    <w:p>
      <w:pPr>
        <w:spacing w:after="60"/>
      </w:pPr>
      <w:r>
        <w:rPr>
          <w:b/>
          <w:color w:val="0B4F5C"/>
        </w:rPr>
        <w:t xml:space="preserve">Лучший close-up: </w:t>
      </w:r>
      <w:hyperlink r:id="rId20">
        <w:r>
          <w:rPr>
            <w:color w:val="0B57D0"/>
            <w:u w:val="single"/>
            <w:lang w:val="ru-RU"/>
          </w:rPr>
          <w:t>Photo Dharma / Anandajoti, CC BY 2.0</w:t>
        </w:r>
      </w:hyperlink>
      <w:r>
        <w:rPr>
          <w:color w:val="5F6B73"/>
          <w:sz w:val="17"/>
        </w:rPr>
        <w:t xml:space="preserve">  [A43-R015]</w:t>
      </w:r>
    </w:p>
    <w:p>
      <w:pPr>
        <w:spacing w:after="60"/>
      </w:pPr>
      <w:r>
        <w:rPr>
          <w:b/>
          <w:color w:val="0B4F5C"/>
        </w:rPr>
        <w:t xml:space="preserve">Библиотечный путь: </w:t>
      </w:r>
      <w:hyperlink r:id="rId21">
        <w:r>
          <w:rPr>
            <w:color w:val="0B57D0"/>
            <w:u w:val="single"/>
            <w:lang w:val="ru-RU"/>
          </w:rPr>
          <w:t>WorldCat holdings for Vogel's publication</w:t>
        </w:r>
      </w:hyperlink>
      <w:r>
        <w:rPr>
          <w:color w:val="5F6B73"/>
          <w:sz w:val="17"/>
        </w:rPr>
        <w:t xml:space="preserve">  [A43-R013]</w:t>
      </w:r>
    </w:p>
    <w:p>
      <w:pPr>
        <w:pStyle w:val="Heading2"/>
      </w:pPr>
      <w:r>
        <w:t>3.4. Пью</w:t>
      </w:r>
    </w:p>
    <w:p>
      <w:pPr>
        <w:spacing w:after="60"/>
      </w:pPr>
      <w:r>
        <w:rPr>
          <w:b/>
          <w:color w:val="0B4F5C"/>
        </w:rPr>
        <w:t xml:space="preserve">Лучший корпусный download: </w:t>
      </w:r>
      <w:hyperlink r:id="rId22">
        <w:r>
          <w:rPr>
            <w:color w:val="0B57D0"/>
            <w:u w:val="single"/>
            <w:lang w:val="ru-RU"/>
          </w:rPr>
          <w:t>Corpus of Pyu inscriptions on Zenodo</w:t>
        </w:r>
      </w:hyperlink>
      <w:r>
        <w:rPr>
          <w:color w:val="5F6B73"/>
          <w:sz w:val="17"/>
        </w:rPr>
        <w:t xml:space="preserve">  [A43-R017]</w:t>
      </w:r>
    </w:p>
    <w:p>
      <w:pPr>
        <w:spacing w:after="60"/>
      </w:pPr>
      <w:r>
        <w:rPr>
          <w:b/>
          <w:color w:val="0B4F5C"/>
        </w:rPr>
        <w:t xml:space="preserve">Лучшие item-level тексты: </w:t>
      </w:r>
      <w:hyperlink r:id="rId23">
        <w:r>
          <w:rPr>
            <w:color w:val="0B57D0"/>
            <w:u w:val="single"/>
            <w:lang w:val="ru-RU"/>
          </w:rPr>
          <w:t>DHARMA Stone Urn from Payagyi Pagoda</w:t>
        </w:r>
      </w:hyperlink>
      <w:r>
        <w:rPr>
          <w:color w:val="5F6B73"/>
          <w:sz w:val="17"/>
        </w:rPr>
        <w:t xml:space="preserve">  [A43-R020]</w:t>
      </w:r>
    </w:p>
    <w:p>
      <w:pPr>
        <w:spacing w:after="60"/>
      </w:pPr>
      <w:r>
        <w:rPr>
          <w:b/>
          <w:color w:val="0B4F5C"/>
        </w:rPr>
        <w:t xml:space="preserve">Лучший научный обзор и inventory: </w:t>
      </w:r>
      <w:hyperlink r:id="rId24">
        <w:r>
          <w:rPr>
            <w:color w:val="0B57D0"/>
            <w:u w:val="single"/>
            <w:lang w:val="ru-RU"/>
          </w:rPr>
          <w:t>Studies in Pyu Epigraphy I</w:t>
        </w:r>
      </w:hyperlink>
      <w:r>
        <w:rPr>
          <w:color w:val="5F6B73"/>
          <w:sz w:val="17"/>
        </w:rPr>
        <w:t xml:space="preserve">  [A43-R026]</w:t>
      </w:r>
    </w:p>
    <w:p>
      <w:pPr>
        <w:spacing w:after="60"/>
      </w:pPr>
      <w:r>
        <w:rPr>
          <w:b/>
          <w:color w:val="0B4F5C"/>
        </w:rPr>
        <w:t xml:space="preserve">Лучший институциональный контекст: </w:t>
      </w:r>
      <w:hyperlink r:id="rId25">
        <w:r>
          <w:rPr>
            <w:color w:val="0B57D0"/>
            <w:u w:val="single"/>
            <w:lang w:val="ru-RU"/>
          </w:rPr>
          <w:t>UNESCO Pyu Ancient Cities</w:t>
        </w:r>
      </w:hyperlink>
      <w:r>
        <w:rPr>
          <w:color w:val="5F6B73"/>
          <w:sz w:val="17"/>
        </w:rPr>
        <w:t xml:space="preserve">  [A43-R027]</w:t>
      </w:r>
    </w:p>
    <w:p>
      <w:r>
        <w:rPr>
          <w:b/>
        </w:rPr>
        <w:t xml:space="preserve">Машиночитаемый слой. </w:t>
      </w:r>
      <w:r>
        <w:t>Шесть отдельных TEI/XML-records DHARMA дают более надёжную лицензионную гранулярность, чем недифференцированное скачивание всего Zenodo-release.</w:t>
      </w:r>
    </w:p>
    <w:p>
      <w:pPr>
        <w:pStyle w:val="Heading2"/>
      </w:pPr>
      <w:r>
        <w:t>3.5. Дваравати и ye dhammā</w:t>
      </w:r>
    </w:p>
    <w:p>
      <w:pPr>
        <w:spacing w:after="60"/>
      </w:pPr>
      <w:r>
        <w:rPr>
          <w:b/>
          <w:color w:val="0B4F5C"/>
        </w:rPr>
        <w:t xml:space="preserve">Лучший item-level вход: </w:t>
      </w:r>
      <w:hyperlink r:id="rId26">
        <w:r>
          <w:rPr>
            <w:color w:val="0B57D0"/>
            <w:u w:val="single"/>
            <w:lang w:val="ru-RU"/>
          </w:rPr>
          <w:t>SAC — ye dhammā inscription from Si Thep</w:t>
        </w:r>
      </w:hyperlink>
      <w:r>
        <w:rPr>
          <w:color w:val="5F6B73"/>
          <w:sz w:val="17"/>
        </w:rPr>
        <w:t xml:space="preserve">  [A43-R029]</w:t>
      </w:r>
    </w:p>
    <w:p>
      <w:pPr>
        <w:spacing w:after="60"/>
      </w:pPr>
      <w:r>
        <w:rPr>
          <w:b/>
          <w:color w:val="0B4F5C"/>
        </w:rPr>
        <w:t xml:space="preserve">Лучший прямой PDF: </w:t>
      </w:r>
      <w:hyperlink r:id="rId27">
        <w:r>
          <w:rPr>
            <w:color w:val="0B57D0"/>
            <w:u w:val="single"/>
            <w:lang w:val="ru-RU"/>
          </w:rPr>
          <w:t>SAC PDF for Si Thep witness ลบ.23</w:t>
        </w:r>
      </w:hyperlink>
      <w:r>
        <w:rPr>
          <w:color w:val="5F6B73"/>
          <w:sz w:val="17"/>
        </w:rPr>
        <w:t xml:space="preserve">  [A43-R029]</w:t>
      </w:r>
    </w:p>
    <w:p>
      <w:pPr>
        <w:spacing w:after="60"/>
      </w:pPr>
      <w:r>
        <w:rPr>
          <w:b/>
          <w:color w:val="0B4F5C"/>
        </w:rPr>
        <w:t xml:space="preserve">Лучшее корпусное исследование: </w:t>
      </w:r>
      <w:hyperlink r:id="rId28">
        <w:r>
          <w:rPr>
            <w:color w:val="0B57D0"/>
            <w:u w:val="single"/>
            <w:lang w:val="ru-RU"/>
          </w:rPr>
          <w:t>Peter Skilling, New Pāli Inscriptions from South-east Asia</w:t>
        </w:r>
      </w:hyperlink>
      <w:r>
        <w:rPr>
          <w:color w:val="5F6B73"/>
          <w:sz w:val="17"/>
        </w:rPr>
        <w:t xml:space="preserve">  [A43-R037]</w:t>
      </w:r>
    </w:p>
    <w:p>
      <w:pPr>
        <w:spacing w:after="60"/>
      </w:pPr>
      <w:r>
        <w:rPr>
          <w:b/>
          <w:color w:val="0B4F5C"/>
        </w:rPr>
        <w:t xml:space="preserve">Лучшее сравнительное издание: </w:t>
      </w:r>
      <w:hyperlink r:id="rId29">
        <w:r>
          <w:rPr>
            <w:color w:val="0B57D0"/>
            <w:u w:val="single"/>
            <w:lang w:val="ru-RU"/>
          </w:rPr>
          <w:t>Goodall &amp; Revire, East and West</w:t>
        </w:r>
      </w:hyperlink>
      <w:r>
        <w:rPr>
          <w:color w:val="5F6B73"/>
          <w:sz w:val="17"/>
        </w:rPr>
        <w:t xml:space="preserve">  [A43-R036]</w:t>
      </w:r>
    </w:p>
    <w:p>
      <w:pPr>
        <w:spacing w:after="60"/>
      </w:pPr>
      <w:r>
        <w:rPr>
          <w:b/>
          <w:color w:val="0B4F5C"/>
        </w:rPr>
        <w:t xml:space="preserve">Наиболее свободный visual context: </w:t>
      </w:r>
      <w:hyperlink r:id="rId30">
        <w:r>
          <w:rPr>
            <w:color w:val="0B57D0"/>
            <w:u w:val="single"/>
            <w:lang w:val="ru-RU"/>
          </w:rPr>
          <w:t>The Met Standing Buddha, Public Domain image</w:t>
        </w:r>
      </w:hyperlink>
      <w:r>
        <w:rPr>
          <w:color w:val="5F6B73"/>
          <w:sz w:val="17"/>
        </w:rPr>
        <w:t xml:space="preserve">  [A43-R039]</w:t>
      </w:r>
    </w:p>
    <w:p>
      <w:pPr>
        <w:pStyle w:val="Heading2"/>
      </w:pPr>
      <w:r>
        <w:t>3.6. Раннеченлинская / раннекхмерская линия</w:t>
      </w:r>
    </w:p>
    <w:p>
      <w:pPr>
        <w:spacing w:after="60"/>
      </w:pPr>
      <w:r>
        <w:rPr>
          <w:b/>
          <w:color w:val="0B4F5C"/>
        </w:rPr>
        <w:t xml:space="preserve">Лучший машиночитаемый корпус: </w:t>
      </w:r>
      <w:hyperlink r:id="rId31">
        <w:r>
          <w:rPr>
            <w:color w:val="0B57D0"/>
            <w:u w:val="single"/>
            <w:lang w:val="ru-RU"/>
          </w:rPr>
          <w:t>DHARMA Khmer Epigraphy repository</w:t>
        </w:r>
      </w:hyperlink>
      <w:r>
        <w:rPr>
          <w:color w:val="5F6B73"/>
          <w:sz w:val="17"/>
        </w:rPr>
        <w:t xml:space="preserve">  [A43-R040]</w:t>
      </w:r>
    </w:p>
    <w:p>
      <w:pPr>
        <w:spacing w:after="60"/>
      </w:pPr>
      <w:r>
        <w:rPr>
          <w:b/>
          <w:color w:val="0B4F5C"/>
        </w:rPr>
        <w:t xml:space="preserve">Лучший конкретный текст: </w:t>
      </w:r>
      <w:hyperlink r:id="rId32">
        <w:r>
          <w:rPr>
            <w:color w:val="0B57D0"/>
            <w:u w:val="single"/>
            <w:lang w:val="ru-RU"/>
          </w:rPr>
          <w:t>K.1106 — inscription of Citrasena-Mahendravarman</w:t>
        </w:r>
      </w:hyperlink>
      <w:r>
        <w:rPr>
          <w:color w:val="5F6B73"/>
          <w:sz w:val="17"/>
        </w:rPr>
        <w:t xml:space="preserve">  [A43-R042]</w:t>
      </w:r>
    </w:p>
    <w:p>
      <w:pPr>
        <w:spacing w:after="60"/>
      </w:pPr>
      <w:r>
        <w:rPr>
          <w:b/>
          <w:color w:val="0B4F5C"/>
        </w:rPr>
        <w:t xml:space="preserve">Лучший каталог: </w:t>
      </w:r>
      <w:hyperlink r:id="rId33">
        <w:r>
          <w:rPr>
            <w:color w:val="0B57D0"/>
            <w:u w:val="single"/>
            <w:lang w:val="ru-RU"/>
          </w:rPr>
          <w:t>Corpus des inscriptions khmères (CIK)</w:t>
        </w:r>
      </w:hyperlink>
      <w:r>
        <w:rPr>
          <w:color w:val="5F6B73"/>
          <w:sz w:val="17"/>
        </w:rPr>
        <w:t xml:space="preserve">  [A43-R041]</w:t>
      </w:r>
    </w:p>
    <w:p>
      <w:pPr>
        <w:spacing w:after="60"/>
      </w:pPr>
      <w:r>
        <w:rPr>
          <w:b/>
          <w:color w:val="0B4F5C"/>
        </w:rPr>
        <w:t xml:space="preserve">Лучший site context: </w:t>
      </w:r>
      <w:hyperlink r:id="rId34">
        <w:r>
          <w:rPr>
            <w:color w:val="0B57D0"/>
            <w:u w:val="single"/>
            <w:lang w:val="ru-RU"/>
          </w:rPr>
          <w:t>UNESCO Sambor Prei Kuk / Ishanapura</w:t>
        </w:r>
      </w:hyperlink>
      <w:r>
        <w:rPr>
          <w:color w:val="5F6B73"/>
          <w:sz w:val="17"/>
        </w:rPr>
        <w:t xml:space="preserve">  [A43-R046]</w:t>
      </w:r>
    </w:p>
    <w:p>
      <w:pPr>
        <w:pStyle w:val="Heading2"/>
      </w:pPr>
      <w:r>
        <w:t>3.7. Old Cham и зрелая Campā</w:t>
      </w:r>
    </w:p>
    <w:p>
      <w:pPr>
        <w:spacing w:after="60"/>
      </w:pPr>
      <w:r>
        <w:rPr>
          <w:b/>
          <w:color w:val="0B4F5C"/>
        </w:rPr>
        <w:t xml:space="preserve">Лучший ранний local-language текст: </w:t>
      </w:r>
      <w:hyperlink r:id="rId35">
        <w:r>
          <w:rPr>
            <w:color w:val="0B57D0"/>
            <w:u w:val="single"/>
            <w:lang w:val="ru-RU"/>
          </w:rPr>
          <w:t>Đông Yên Châu / C.174 on DHARMA</w:t>
        </w:r>
      </w:hyperlink>
      <w:r>
        <w:rPr>
          <w:color w:val="5F6B73"/>
          <w:sz w:val="17"/>
        </w:rPr>
        <w:t xml:space="preserve">  [A43-R049]</w:t>
      </w:r>
    </w:p>
    <w:p>
      <w:pPr>
        <w:spacing w:after="60"/>
      </w:pPr>
      <w:r>
        <w:rPr>
          <w:b/>
          <w:color w:val="0B4F5C"/>
        </w:rPr>
        <w:t xml:space="preserve">Лучший продолженный корпус: </w:t>
      </w:r>
      <w:hyperlink r:id="rId36">
        <w:r>
          <w:rPr>
            <w:color w:val="0B57D0"/>
            <w:u w:val="single"/>
            <w:lang w:val="ru-RU"/>
          </w:rPr>
          <w:t>Corpus of the Inscriptions of Campā</w:t>
        </w:r>
      </w:hyperlink>
      <w:r>
        <w:rPr>
          <w:color w:val="5F6B73"/>
          <w:sz w:val="17"/>
        </w:rPr>
        <w:t xml:space="preserve">  [A43-R051]</w:t>
      </w:r>
    </w:p>
    <w:p>
      <w:pPr>
        <w:spacing w:after="60"/>
      </w:pPr>
      <w:r>
        <w:rPr>
          <w:b/>
          <w:color w:val="0B4F5C"/>
        </w:rPr>
        <w:t xml:space="preserve">Лучший ранний dated continuation: </w:t>
      </w:r>
      <w:hyperlink r:id="rId37">
        <w:r>
          <w:rPr>
            <w:color w:val="0B57D0"/>
            <w:u w:val="single"/>
            <w:lang w:val="ru-RU"/>
          </w:rPr>
          <w:t>Mỹ Sơn B6 / C.87, 687 CE</w:t>
        </w:r>
      </w:hyperlink>
      <w:r>
        <w:rPr>
          <w:color w:val="5F6B73"/>
          <w:sz w:val="17"/>
        </w:rPr>
        <w:t xml:space="preserve">  [A43-R052]</w:t>
      </w:r>
    </w:p>
    <w:p>
      <w:pPr>
        <w:spacing w:after="60"/>
      </w:pPr>
      <w:r>
        <w:rPr>
          <w:b/>
          <w:color w:val="0B4F5C"/>
        </w:rPr>
        <w:t xml:space="preserve">Лучший поздний Old Cham handoff: </w:t>
      </w:r>
      <w:hyperlink r:id="rId38">
        <w:r>
          <w:rPr>
            <w:color w:val="0B57D0"/>
            <w:u w:val="single"/>
            <w:lang w:val="ru-RU"/>
          </w:rPr>
          <w:t>Po Nagar B4 on DHARMA</w:t>
        </w:r>
      </w:hyperlink>
      <w:r>
        <w:rPr>
          <w:color w:val="5F6B73"/>
          <w:sz w:val="17"/>
        </w:rPr>
        <w:t xml:space="preserve">  [A43-R055]</w:t>
      </w:r>
    </w:p>
    <w:p>
      <w:pPr>
        <w:pStyle w:val="Heading2"/>
      </w:pPr>
      <w:r>
        <w:t>3.8. Предшественники и хронологический ореол</w:t>
      </w:r>
    </w:p>
    <w:p>
      <w:pPr>
        <w:spacing w:after="60"/>
      </w:pPr>
      <w:r>
        <w:rPr>
          <w:b/>
          <w:color w:val="0B4F5C"/>
        </w:rPr>
        <w:t xml:space="preserve">Графический/эпиграфический antecedent: </w:t>
      </w:r>
      <w:hyperlink r:id="rId39">
        <w:r>
          <w:rPr>
            <w:color w:val="0B57D0"/>
            <w:u w:val="single"/>
            <w:lang w:val="ru-RU"/>
          </w:rPr>
          <w:t>Pallava Epigraphy TEI corpus</w:t>
        </w:r>
      </w:hyperlink>
      <w:r>
        <w:rPr>
          <w:color w:val="5F6B73"/>
          <w:sz w:val="17"/>
        </w:rPr>
        <w:t xml:space="preserve">  [A43-R057]</w:t>
      </w:r>
    </w:p>
    <w:p>
      <w:pPr>
        <w:spacing w:after="60"/>
      </w:pPr>
      <w:r>
        <w:rPr>
          <w:b/>
          <w:color w:val="0B4F5C"/>
        </w:rPr>
        <w:t xml:space="preserve">Конкретный южноиндийский antecedent: </w:t>
      </w:r>
      <w:hyperlink r:id="rId40">
        <w:r>
          <w:rPr>
            <w:color w:val="0B57D0"/>
            <w:u w:val="single"/>
            <w:lang w:val="ru-RU"/>
          </w:rPr>
          <w:t>Nagarjunakonda EIAD 34</w:t>
        </w:r>
      </w:hyperlink>
      <w:r>
        <w:rPr>
          <w:color w:val="5F6B73"/>
          <w:sz w:val="17"/>
        </w:rPr>
        <w:t xml:space="preserve">  [A43-R058]</w:t>
      </w:r>
    </w:p>
    <w:p>
      <w:pPr>
        <w:spacing w:after="60"/>
      </w:pPr>
      <w:r>
        <w:rPr>
          <w:b/>
          <w:color w:val="0B4F5C"/>
        </w:rPr>
        <w:t xml:space="preserve">Доктринальный antecedent: </w:t>
      </w:r>
      <w:hyperlink r:id="rId41">
        <w:r>
          <w:rPr>
            <w:color w:val="0B57D0"/>
            <w:u w:val="single"/>
            <w:lang w:val="ru-RU"/>
          </w:rPr>
          <w:t>SuttaCentral Pali Vinaya passage with ye dhammā</w:t>
        </w:r>
      </w:hyperlink>
      <w:r>
        <w:rPr>
          <w:color w:val="5F6B73"/>
          <w:sz w:val="17"/>
        </w:rPr>
        <w:t xml:space="preserve">  [A43-R059]</w:t>
      </w:r>
    </w:p>
    <w:p>
      <w:pPr>
        <w:spacing w:after="60"/>
      </w:pPr>
      <w:r>
        <w:rPr>
          <w:b/>
          <w:color w:val="0B4F5C"/>
        </w:rPr>
        <w:t xml:space="preserve">Поздняя Java: </w:t>
      </w:r>
      <w:hyperlink r:id="rId42">
        <w:r>
          <w:rPr>
            <w:color w:val="0B57D0"/>
            <w:u w:val="single"/>
            <w:lang w:val="ru-RU"/>
          </w:rPr>
          <w:t>Kalasan, 778 CE</w:t>
        </w:r>
      </w:hyperlink>
      <w:r>
        <w:rPr>
          <w:color w:val="5F6B73"/>
          <w:sz w:val="17"/>
        </w:rPr>
        <w:t xml:space="preserve">  [A43-R062]</w:t>
      </w:r>
    </w:p>
    <w:p>
      <w:pPr>
        <w:spacing w:after="60"/>
      </w:pPr>
      <w:r>
        <w:rPr>
          <w:b/>
          <w:color w:val="0B4F5C"/>
        </w:rPr>
        <w:t xml:space="preserve">Билингвальный поздний дар: </w:t>
      </w:r>
      <w:hyperlink r:id="rId43">
        <w:r>
          <w:rPr>
            <w:color w:val="0B57D0"/>
            <w:u w:val="single"/>
            <w:lang w:val="ru-RU"/>
          </w:rPr>
          <w:t>Hampran, Sanskrit + Old Javanese</w:t>
        </w:r>
      </w:hyperlink>
      <w:r>
        <w:rPr>
          <w:color w:val="5F6B73"/>
          <w:sz w:val="17"/>
        </w:rPr>
        <w:t xml:space="preserve">  [A43-R063]</w:t>
      </w:r>
    </w:p>
    <w:p>
      <w:pPr>
        <w:pStyle w:val="Heading1"/>
      </w:pPr>
      <w:r>
        <w:t>4. Карта прав и практического использования</w:t>
      </w:r>
    </w:p>
    <w:p>
      <w:r>
        <w:rPr>
          <w:b/>
        </w:rPr>
        <w:t xml:space="preserve">Сильный открытый слой. </w:t>
      </w:r>
      <w:r>
        <w:t>Четыре записи допускают зеркалирование без атрибуционной обязанности в силу CC0/Public Domain/Open Access scope; 35 записей допускают зеркалирование с атрибуцией; 18 из них требуют ShareAlike. Основной массив — item-level DHARMA CC BY-SA 4.0, repository-level DHARMA CC BY 4.0, CIC CC BY 3.0 и отдельные Commons/Met images.</w:t>
      </w:r>
    </w:p>
    <w:p>
      <w:r>
        <w:rPr>
          <w:b/>
        </w:rPr>
        <w:t xml:space="preserve">Некоммерческий неизменяемый слой. </w:t>
      </w:r>
      <w:r>
        <w:t>Семь SAC-записей используют CC BY-NC-ND 3.0 Thailand для SAC-authored content. ToS может ссылаться, читать, хранить исследовательскую копию и при соблюдении условий воспроизводить покрытый контент неизменённым, с атрибуцией и только некоммерчески. Отдельные фотографии требуют своей проверки.</w:t>
      </w:r>
    </w:p>
    <w:p>
      <w:r>
        <w:rPr>
          <w:b/>
        </w:rPr>
        <w:t xml:space="preserve">Read/download без доказанного mirroring. </w:t>
      </w:r>
      <w:r>
        <w:t>Persée, HAL, BRIN, PTS, Brill и два Zenodo release дают законный доступ, но не всегда дают право публичного повторного размещения. В этих строках сохранены LINK_ONLY и/или RIGHTS_REVIEW_REQUIRED, даже когда файл свободно скачивается.</w:t>
      </w:r>
    </w:p>
    <w:p>
      <w:r>
        <w:rPr>
          <w:b/>
        </w:rPr>
        <w:t xml:space="preserve">Metadata/link-only. </w:t>
      </w:r>
      <w:r>
        <w:t>UNESCO, официальный музей Võ Cạnh и WorldCat используются как identification/evidence/navigation. Их присутствие в реестре не означает разрешения копировать фотографии, каталожный текст или страницу целиком.</w:t>
      </w:r>
    </w:p>
    <w:p>
      <w:r>
        <w:rPr>
          <w:b/>
        </w:rPr>
        <w:t xml:space="preserve">Собственный перевод ToS. </w:t>
      </w:r>
      <w:r>
        <w:t>Тег OWN_TRANSLATION_POSSIBLE поставлен в 26 записях и всегда ограничен конкретным доступным слоем: item-level Sanskrit/Pali/Pyu/Old Khmer/Old Cham transcription или rights-cleared facsimile. Он не обещает перевод всего корпуса, если доступен лишь один фрагмент или один свидетель.</w:t>
      </w:r>
    </w:p>
    <w:tbl>
      <w:tblPr>
        <w:tblW w:type="auto" w:w="0"/>
        <w:jc w:val="center"/>
        <w:tblLayout w:type="fixed"/>
        <w:tblLook w:firstColumn="1" w:firstRow="1" w:lastColumn="0" w:lastRow="0" w:noHBand="0" w:noVBand="1" w:val="04A0"/>
        <w:tblBorders>
          <w:top w:val="single" w:sz="4" w:space="0" w:color="D7E2E5"/>
          <w:left w:val="single" w:sz="4" w:space="0" w:color="D7E2E5"/>
          <w:bottom w:val="single" w:sz="4" w:space="0" w:color="D7E2E5"/>
          <w:right w:val="single" w:sz="4" w:space="0" w:color="D7E2E5"/>
          <w:insideH w:val="single" w:sz="4" w:space="0" w:color="D7E2E5"/>
          <w:insideV w:val="single" w:sz="4" w:space="0" w:color="D7E2E5"/>
        </w:tblBorders>
      </w:tblPr>
      <w:tblGrid>
        <w:gridCol w:w="2268"/>
        <w:gridCol w:w="2381"/>
        <w:gridCol w:w="2551"/>
        <w:gridCol w:w="2381"/>
      </w:tblGrid>
      <w:tr>
        <w:trPr>
          <w:tblHeader w:val="true"/>
        </w:trPr>
        <w:tc>
          <w:tcPr>
            <w:tcW w:type="dxa" w:w="2438"/>
            <w:shd w:fill="0B4F5C"/>
          </w:tcPr>
          <w:p>
            <w:r>
              <w:rPr>
                <w:b/>
                <w:color w:val="FFFFFF"/>
                <w:sz w:val="16"/>
              </w:rPr>
              <w:t>Слой</w:t>
            </w:r>
          </w:p>
        </w:tc>
        <w:tc>
          <w:tcPr>
            <w:tcW w:type="dxa" w:w="2438"/>
            <w:shd w:fill="0B4F5C"/>
          </w:tcPr>
          <w:p>
            <w:r>
              <w:rPr>
                <w:b/>
                <w:color w:val="FFFFFF"/>
                <w:sz w:val="16"/>
              </w:rPr>
              <w:t>Типичные источники</w:t>
            </w:r>
          </w:p>
        </w:tc>
        <w:tc>
          <w:tcPr>
            <w:tcW w:type="dxa" w:w="2438"/>
            <w:shd w:fill="0B4F5C"/>
          </w:tcPr>
          <w:p>
            <w:r>
              <w:rPr>
                <w:b/>
                <w:color w:val="FFFFFF"/>
                <w:sz w:val="16"/>
              </w:rPr>
              <w:t>Допустимое действие ToS</w:t>
            </w:r>
          </w:p>
        </w:tc>
        <w:tc>
          <w:tcPr>
            <w:tcW w:type="dxa" w:w="2438"/>
            <w:shd w:fill="0B4F5C"/>
          </w:tcPr>
          <w:p>
            <w:r>
              <w:rPr>
                <w:b/>
                <w:color w:val="FFFFFF"/>
                <w:sz w:val="16"/>
              </w:rPr>
              <w:t>Ключевое ограничение</w:t>
            </w:r>
          </w:p>
        </w:tc>
      </w:tr>
      <w:tr>
        <w:tc>
          <w:tcPr>
            <w:tcW w:type="dxa" w:w="2268"/>
            <w:tcMar>
              <w:top w:w="80" w:type="dxa"/>
              <w:start w:w="90" w:type="dxa"/>
              <w:bottom w:w="80" w:type="dxa"/>
              <w:end w:w="90" w:type="dxa"/>
            </w:tcMar>
          </w:tcPr>
          <w:p>
            <w:r>
              <w:rPr>
                <w:sz w:val="16"/>
              </w:rPr>
              <w:t>Open text/data</w:t>
            </w:r>
          </w:p>
        </w:tc>
        <w:tc>
          <w:tcPr>
            <w:tcW w:type="dxa" w:w="2381"/>
            <w:tcMar>
              <w:top w:w="80" w:type="dxa"/>
              <w:start w:w="90" w:type="dxa"/>
              <w:bottom w:w="80" w:type="dxa"/>
              <w:end w:w="90" w:type="dxa"/>
            </w:tcMar>
          </w:tcPr>
          <w:p>
            <w:r>
              <w:rPr>
                <w:sz w:val="16"/>
              </w:rPr>
              <w:t>DHARMA item/repo, CIC text</w:t>
            </w:r>
          </w:p>
        </w:tc>
        <w:tc>
          <w:tcPr>
            <w:tcW w:type="dxa" w:w="2551"/>
            <w:tcMar>
              <w:top w:w="80" w:type="dxa"/>
              <w:start w:w="90" w:type="dxa"/>
              <w:bottom w:w="80" w:type="dxa"/>
              <w:end w:w="90" w:type="dxa"/>
            </w:tcMar>
          </w:tcPr>
          <w:p>
            <w:r>
              <w:rPr>
                <w:sz w:val="16"/>
              </w:rPr>
              <w:t>mirror, index, embeddings; собственный перевод в пределах coverage</w:t>
            </w:r>
          </w:p>
        </w:tc>
        <w:tc>
          <w:tcPr>
            <w:tcW w:type="dxa" w:w="2381"/>
            <w:tcMar>
              <w:top w:w="80" w:type="dxa"/>
              <w:start w:w="90" w:type="dxa"/>
              <w:bottom w:w="80" w:type="dxa"/>
              <w:end w:w="90" w:type="dxa"/>
            </w:tcMar>
          </w:tcPr>
          <w:p>
            <w:r>
              <w:rPr>
                <w:sz w:val="16"/>
              </w:rPr>
              <w:t>атрибуция; иногда ShareAlike; images separate</w:t>
            </w:r>
          </w:p>
        </w:tc>
      </w:tr>
      <w:tr>
        <w:tc>
          <w:tcPr>
            <w:tcW w:type="dxa" w:w="2268"/>
            <w:shd w:fill="F4F6F7"/>
            <w:tcMar>
              <w:top w:w="80" w:type="dxa"/>
              <w:start w:w="90" w:type="dxa"/>
              <w:bottom w:w="80" w:type="dxa"/>
              <w:end w:w="90" w:type="dxa"/>
            </w:tcMar>
          </w:tcPr>
          <w:p>
            <w:r>
              <w:rPr>
                <w:sz w:val="16"/>
              </w:rPr>
              <w:t>Open image</w:t>
            </w:r>
          </w:p>
        </w:tc>
        <w:tc>
          <w:tcPr>
            <w:tcW w:type="dxa" w:w="2381"/>
            <w:shd w:fill="F4F6F7"/>
            <w:tcMar>
              <w:top w:w="80" w:type="dxa"/>
              <w:start w:w="90" w:type="dxa"/>
              <w:bottom w:w="80" w:type="dxa"/>
              <w:end w:w="90" w:type="dxa"/>
            </w:tcMar>
          </w:tcPr>
          <w:p>
            <w:r>
              <w:rPr>
                <w:sz w:val="16"/>
              </w:rPr>
              <w:t>Commons CC0/CC BY/CC BY-SA, The Met PD</w:t>
            </w:r>
          </w:p>
        </w:tc>
        <w:tc>
          <w:tcPr>
            <w:tcW w:type="dxa" w:w="2551"/>
            <w:shd w:fill="F4F6F7"/>
            <w:tcMar>
              <w:top w:w="80" w:type="dxa"/>
              <w:start w:w="90" w:type="dxa"/>
              <w:bottom w:w="80" w:type="dxa"/>
              <w:end w:w="90" w:type="dxa"/>
            </w:tcMar>
          </w:tcPr>
          <w:p>
            <w:r>
              <w:rPr>
                <w:sz w:val="16"/>
              </w:rPr>
              <w:t>mirror; OCR; embeddings; visual publication</w:t>
            </w:r>
          </w:p>
        </w:tc>
        <w:tc>
          <w:tcPr>
            <w:tcW w:type="dxa" w:w="2381"/>
            <w:shd w:fill="F4F6F7"/>
            <w:tcMar>
              <w:top w:w="80" w:type="dxa"/>
              <w:start w:w="90" w:type="dxa"/>
              <w:bottom w:w="80" w:type="dxa"/>
              <w:end w:w="90" w:type="dxa"/>
            </w:tcMar>
          </w:tcPr>
          <w:p>
            <w:r>
              <w:rPr>
                <w:sz w:val="16"/>
              </w:rPr>
              <w:t>соблюдать точную file-level licence</w:t>
            </w:r>
          </w:p>
        </w:tc>
      </w:tr>
      <w:tr>
        <w:tc>
          <w:tcPr>
            <w:tcW w:type="dxa" w:w="2268"/>
            <w:tcMar>
              <w:top w:w="80" w:type="dxa"/>
              <w:start w:w="90" w:type="dxa"/>
              <w:bottom w:w="80" w:type="dxa"/>
              <w:end w:w="90" w:type="dxa"/>
            </w:tcMar>
          </w:tcPr>
          <w:p>
            <w:r>
              <w:rPr>
                <w:sz w:val="16"/>
              </w:rPr>
              <w:t>NC-ND</w:t>
            </w:r>
          </w:p>
        </w:tc>
        <w:tc>
          <w:tcPr>
            <w:tcW w:type="dxa" w:w="2381"/>
            <w:tcMar>
              <w:top w:w="80" w:type="dxa"/>
              <w:start w:w="90" w:type="dxa"/>
              <w:bottom w:w="80" w:type="dxa"/>
              <w:end w:w="90" w:type="dxa"/>
            </w:tcMar>
          </w:tcPr>
          <w:p>
            <w:r>
              <w:rPr>
                <w:sz w:val="16"/>
              </w:rPr>
              <w:t>SAC Thailand</w:t>
            </w:r>
          </w:p>
        </w:tc>
        <w:tc>
          <w:tcPr>
            <w:tcW w:type="dxa" w:w="2551"/>
            <w:tcMar>
              <w:top w:w="80" w:type="dxa"/>
              <w:start w:w="90" w:type="dxa"/>
              <w:bottom w:w="80" w:type="dxa"/>
              <w:end w:w="90" w:type="dxa"/>
            </w:tcMar>
          </w:tcPr>
          <w:p>
            <w:r>
              <w:rPr>
                <w:sz w:val="16"/>
              </w:rPr>
              <w:t>link/read; research copy; неизменное NC-воспроизведение</w:t>
            </w:r>
          </w:p>
        </w:tc>
        <w:tc>
          <w:tcPr>
            <w:tcW w:type="dxa" w:w="2381"/>
            <w:tcMar>
              <w:top w:w="80" w:type="dxa"/>
              <w:start w:w="90" w:type="dxa"/>
              <w:bottom w:w="80" w:type="dxa"/>
              <w:end w:w="90" w:type="dxa"/>
            </w:tcMar>
          </w:tcPr>
          <w:p>
            <w:r>
              <w:rPr>
                <w:sz w:val="16"/>
              </w:rPr>
              <w:t>no derivatives; third-party image rights</w:t>
            </w:r>
          </w:p>
        </w:tc>
      </w:tr>
      <w:tr>
        <w:tc>
          <w:tcPr>
            <w:tcW w:type="dxa" w:w="2268"/>
            <w:shd w:fill="F4F6F7"/>
            <w:tcMar>
              <w:top w:w="80" w:type="dxa"/>
              <w:start w:w="90" w:type="dxa"/>
              <w:bottom w:w="80" w:type="dxa"/>
              <w:end w:w="90" w:type="dxa"/>
            </w:tcMar>
          </w:tcPr>
          <w:p>
            <w:r>
              <w:rPr>
                <w:sz w:val="16"/>
              </w:rPr>
              <w:t>Research access</w:t>
            </w:r>
          </w:p>
        </w:tc>
        <w:tc>
          <w:tcPr>
            <w:tcW w:type="dxa" w:w="2381"/>
            <w:shd w:fill="F4F6F7"/>
            <w:tcMar>
              <w:top w:w="80" w:type="dxa"/>
              <w:start w:w="90" w:type="dxa"/>
              <w:bottom w:w="80" w:type="dxa"/>
              <w:end w:w="90" w:type="dxa"/>
            </w:tcMar>
          </w:tcPr>
          <w:p>
            <w:r>
              <w:rPr>
                <w:sz w:val="16"/>
              </w:rPr>
              <w:t>Persée, HAL, BRIN, PTS, Zenodo</w:t>
            </w:r>
          </w:p>
        </w:tc>
        <w:tc>
          <w:tcPr>
            <w:tcW w:type="dxa" w:w="2551"/>
            <w:shd w:fill="F4F6F7"/>
            <w:tcMar>
              <w:top w:w="80" w:type="dxa"/>
              <w:start w:w="90" w:type="dxa"/>
              <w:bottom w:w="80" w:type="dxa"/>
              <w:end w:w="90" w:type="dxa"/>
            </w:tcMar>
          </w:tcPr>
          <w:p>
            <w:r>
              <w:rPr>
                <w:sz w:val="16"/>
              </w:rPr>
              <w:t>read/download/local research; внешняя ссылка</w:t>
            </w:r>
          </w:p>
        </w:tc>
        <w:tc>
          <w:tcPr>
            <w:tcW w:type="dxa" w:w="2381"/>
            <w:shd w:fill="F4F6F7"/>
            <w:tcMar>
              <w:top w:w="80" w:type="dxa"/>
              <w:start w:w="90" w:type="dxa"/>
              <w:bottom w:w="80" w:type="dxa"/>
              <w:end w:w="90" w:type="dxa"/>
            </w:tcMar>
          </w:tcPr>
          <w:p>
            <w:r>
              <w:rPr>
                <w:sz w:val="16"/>
              </w:rPr>
              <w:t>download ≠ redistribution licence</w:t>
            </w:r>
          </w:p>
        </w:tc>
      </w:tr>
      <w:tr>
        <w:tc>
          <w:tcPr>
            <w:tcW w:type="dxa" w:w="2268"/>
            <w:tcMar>
              <w:top w:w="80" w:type="dxa"/>
              <w:start w:w="90" w:type="dxa"/>
              <w:bottom w:w="80" w:type="dxa"/>
              <w:end w:w="90" w:type="dxa"/>
            </w:tcMar>
          </w:tcPr>
          <w:p>
            <w:r>
              <w:rPr>
                <w:sz w:val="16"/>
              </w:rPr>
              <w:t>Metadata only</w:t>
            </w:r>
          </w:p>
        </w:tc>
        <w:tc>
          <w:tcPr>
            <w:tcW w:type="dxa" w:w="2381"/>
            <w:tcMar>
              <w:top w:w="80" w:type="dxa"/>
              <w:start w:w="90" w:type="dxa"/>
              <w:bottom w:w="80" w:type="dxa"/>
              <w:end w:w="90" w:type="dxa"/>
            </w:tcMar>
          </w:tcPr>
          <w:p>
            <w:r>
              <w:rPr>
                <w:sz w:val="16"/>
              </w:rPr>
              <w:t>UNESCO, museum, WorldCat</w:t>
            </w:r>
          </w:p>
        </w:tc>
        <w:tc>
          <w:tcPr>
            <w:tcW w:type="dxa" w:w="2551"/>
            <w:tcMar>
              <w:top w:w="80" w:type="dxa"/>
              <w:start w:w="90" w:type="dxa"/>
              <w:bottom w:w="80" w:type="dxa"/>
              <w:end w:w="90" w:type="dxa"/>
            </w:tcMar>
          </w:tcPr>
          <w:p>
            <w:r>
              <w:rPr>
                <w:sz w:val="16"/>
              </w:rPr>
              <w:t>bibliographic card and external link</w:t>
            </w:r>
          </w:p>
        </w:tc>
        <w:tc>
          <w:tcPr>
            <w:tcW w:type="dxa" w:w="2381"/>
            <w:tcMar>
              <w:top w:w="80" w:type="dxa"/>
              <w:start w:w="90" w:type="dxa"/>
              <w:bottom w:w="80" w:type="dxa"/>
              <w:end w:w="90" w:type="dxa"/>
            </w:tcMar>
          </w:tcPr>
          <w:p>
            <w:r>
              <w:rPr>
                <w:sz w:val="16"/>
              </w:rPr>
              <w:t>не копировать page text/image без права</w:t>
            </w:r>
          </w:p>
        </w:tc>
      </w:tr>
    </w:tbl>
    <w:p>
      <w:pPr>
        <w:pStyle w:val="Heading1"/>
      </w:pPr>
      <w:r>
        <w:t>5. Характерные правовые тонкости</w:t>
      </w:r>
    </w:p>
    <w:p>
      <w:r>
        <w:rPr>
          <w:b/>
          <w:color w:val="0B4F5C"/>
        </w:rPr>
        <w:t xml:space="preserve">Древний оригинал и современный слой не совпадают. </w:t>
      </w:r>
      <w:r>
        <w:t>Сама надпись свободна как древнее произведение, но современная реконструкция, перевод, apparatus, photograph и database record могут быть защищены независимо.</w:t>
      </w:r>
    </w:p>
    <w:p>
      <w:r>
        <w:rPr>
          <w:b/>
          <w:color w:val="0B4F5C"/>
        </w:rPr>
        <w:t xml:space="preserve">DHARMA: text/data open, images separate. </w:t>
      </w:r>
      <w:r>
        <w:t>Item XML обычно прямо содержит CC BY-SA 4.0, а repository README — CC BY 4.0 для edited XML. Нельзя автоматически перенести эту лицензию на EFEO estampages, museum photos и cited publications.</w:t>
      </w:r>
    </w:p>
    <w:p>
      <w:r>
        <w:rPr>
          <w:b/>
          <w:color w:val="0B4F5C"/>
        </w:rPr>
        <w:t xml:space="preserve">CIC: открытый текст и permission-only photos на одной странице. </w:t>
      </w:r>
      <w:r>
        <w:t>CC BY 3.0 применяется к project-owned content; C.217, например, показывает фотографии с формулой «reproduced by permission». Поэтому текст/XML и изображения описаны как разные rights scopes.</w:t>
      </w:r>
    </w:p>
    <w:p>
      <w:r>
        <w:rPr>
          <w:b/>
          <w:color w:val="0B4F5C"/>
        </w:rPr>
        <w:t xml:space="preserve">SAC: NoDerivatives действительно важно. </w:t>
      </w:r>
      <w:r>
        <w:t>CC BY-NC-ND разрешает неизменное некоммерческое распространение покрытого материала, но не даёт автоматического права публиковать переработанную транскрипцию или перевод защищённой редакции. Новый перевод должен основываться на independently read ancient text или ином чистом слое.</w:t>
      </w:r>
    </w:p>
    <w:p>
      <w:r>
        <w:rPr>
          <w:b/>
          <w:color w:val="0B4F5C"/>
        </w:rPr>
        <w:t xml:space="preserve">Старое издание Vogel 1918. </w:t>
      </w:r>
      <w:r>
        <w:t>Публикация public domain в США по дате, но автор умер в 1958 году; в life+70 jurisdictions статус может различаться до конца соответствующего срока. Поэтому MIRROR_OK не переносится безусловно на весь мир.</w:t>
      </w:r>
    </w:p>
    <w:p>
      <w:r>
        <w:rPr>
          <w:b/>
          <w:color w:val="0B4F5C"/>
        </w:rPr>
        <w:t xml:space="preserve">Zenodo и GitHub не доказывают лицензию. </w:t>
      </w:r>
      <w:r>
        <w:t>Corpus of Pyu inscriptions и SIDDHAM можно скачать, но отсутствие явной component-level licence оставляет их в режиме research copy/link until review.</w:t>
      </w:r>
    </w:p>
    <w:p>
      <w:r>
        <w:rPr>
          <w:b/>
          <w:color w:val="0B4F5C"/>
        </w:rPr>
        <w:t xml:space="preserve">Public Domain Mark — не лицензия. </w:t>
      </w:r>
      <w:r>
        <w:t>В реестре он описан как rights statement/маркер, а не как договорная лицензия. Для исторического Kutai scan сохранена юрисдикционная оговорка.</w:t>
      </w:r>
    </w:p>
    <w:p>
      <w:r>
        <w:rPr>
          <w:b/>
          <w:color w:val="0B4F5C"/>
        </w:rPr>
        <w:t xml:space="preserve">Физическое владение отдельно от copyright. </w:t>
      </w:r>
      <w:r>
        <w:t>Музей может контролировать доступ к предмету и своим фотографиям, даже если древний текст не охраняется авторским правом.</w:t>
      </w:r>
    </w:p>
    <w:p>
      <w:pPr>
        <w:pStyle w:val="Heading1"/>
      </w:pPr>
      <w:r>
        <w:t>6. Пробелы и дальнейший поиск</w:t>
      </w:r>
    </w:p>
    <w:p>
      <w:r>
        <w:rPr>
          <w:b/>
        </w:rPr>
        <w:t xml:space="preserve">Основные незакрытые зоны. </w:t>
      </w:r>
      <w:r>
        <w:t>На gaps вынесены 20 пунктов. Самый крупный структурный пробел — не Tugu, а остальные ранние Tarumanagara inscriptions: они известны и подтверждены кластерно, но не получили в этом проходе сильных item-level editions с устойчивыми идентификаторами и прозрачными правами. Другие пробелы — полный современный Kutai corpus, current critical edition of Võ Cạnh, прямое сопоставление Sambor Prei Kuk site &lt;-&gt; K-number &lt;-&gt; DHARMA ID, отдельные палийские объекты Chai Nat/Śrīkṣetra/Go Xoai и лицензии двух downloadable datasets.</w:t>
      </w:r>
    </w:p>
    <w:p>
      <w:r>
        <w:rPr>
          <w:b/>
        </w:rPr>
        <w:t xml:space="preserve">Недоступная ссылка. </w:t>
      </w:r>
      <w:r>
        <w:t>Legacy Huma-Num Pyu application была нестабильна/недоступна во время проверки; она сохранена как temporarily_unavailable, поскольку остаётся исторически значимым интерфейсом.</w:t>
      </w:r>
    </w:p>
    <w:p>
      <w:r>
        <w:rPr>
          <w:b/>
        </w:rPr>
        <w:t xml:space="preserve">Library/purchase layer. </w:t>
      </w:r>
      <w:r>
        <w:t>Vogel доступен через издателя и WorldCat. Для Cœdès, Inscriptions du Cambodge, не найден безопасный full-digital mirror; серия оставлена как borrow/purchase follow-up, а не заменена подозрительным PDF.</w:t>
      </w:r>
    </w:p>
    <w:p>
      <w:r>
        <w:rPr>
          <w:b/>
        </w:rPr>
        <w:t xml:space="preserve">Unverified candidates. </w:t>
      </w:r>
      <w:r>
        <w:t>Go Xoai и несколько объектных подкорпусов подтверждаются specialist bibliography, но не включены как установленные item-level цифровые объекты без музейной/корпусной карточки.</w:t>
      </w:r>
    </w:p>
    <w:p>
      <w:pPr>
        <w:pStyle w:val="Heading2"/>
      </w:pPr>
      <w:r>
        <w:t>6.1. Приоритетные targeted follow-up</w:t>
      </w:r>
    </w:p>
    <w:p>
      <w:pPr>
        <w:pStyle w:val="ListNumber"/>
      </w:pPr>
      <w:r>
        <w:t>Закрыть шесть Tarumanagara items: Ciaruteun, Jambu, Kebon Kopi I, Cidanghiang/Lebak, Muara Cianten, Pasir Awi — с disambiguation, inventory IDs, photographs и rights statements.</w:t>
      </w:r>
    </w:p>
    <w:p>
      <w:pPr>
        <w:pStyle w:val="ListNumber"/>
      </w:pPr>
      <w:r>
        <w:t>Найти современный open/borrow critical corpus всех Kutai yūpa; связать каждое изображение с конкретным yūpa, строками и reading.</w:t>
      </w:r>
    </w:p>
    <w:p>
      <w:pPr>
        <w:pStyle w:val="ListNumber"/>
      </w:pPr>
      <w:r>
        <w:t>Собрать Võ Cạnh edition dossier: Finot/Cœdès/Schweyer/Zakharov/Griffiths, отдельные readings и аргументы датировки; найти stable current text.</w:t>
      </w:r>
    </w:p>
    <w:p>
      <w:pPr>
        <w:pStyle w:val="ListNumber"/>
      </w:pPr>
      <w:r>
        <w:t>Построить crosswalk Sambor Prei Kuk/Īśānapura: UNESCO nomination inventory → CIK K-number → DHARMA identifier → physical locus.</w:t>
      </w:r>
    </w:p>
    <w:p>
      <w:pPr>
        <w:pStyle w:val="ListNumber"/>
      </w:pPr>
      <w:r>
        <w:t>Найти законные volume-level routes для Inscriptions du Cambodge: EFEO, BnF, HathiTrust/IA controlled lending или официальная покупка.</w:t>
      </w:r>
    </w:p>
    <w:p>
      <w:pPr>
        <w:pStyle w:val="ListNumber"/>
      </w:pPr>
      <w:r>
        <w:t>Разрешить Pyu rights: license of Zenodo release, item-level photos/estampages, IIIF/bulk layer и соответствие шестидесяти+ witness IDs.</w:t>
      </w:r>
    </w:p>
    <w:p>
      <w:pPr>
        <w:pStyle w:val="ListNumber"/>
      </w:pPr>
      <w:r>
        <w:t>Получить item-level карточки для Chai Nat dhammacakka, octagonal pillar, Śrīkṣetra paritta и Go Xoai; не оставлять их только внутри статей Skilling.</w:t>
      </w:r>
    </w:p>
    <w:p>
      <w:pPr>
        <w:pStyle w:val="ListNumber"/>
      </w:pPr>
      <w:r>
        <w:t>Проверить SIDDHAM licence и продолжить island halo: Talang Tuo, Kota Kapur, Canggal, не смешивая их с омонимичными поздними DHARMA records.</w:t>
      </w:r>
    </w:p>
    <w:p>
      <w:pPr>
        <w:pStyle w:val="Heading1"/>
      </w:pPr>
      <w:r>
        <w:t>7. Итоговая оценка</w:t>
      </w:r>
    </w:p>
    <w:tbl>
      <w:tblPr>
        <w:tblW w:type="auto" w:w="0"/>
        <w:jc w:val="center"/>
        <w:tblLayout w:type="fixed"/>
        <w:tblLook w:firstColumn="1" w:firstRow="1" w:lastColumn="0" w:lastRow="0" w:noHBand="0" w:noVBand="1" w:val="04A0"/>
        <w:tblBorders>
          <w:top w:val="single" w:sz="4" w:space="0" w:color="D7E2E5"/>
          <w:left w:val="single" w:sz="4" w:space="0" w:color="D7E2E5"/>
          <w:bottom w:val="single" w:sz="4" w:space="0" w:color="D7E2E5"/>
          <w:right w:val="single" w:sz="4" w:space="0" w:color="D7E2E5"/>
          <w:insideH w:val="single" w:sz="4" w:space="0" w:color="D7E2E5"/>
          <w:insideV w:val="single" w:sz="4" w:space="0" w:color="D7E2E5"/>
        </w:tblBorders>
      </w:tblPr>
      <w:tblGrid>
        <w:gridCol w:w="2381"/>
        <w:gridCol w:w="7200"/>
      </w:tblGrid>
      <w:tr>
        <w:tc>
          <w:tcPr>
            <w:tcW w:type="dxa" w:w="2381"/>
            <w:shd w:fill="0B4F5C"/>
            <w:tcMar>
              <w:top w:w="80" w:type="dxa"/>
              <w:start w:w="90" w:type="dxa"/>
              <w:bottom w:w="80" w:type="dxa"/>
              <w:end w:w="90" w:type="dxa"/>
            </w:tcMar>
          </w:tcPr>
          <w:p>
            <w:r>
              <w:rPr>
                <w:b/>
                <w:color w:val="FFFFFF"/>
                <w:sz w:val="17"/>
              </w:rPr>
              <w:t>Покрытие корпуса</w:t>
            </w:r>
          </w:p>
        </w:tc>
        <w:tc>
          <w:tcPr>
            <w:tcW w:type="dxa" w:w="7200"/>
            <w:tcMar>
              <w:top w:w="80" w:type="dxa"/>
              <w:start w:w="90" w:type="dxa"/>
              <w:bottom w:w="80" w:type="dxa"/>
              <w:end w:w="90" w:type="dxa"/>
            </w:tcMar>
          </w:tcPr>
          <w:p>
            <w:r>
              <w:rPr>
                <w:sz w:val="17"/>
              </w:rPr>
              <w:t>Хорошее для ядра как набора крупных субкластеров; неравномерное внутри Tarumanagara и в image layer Пью/Sambor.</w:t>
            </w:r>
          </w:p>
        </w:tc>
      </w:tr>
      <w:tr>
        <w:tc>
          <w:tcPr>
            <w:tcW w:type="dxa" w:w="2381"/>
            <w:shd w:fill="E8F3F4"/>
            <w:tcMar>
              <w:top w:w="80" w:type="dxa"/>
              <w:start w:w="90" w:type="dxa"/>
              <w:bottom w:w="80" w:type="dxa"/>
              <w:end w:w="90" w:type="dxa"/>
            </w:tcMar>
          </w:tcPr>
          <w:p>
            <w:r>
              <w:rPr>
                <w:b/>
                <w:color w:val="0B4F5C"/>
                <w:sz w:val="17"/>
              </w:rPr>
              <w:t>Доступность оригиналов</w:t>
            </w:r>
          </w:p>
        </w:tc>
        <w:tc>
          <w:tcPr>
            <w:tcW w:type="dxa" w:w="7200"/>
            <w:shd w:fill="F4F6F7"/>
            <w:tcMar>
              <w:top w:w="80" w:type="dxa"/>
              <w:start w:w="90" w:type="dxa"/>
              <w:bottom w:w="80" w:type="dxa"/>
              <w:end w:w="90" w:type="dxa"/>
            </w:tcMar>
          </w:tcPr>
          <w:p>
            <w:r>
              <w:rPr>
                <w:sz w:val="17"/>
              </w:rPr>
              <w:t>Сильная там, где есть DHARMA item XML и rights-cleared Commons images; средняя для SAC и Zenodo; слабее для отдельных музейных объектов без open photo.</w:t>
            </w:r>
          </w:p>
        </w:tc>
      </w:tr>
      <w:tr>
        <w:tc>
          <w:tcPr>
            <w:tcW w:type="dxa" w:w="2381"/>
            <w:shd w:fill="E8F3F4"/>
            <w:tcMar>
              <w:top w:w="80" w:type="dxa"/>
              <w:start w:w="90" w:type="dxa"/>
              <w:bottom w:w="80" w:type="dxa"/>
              <w:end w:w="90" w:type="dxa"/>
            </w:tcMar>
          </w:tcPr>
          <w:p>
            <w:r>
              <w:rPr>
                <w:b/>
                <w:color w:val="0B4F5C"/>
                <w:sz w:val="17"/>
              </w:rPr>
              <w:t>Доступность переводов</w:t>
            </w:r>
          </w:p>
        </w:tc>
        <w:tc>
          <w:tcPr>
            <w:tcW w:type="dxa" w:w="7200"/>
            <w:tcMar>
              <w:top w:w="80" w:type="dxa"/>
              <w:start w:w="90" w:type="dxa"/>
              <w:bottom w:w="80" w:type="dxa"/>
              <w:end w:w="90" w:type="dxa"/>
            </w:tcMar>
          </w:tcPr>
          <w:p>
            <w:r>
              <w:rPr>
                <w:sz w:val="17"/>
              </w:rPr>
              <w:t>Хорошая для ряда DHARMA/CIC items; фрагментарная для Пью и Thai records; современные критические переводы часто остаются research-only.</w:t>
            </w:r>
          </w:p>
        </w:tc>
      </w:tr>
      <w:tr>
        <w:tc>
          <w:tcPr>
            <w:tcW w:type="dxa" w:w="2381"/>
            <w:shd w:fill="E8F3F4"/>
            <w:tcMar>
              <w:top w:w="80" w:type="dxa"/>
              <w:start w:w="90" w:type="dxa"/>
              <w:bottom w:w="80" w:type="dxa"/>
              <w:end w:w="90" w:type="dxa"/>
            </w:tcMar>
          </w:tcPr>
          <w:p>
            <w:r>
              <w:rPr>
                <w:b/>
                <w:color w:val="0B4F5C"/>
                <w:sz w:val="17"/>
              </w:rPr>
              <w:t>Наиболее свободный слой</w:t>
            </w:r>
          </w:p>
        </w:tc>
        <w:tc>
          <w:tcPr>
            <w:tcW w:type="dxa" w:w="7200"/>
            <w:shd w:fill="F4F6F7"/>
            <w:tcMar>
              <w:top w:w="80" w:type="dxa"/>
              <w:start w:w="90" w:type="dxa"/>
              <w:bottom w:w="80" w:type="dxa"/>
              <w:end w:w="90" w:type="dxa"/>
            </w:tcMar>
          </w:tcPr>
          <w:p>
            <w:r>
              <w:rPr>
                <w:sz w:val="17"/>
              </w:rPr>
              <w:t>TEI/EpiDoc DHARMA; CIC project-owned text; CC0/CC BY/CC BY-SA photographs; The Met Public Domain image; CC0 SuttaCentral/Bilara data.</w:t>
            </w:r>
          </w:p>
        </w:tc>
      </w:tr>
      <w:tr>
        <w:tc>
          <w:tcPr>
            <w:tcW w:type="dxa" w:w="2381"/>
            <w:shd w:fill="E8F3F4"/>
            <w:tcMar>
              <w:top w:w="80" w:type="dxa"/>
              <w:start w:w="90" w:type="dxa"/>
              <w:bottom w:w="80" w:type="dxa"/>
              <w:end w:w="90" w:type="dxa"/>
            </w:tcMar>
          </w:tcPr>
          <w:p>
            <w:r>
              <w:rPr>
                <w:b/>
                <w:color w:val="0B4F5C"/>
                <w:sz w:val="17"/>
              </w:rPr>
              <w:t>Главные ограничения</w:t>
            </w:r>
          </w:p>
        </w:tc>
        <w:tc>
          <w:tcPr>
            <w:tcW w:type="dxa" w:w="7200"/>
            <w:tcMar>
              <w:top w:w="80" w:type="dxa"/>
              <w:start w:w="90" w:type="dxa"/>
              <w:bottom w:w="80" w:type="dxa"/>
              <w:end w:w="90" w:type="dxa"/>
            </w:tcMar>
          </w:tcPr>
          <w:p>
            <w:r>
              <w:rPr>
                <w:sz w:val="17"/>
              </w:rPr>
              <w:t>component-level image rights, SAC NoDerivatives, download-without-licence datasets, global term of Vogel 1918, отсутствующие item-level Tarumanagara records.</w:t>
            </w:r>
          </w:p>
        </w:tc>
      </w:tr>
      <w:tr>
        <w:tc>
          <w:tcPr>
            <w:tcW w:type="dxa" w:w="2381"/>
            <w:shd w:fill="E8F3F4"/>
            <w:tcMar>
              <w:top w:w="80" w:type="dxa"/>
              <w:start w:w="90" w:type="dxa"/>
              <w:bottom w:w="80" w:type="dxa"/>
              <w:end w:w="90" w:type="dxa"/>
            </w:tcMar>
          </w:tcPr>
          <w:p>
            <w:r>
              <w:rPr>
                <w:b/>
                <w:color w:val="0B4F5C"/>
                <w:sz w:val="17"/>
              </w:rPr>
              <w:t>Готовность для Codex</w:t>
            </w:r>
          </w:p>
        </w:tc>
        <w:tc>
          <w:tcPr>
            <w:tcW w:type="dxa" w:w="7200"/>
            <w:shd w:fill="F4F6F7"/>
            <w:tcMar>
              <w:top w:w="80" w:type="dxa"/>
              <w:start w:w="90" w:type="dxa"/>
              <w:bottom w:w="80" w:type="dxa"/>
              <w:end w:w="90" w:type="dxa"/>
            </w:tcMar>
          </w:tcPr>
          <w:p>
            <w:r>
              <w:rPr>
                <w:sz w:val="17"/>
              </w:rPr>
              <w:t>Да. Реестр нормализован до access-path level, содержит stable IDs, direct downloads, rights scopes, tos_use и отдельный gaps sheet. Нужна последующая межстроковая дедупликация, но не повторное базовое исследование.</w:t>
            </w:r>
          </w:p>
        </w:tc>
      </w:tr>
    </w:tbl>
    <w:p/>
    <w:tbl>
      <w:tblPr>
        <w:tblW w:type="auto" w:w="0"/>
        <w:tblLook w:firstColumn="1" w:firstRow="1" w:lastColumn="0" w:lastRow="0" w:noHBand="0" w:noVBand="1" w:val="04A0"/>
      </w:tblPr>
      <w:tblGrid>
        <w:gridCol w:w="9752"/>
      </w:tblGrid>
      <w:tr>
        <w:tc>
          <w:tcPr>
            <w:tcW w:type="dxa" w:w="9752"/>
            <w:shd w:fill="E8F3F4"/>
            <w:tcMar>
              <w:top w:w="150" w:type="dxa"/>
              <w:start w:w="180" w:type="dxa"/>
              <w:bottom w:w="150" w:type="dxa"/>
              <w:end w:w="180" w:type="dxa"/>
            </w:tcMar>
          </w:tcPr>
          <w:p>
            <w:r>
              <w:rPr>
                <w:b/>
                <w:color w:val="0B4F5C"/>
              </w:rPr>
              <w:t xml:space="preserve">Вердикт: </w:t>
            </w:r>
            <w:r>
              <w:t>пакет пригоден для передачи Codex. Он охватывает ядро, открытый хронологический контур, rights evidence и честно локализованные пробелы, не подменяя отсутствие права удобством скачивания.</w:t>
            </w:r>
          </w:p>
        </w:tc>
      </w:tr>
    </w:tbl>
    <w:p/>
    <w:p>
      <w:pPr>
        <w:pStyle w:val="SmallNote"/>
        <w:jc w:val="center"/>
      </w:pPr>
      <w:r>
        <w:t>Связанный файл: ToS_Corpus_Rights_A43_registry.xlsx · листы registry и gaps · 63 + 20 записей.</w:t>
      </w:r>
    </w:p>
    <w:sectPr w:rsidR="00FC693F" w:rsidRPr="0006063C" w:rsidSect="00034616">
      <w:headerReference w:type="default" r:id="rId9"/>
      <w:footerReference w:type="default" r:id="rId10"/>
      <w:pgSz w:w="11906" w:h="16838"/>
      <w:pgMar w:top="992" w:right="1077" w:bottom="964" w:left="107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Tree of Sophia  ·  проверено 03.09.2026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Pr>
        <w:color w:val="0B4F5C"/>
      </w:rPr>
      <w:t>ToS Corpus &amp; Rights Registry  ·  A43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69" w:lineRule="auto"/>
    </w:pPr>
    <w:rPr>
      <w:rFonts w:ascii="Noto Sans" w:hAnsi="Noto Sans" w:eastAsia="Noto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Noto Sans" w:hAnsi="Noto Sans" w:eastAsia="Noto Sans"/>
      <w:b/>
      <w:bCs/>
      <w:color w:val="0B4F5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eastAsia="Noto Sans"/>
      <w:b/>
      <w:bCs/>
      <w:color w:val="2A7F8E"/>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w:hAnsi="Noto Sans" w:eastAsia="Noto Sans"/>
      <w:b/>
      <w:bCs/>
      <w:color w:val="0B4F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w:hAnsi="Noto Sans" w:eastAsia="Noto Sans"/>
      <w:b/>
      <w:color w:val="0B4F5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Noto Sans" w:hAnsi="Noto Sans" w:eastAsia="Noto Sans"/>
      <w:b/>
      <w:i/>
      <w:iCs/>
      <w:color w:val="2A7F8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rPr>
      <w:rFonts w:ascii="Noto Sans" w:hAnsi="Noto Sans" w:eastAsia="Noto Sans"/>
      <w:sz w:val="19"/>
    </w:rPr>
  </w:style>
  <w:style w:type="paragraph" w:styleId="ListBullet2">
    <w:name w:val="List Bullet 2"/>
    <w:basedOn w:val="Normal"/>
    <w:uiPriority w:val="99"/>
    <w:unhideWhenUsed/>
    <w:rsid w:val="00326F90"/>
    <w:pPr>
      <w:numPr>
        <w:numId w:val="2"/>
      </w:numPr>
      <w:spacing w:after="50" w:line="259" w:lineRule="auto"/>
      <w:contextualSpacing/>
    </w:pPr>
    <w:rPr>
      <w:rFonts w:ascii="Noto Sans" w:hAnsi="Noto Sans" w:eastAsia="Noto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rPr>
      <w:rFonts w:ascii="Noto Sans" w:hAnsi="Noto Sans" w:eastAsia="Noto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52" w:lineRule="auto"/>
    </w:pPr>
    <w:rPr>
      <w:rFonts w:ascii="Noto Sans" w:hAnsi="Noto Sans" w:eastAsia="Noto Sans"/>
      <w:color w:val="5F6B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harmalekha.info/texts/INSIDENKTugu" TargetMode="External"/><Relationship Id="rId12" Type="http://schemas.openxmlformats.org/officeDocument/2006/relationships/hyperlink" Target="https://raw.githubusercontent.com/erc-dharma/tfc-nusantara-epigraphy/master/xml/DHARMA_INSIDENKTugu.xml" TargetMode="External"/><Relationship Id="rId13" Type="http://schemas.openxmlformats.org/officeDocument/2006/relationships/hyperlink" Target="https://ejournal.brin.go.id/amerta/article/download/14972/12337/48548" TargetMode="External"/><Relationship Id="rId14" Type="http://schemas.openxmlformats.org/officeDocument/2006/relationships/hyperlink" Target="https://baotanglichsu.vn/en/Articles/1004/28304/vo-canh-stele.html" TargetMode="External"/><Relationship Id="rId15" Type="http://schemas.openxmlformats.org/officeDocument/2006/relationships/hyperlink" Target="https://commons.wikimedia.org/wiki/File:Vo_Canh_stele_(National_Museum_of_Vietnamese_History).jpg" TargetMode="External"/><Relationship Id="rId16" Type="http://schemas.openxmlformats.org/officeDocument/2006/relationships/hyperlink" Target="https://shs.hal.science/halshs-01958897/document" TargetMode="External"/><Relationship Id="rId17" Type="http://schemas.openxmlformats.org/officeDocument/2006/relationships/hyperlink" Target="https://www.persee.fr/doc/befeo_0336-1519_1999_num_86_1_3415" TargetMode="External"/><Relationship Id="rId18" Type="http://schemas.openxmlformats.org/officeDocument/2006/relationships/hyperlink" Target="https://brill.com/view/journals/bki/74/1/article-p167_4.xml" TargetMode="External"/><Relationship Id="rId19" Type="http://schemas.openxmlformats.org/officeDocument/2006/relationships/hyperlink" Target="https://commons.wikimedia.org/wiki/File:4th_century_Sanskrit_Yupa_inscriptions_of_Mulavarman,_Kutei_East_Kalimantan,_Indonesia.jpg" TargetMode="External"/><Relationship Id="rId20" Type="http://schemas.openxmlformats.org/officeDocument/2006/relationships/hyperlink" Target="https://commons.wikimedia.org/wiki/File:154_Mulavarman_Inscription,_Muara_Kaman,_Kalimantan,_5th_c_(22862209853).jpg" TargetMode="External"/><Relationship Id="rId21" Type="http://schemas.openxmlformats.org/officeDocument/2006/relationships/hyperlink" Target="https://search.worldcat.org/title/16265578" TargetMode="External"/><Relationship Id="rId22" Type="http://schemas.openxmlformats.org/officeDocument/2006/relationships/hyperlink" Target="https://zenodo.org/records/1207290" TargetMode="External"/><Relationship Id="rId23" Type="http://schemas.openxmlformats.org/officeDocument/2006/relationships/hyperlink" Target="https://dharmalekha.info/texts/INSPYU00004" TargetMode="External"/><Relationship Id="rId24" Type="http://schemas.openxmlformats.org/officeDocument/2006/relationships/hyperlink" Target="https://www.persee.fr/doc/befeo_0336-1519_2017_num_103_1_6247" TargetMode="External"/><Relationship Id="rId25" Type="http://schemas.openxmlformats.org/officeDocument/2006/relationships/hyperlink" Target="https://whc.unesco.org/en/list/1444" TargetMode="External"/><Relationship Id="rId26" Type="http://schemas.openxmlformats.org/officeDocument/2006/relationships/hyperlink" Target="https://db.sac.or.th/inscriptions/inscribe/detail/156" TargetMode="External"/><Relationship Id="rId27" Type="http://schemas.openxmlformats.org/officeDocument/2006/relationships/hyperlink" Target="https://db.sac.or.th/inscriptions/uploads/file/lb23-yedhamma10.pdf" TargetMode="External"/><Relationship Id="rId28" Type="http://schemas.openxmlformats.org/officeDocument/2006/relationships/hyperlink" Target="https://palitextsociety.org/wp-content/uploads/2024/12/JPTS_XXIII_6.pdf" TargetMode="External"/><Relationship Id="rId29" Type="http://schemas.openxmlformats.org/officeDocument/2006/relationships/hyperlink" Target="https://www.persee.fr/doc/befeo_0336-1519_2021_num_107_1_6376" TargetMode="External"/><Relationship Id="rId30" Type="http://schemas.openxmlformats.org/officeDocument/2006/relationships/hyperlink" Target="https://www.metmuseum.org/art/collection/search/72393" TargetMode="External"/><Relationship Id="rId31" Type="http://schemas.openxmlformats.org/officeDocument/2006/relationships/hyperlink" Target="https://github.com/erc-dharma/tfc-khmer-epigraphy" TargetMode="External"/><Relationship Id="rId32" Type="http://schemas.openxmlformats.org/officeDocument/2006/relationships/hyperlink" Target="https://dharmalekha.info/texts/INSCIK01106" TargetMode="External"/><Relationship Id="rId33" Type="http://schemas.openxmlformats.org/officeDocument/2006/relationships/hyperlink" Target="https://cik.efeo.fr/" TargetMode="External"/><Relationship Id="rId34" Type="http://schemas.openxmlformats.org/officeDocument/2006/relationships/hyperlink" Target="https://whc.unesco.org/en/list/1532" TargetMode="External"/><Relationship Id="rId35" Type="http://schemas.openxmlformats.org/officeDocument/2006/relationships/hyperlink" Target="https://dharmalekha.info/texts/INSCIC00174" TargetMode="External"/><Relationship Id="rId36" Type="http://schemas.openxmlformats.org/officeDocument/2006/relationships/hyperlink" Target="https://isaw.nyu.edu/publications/inscriptions/campa/" TargetMode="External"/><Relationship Id="rId37" Type="http://schemas.openxmlformats.org/officeDocument/2006/relationships/hyperlink" Target="https://isaw.nyu.edu/publications/inscriptions/campa/inscriptions/C0087.html" TargetMode="External"/><Relationship Id="rId38" Type="http://schemas.openxmlformats.org/officeDocument/2006/relationships/hyperlink" Target="https://dharmalekha.info/texts/INSCIC00030B4" TargetMode="External"/><Relationship Id="rId39" Type="http://schemas.openxmlformats.org/officeDocument/2006/relationships/hyperlink" Target="https://github.com/erc-dharma/tfa-pallava-epigraphy" TargetMode="External"/><Relationship Id="rId40" Type="http://schemas.openxmlformats.org/officeDocument/2006/relationships/hyperlink" Target="https://dharmalekha.info/texts/INSEIAD00034" TargetMode="External"/><Relationship Id="rId41" Type="http://schemas.openxmlformats.org/officeDocument/2006/relationships/hyperlink" Target="https://suttacentral.net/pli-tv-kd1/pli/ms" TargetMode="External"/><Relationship Id="rId42" Type="http://schemas.openxmlformats.org/officeDocument/2006/relationships/hyperlink" Target="https://dharmalekha.info/texts/INSIDENKKalasan" TargetMode="External"/><Relationship Id="rId43" Type="http://schemas.openxmlformats.org/officeDocument/2006/relationships/hyperlink" Target="https://dharmalekha.info/texts/INSIDENKHamp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A43</dc:title>
  <dc:subject>Корпус, законные пути доступа и права для строки A43</dc:subject>
  <dc:creator>Tree of Sophia / ToS research package</dc:creator>
  <cp:keywords>A43, Southeast Asia, inscriptions, Sanskrit, Pali, Pyu, Dvaravati, Khmer, Cham, rights</cp:keywords>
  <dc:description>generated by python-docx</dc:description>
  <cp:lastModifiedBy/>
  <cp:revision>1</cp:revision>
  <dcterms:created xsi:type="dcterms:W3CDTF">2013-12-23T23:15:00Z</dcterms:created>
  <dcterms:modified xsi:type="dcterms:W3CDTF">2013-12-23T23:15:00Z</dcterms:modified>
  <cp:category/>
</cp:coreProperties>
</file>