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trHeight w:val="198" w:hRule="exact"/>
        </w:trPr>
        <w:tc>
          <w:tcPr>
            <w:tcW w:type="dxa" w:w="9638"/>
            <w:shd w:fill="123B4A"/>
          </w:tcPr>
          <w:p>
            <w:r/>
          </w:p>
        </w:tc>
      </w:tr>
    </w:tbl>
    <w:p>
      <w:pPr>
        <w:spacing w:before="760" w:after="80"/>
      </w:pPr>
      <w:r>
        <w:rPr>
          <w:rFonts w:ascii="Liberation Sans" w:hAnsi="Liberation Sans" w:eastAsia="Liberation Sans"/>
          <w:b/>
          <w:color w:val="2A6476"/>
          <w:sz w:val="22"/>
        </w:rPr>
        <w:t>ToS CORPUS &amp; RIGHTS REGISTRY</w:t>
      </w:r>
    </w:p>
    <w:p>
      <w:pPr>
        <w:pStyle w:val="Title"/>
        <w:spacing w:after="80"/>
      </w:pPr>
      <w:r>
        <w:rPr>
          <w:rFonts w:ascii="Liberation Sans" w:hAnsi="Liberation Sans" w:eastAsia="Liberation Sans"/>
          <w:b/>
          <w:color w:val="123B4A"/>
          <w:sz w:val="50"/>
        </w:rPr>
        <w:t>A01 — Протоклинопись</w:t>
        <w:br/>
        <w:t>и учётные онтологии</w:t>
      </w:r>
    </w:p>
    <w:p>
      <w:pPr>
        <w:pStyle w:val="Subtitle"/>
        <w:spacing w:after="480"/>
      </w:pPr>
      <w:r>
        <w:rPr>
          <w:rFonts w:ascii="Liberation Sans" w:hAnsi="Liberation Sans" w:eastAsia="Liberation Sans"/>
          <w:color w:val="4E6873"/>
          <w:sz w:val="26"/>
        </w:rPr>
        <w:t>Человекочитаемый отчёт о корпусе, доступе, правах и возможном использовании в 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ID строки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A01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Исходный статус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C (уверенность 4/5); статус не изменён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Историческое ядро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Uruk IV–III, приблизительно 3350–3000 до н. э.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Хронологический ореол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pre-writing / Uruk V назад; раннединастические и старовавилонские лексические линии вперёд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Проверено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2 сентября 2026 года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Итоговые материалы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85 записей доступа в XLSX; 12 зафиксированных пробелов на листе gaps</w:t>
            </w:r>
          </w:p>
        </w:tc>
      </w:tr>
    </w:tbl>
    <w:p>
      <w:pPr>
        <w:spacing w:after="0"/>
      </w:pPr>
    </w:p>
    <w:p>
      <w:pPr>
        <w:spacing w:before="440" w:after="80"/>
      </w:pPr>
      <w:r>
        <w:rPr>
          <w:rFonts w:ascii="Liberation Sans" w:hAnsi="Liberation Sans" w:eastAsia="Liberation Sans"/>
          <w:b/>
          <w:color w:val="41545D"/>
          <w:sz w:val="18"/>
        </w:rPr>
        <w:t xml:space="preserve">Исходный документ: </w:t>
      </w:r>
      <w:r>
        <w:rPr>
          <w:rFonts w:ascii="Liberation Sans" w:hAnsi="Liberation Sans" w:eastAsia="Liberation Sans"/>
          <w:color w:val="41545D"/>
          <w:sz w:val="18"/>
        </w:rPr>
        <w:t>ToS Deep Research_ A01 — Протоклинопись и учётные онтологии(2).docx</w:t>
      </w:r>
    </w:p>
    <w:p>
      <w:pPr>
        <w:spacing w:after="0"/>
      </w:pPr>
      <w:r>
        <w:rPr>
          <w:rFonts w:ascii="Liberation Sans" w:hAnsi="Liberation Sans" w:eastAsia="Liberation Sans"/>
          <w:b/>
          <w:color w:val="7A4A2A"/>
          <w:sz w:val="17"/>
        </w:rPr>
        <w:t xml:space="preserve">Правовая оговорка. </w:t>
      </w:r>
      <w:r>
        <w:rPr>
          <w:rFonts w:ascii="Liberation Sans" w:hAnsi="Liberation Sans" w:eastAsia="Liberation Sans"/>
          <w:color w:val="6A594D"/>
          <w:sz w:val="17"/>
        </w:rPr>
        <w:t>Это исследовательская карта доступа и доказательств, а не юридическое заключение. Любое публичное зеркалирование должно оставаться в пределах указанного rights_scope и coverage.</w:t>
      </w:r>
    </w:p>
    <w:p>
      <w:r>
        <w:rPr>
          <w:rFonts w:ascii="Liberation Sans" w:hAnsi="Liberation Sans" w:eastAsia="Liberation Sans"/>
        </w:rP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9F3F6"/>
            <w:tcBorders>
              <w:top w:val="single" w:sz="8" w:color="2A6476"/>
              <w:left w:val="single" w:sz="18" w:color="2A6476"/>
              <w:bottom w:val="single" w:sz="8" w:color="2A6476"/>
              <w:right w:val="single" w:sz="8" w:color="2A647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23B4A"/>
                <w:sz w:val="22"/>
              </w:rPr>
              <w:t>Краткий результат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Liberation Sans" w:hAnsi="Liberation Sans" w:eastAsia="Liberation Sans"/>
                <w:sz w:val="19"/>
              </w:rPr>
              <w:t>Ядро A01 покрыто через CDLI-периоды Uruk IV и Uruk III, 13 индивидуально размеченных архаических лексических композитов, метролого-числовые кейсы и 21 конкретный физический свидетель.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Liberation Sans" w:hAnsi="Liberation Sans" w:eastAsia="Liberation Sans"/>
                <w:sz w:val="19"/>
              </w:rPr>
              <w:t>Самый сильный свободный слой — открытые CDLI-транслитерации, CC0-факсимиле The Met и Walters, CC BY 4.0 sign-list и статьи CDLI, а также лицензированные CC BY-SA компоненты DCCLT.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Liberation Sans" w:hAnsi="Liberation Sans" w:eastAsia="Liberation Sans"/>
                <w:sz w:val="19"/>
              </w:rPr>
              <w:t>Самый сильный научный, но закрытый слой — ATU, CUSAS и MSVO: их следует давать через библиотеку, издателя, preview или каталожную запись, а не зеркалировать.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Liberation Sans" w:hAnsi="Liberation Sans" w:eastAsia="Liberation Sans"/>
                <w:sz w:val="19"/>
              </w:rPr>
              <w:t>Хронологическое расширение выполнено в обе стороны: tokens/bullae включены как спорные antecedent-объекты, а раннединастические и старовавилонские списки — как конкретная линия continuation/transmission.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Liberation Sans" w:hAnsi="Liberation Sans" w:eastAsia="Liberation Sans"/>
                <w:sz w:val="19"/>
              </w:rPr>
              <w:t>OWN_TRANSLATION_POSSIBLE поставлен только там, где есть открытая транслитерация или факсимиле, и всегда ограничен конкретным композитом, свидетелем или изображением.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Liberation Sans" w:hAnsi="Liberation Sans" w:eastAsia="Liberation Sans"/>
          <w:b/>
          <w:color w:val="41545D"/>
          <w:sz w:val="18"/>
        </w:rPr>
        <w:t xml:space="preserve">Навигация по отчёту: </w:t>
      </w:r>
      <w:r>
        <w:rPr>
          <w:rFonts w:ascii="Liberation Sans" w:hAnsi="Liberation Sans" w:eastAsia="Liberation Sans"/>
          <w:color w:val="41545D"/>
          <w:sz w:val="18"/>
        </w:rPr>
        <w:t>1. Паспорт · 2. Охват корпуса · 3. Лучшие пути доступа · 4. Карта прав · 5. Правовые тонкости · 6. Пробелы · 7. Итоговая оценка</w:t>
      </w:r>
    </w:p>
    <w:p>
      <w:pPr>
        <w:pStyle w:val="Heading1"/>
        <w:keepNext/>
        <w:pageBreakBefore w:val="0"/>
        <w:spacing w:before="240" w:after="100"/>
      </w:pPr>
      <w:r>
        <w:rPr>
          <w:rFonts w:ascii="Liberation Sans" w:hAnsi="Liberation Sans" w:eastAsia="Liberation Sans"/>
          <w:b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ID и название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A01 — Протоклинопись и учётные онтологии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Статус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C; исходная уверенность 4/5. Узел описывает инфраструктуру письменной рациональности, а не доказанный философский жанр.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Исходный DR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ToS Deep Research_ A01 — Протоклинопись и учётные онтологии(2).docx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Дата проверки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2026-09-02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Языки поиска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русский, английский, немецкий и французский; дополнительно использовались оригинальные названия, Q/P-номера, музейные accession numbers и издательские серии.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Ядро корпуса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Протоклинописные административные, числово-метрологические и лексические записи Uruk IV–III; clay tablets, tags, sealings; Uruk/Warka, Eanna и Jemdet Nasr.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Искомые объекты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corpus, work/composite, physical witness, critical edition, translation/transliteration, facsimile, dataset/API, digital project, catalogue и необходимая secondary navigation.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Метод прав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Раздельная оценка древнего содержания, современной редакции/перевода, цифрового объекта и условий платформы.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Поставка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DOCX-отчёт и XLSX-реестр с листами registry и gaps; без служебного индекса и без отдельного validation-файла.</w:t>
            </w:r>
          </w:p>
        </w:tc>
      </w:tr>
    </w:tbl>
    <w:p>
      <w:pPr>
        <w:spacing w:after="0"/>
      </w:pP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Исходный DR использован как карта области: из него взяты Uruk IV, Uruk III, numerical texts, N16/TARa, Archaic Tribute, Archaic Vessels and Garments, P000015, BM 116625, tags/sealings и инфраструктурная связка ATU–CDLI–DCCLT. Веб-исследование не ограничивалось этим перечнем: список был расширен до других архаических lexical lists, конкретных музейных объектов, издательских серий, машиночитаемых экспортов, более ранних token/bulla-гипотез и поздних школьно-лексикографических продолжений.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Статус C сохранён. Корпус массов, системен и чрезвычайно важен для истории счёта, классификации, внешней памяти и материальной верификации, но его нельзя переименовывать в философский канон. Там, где язык или чтение знака не установлены, реестр сохраняет неопределённость и не превращает транслитерацию в гладкий перевод.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В поле tos_use использован консервативный принцип: положительный тег означает только то действие и только тот компонент, которые прямо поддержаны rights_scope, coverage и rights_evidence_url. Наличие RIGHTS_REVIEW_REQUIRED рядом с положительным тегом блокирует расширительное толкование за пределами доказанного слоя.</w:t>
      </w:r>
    </w:p>
    <w:p>
      <w:pPr>
        <w:spacing w:before="40" w:after="140"/>
      </w:pPr>
      <w:r>
        <w:rPr>
          <w:rFonts w:ascii="Liberation Sans" w:hAnsi="Liberation Sans" w:eastAsia="Liberation Sans"/>
          <w:b/>
          <w:color w:val="41545D"/>
          <w:sz w:val="17"/>
        </w:rPr>
        <w:t xml:space="preserve">Исходные опорные входы: </w:t>
      </w:r>
      <w:hyperlink r:id="rId11">
        <w:r>
          <w:rPr>
            <w:rFonts w:ascii="Liberation Sans" w:hAnsi="Liberation Sans" w:eastAsia="Liberation Sans"/>
            <w:color w:val="15607A"/>
            <w:u w:val="single"/>
          </w:rPr>
          <w:t>CDLI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12">
        <w:r>
          <w:rPr>
            <w:rFonts w:ascii="Liberation Sans" w:hAnsi="Liberation Sans" w:eastAsia="Liberation Sans"/>
            <w:color w:val="15607A"/>
            <w:u w:val="single"/>
          </w:rPr>
          <w:t>CDLI Terms of Use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13">
        <w:r>
          <w:rPr>
            <w:rFonts w:ascii="Liberation Sans" w:hAnsi="Liberation Sans" w:eastAsia="Liberation Sans"/>
            <w:color w:val="15607A"/>
            <w:u w:val="single"/>
          </w:rPr>
          <w:t>FU Berlin ATU overview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14">
        <w:r>
          <w:rPr>
            <w:rFonts w:ascii="Liberation Sans" w:hAnsi="Liberation Sans" w:eastAsia="Liberation Sans"/>
            <w:color w:val="15607A"/>
            <w:u w:val="single"/>
          </w:rPr>
          <w:t>DCCLT</w:t>
        </w:r>
      </w:hyperlink>
    </w:p>
    <w:p>
      <w:pPr>
        <w:pStyle w:val="Heading1"/>
        <w:keepNext/>
        <w:pageBreakBefore w:val="0"/>
        <w:spacing w:before="240" w:after="100"/>
      </w:pPr>
      <w:r>
        <w:rPr>
          <w:rFonts w:ascii="Liberation Sans" w:hAnsi="Liberation Sans" w:eastAsia="Liberation Sans"/>
          <w:b/>
        </w:rPr>
        <w:t>2. Охват корпуса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2.1. Ядро, извлечённое из исходного DR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Центральный корпус разделён так, как требует сам материал, а не как единая условная «первая книга». Первый слой — Uruk IV (около 3350–3200 до н. э.), где доминирует ранняя административная табличная фиксация. Второй — Uruk III (около 3200–3000 до н. э.), более крупный и сложный массив, в котором особенно заметны lexical lists и разветвлённые numerical/metrological записи. На дату проверки CDLI показывал 1 892 связанных артефакта для Uruk IV и 5 941 для Uruk III; это динамические каталожные числа, а не утверждение об окончательной полноте археологического корпуса.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Внутри ядра отдельно удержаны: административные счета и выдачи; чисто числовые тексты; metrology и дробные отношения; списки профессий, животных, рыб, птиц, растений, древесины, сосудов, одежды, металлов, пищи, городов и географии; tags и sealings как материальный протокол связи записи с объектом и полномочием. Особые якоря — N16/TARa, Archaic Word List C / Tribute (Q000030), Archaic Vessels and Garments (Q000023), P000015 и Archaic Geography (Q000265) с P000714/BM 116625.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2.2. Что добавлено веб-поиском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Исходный DR называл несколько показательных объектов, но не давал полного access-register. Веб-поиск расширил поле в шести направлениях: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полный рабочий набор из 13 архаических лексических композитов с Q-идентификаторами и item-level CDLI-входами;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критические серии ATU 1, 2, 3, 5, 6 и 7, а также CUSAS 1, MSVO 1/2/4 и OECT 7 — с раздельными маршрутами publisher, WorldCat, Open Library и CDLI catalogue;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машиночитаемые слои: CDLI exports, bulk announcement, GitHub data/CTS, CC BY proto-cuneiform sign list, ORACC/DCCLT package and JSON routes;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музейные факсимиле с доказуемыми правами: четыре объекта The Met, Walters 41.219, Louvre AO 29562 и два пока не полностью верифицированных British Museum records;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конкретные continuations: Early Dynastic Animals A, Birds, Metals и Old Babylonian witness HS 1822;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документированная, но спорная antecedent-линия tokens/bullae и её современная критика.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2.3. Открытый хронологический контур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Поиск назад во времени не был сведён к утверждению о прямой и полностью доказанной эволюции token → tablet. В реестр включены университетские материалы Denise Schmandt-Besserat как influential antecedent model, а также современная критическая постановка вопроса о многофункциональности токенов. Их relevance — antecedent, а не core; notes прямо фиксируют спорность и запрещают превращать гипотезу в единственную генеалогию письма.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Поиск вперёд ограничен линиями, где связь конкретна: сохранение тематических list-families в Early Dynastic composites, затем в Old Babylonian school witness HS 1822; развитие цифровой лексикографии в DCCLT/Jena; современная интерпретация Archaic Tribute/AD-GI4; научные реконструкции N16 и corpus-scale sign-frequency. Более поздние право, астрология или наука Месопотамии не включались лишь по общему родству: без item-level или composition-level связи они принадлежат другим строкам ToS.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2.4. Количественный профиль итогового реестра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Количество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Записи доступа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85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Одна строка = один практически отличимый способ доступа или цифровой объект.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Core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16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Центральные корпуса, композиты и свидетели A01.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Same corpus/tradition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19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Прямые члены той же текстовой семьи.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Antecedent / continuation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3 / 3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Ранние входы и поздние документированные продолжения.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Transmission/preservation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21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Издания, каталоги и поздние свидетели, через которые материал доступен.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Physical witnesses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21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Конкретные таблички, печать и музейные предметы.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Digital texts/facsimiles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17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Композиты, sign-lists и цифровые страницы объектов.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Editions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19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ATU, CUSAS, MSVO, OECT и другие издания/маршруты.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Free full read / download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59 / 39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Режимы пересекаются; часть ORACC/DCCLT-путей временно недоступна.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Borrow / purchase / preview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10 / 9 / 3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Полезные законные варианты сохранены, даже без права копирования.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Rights confidence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high 58 · medium 16 · low 11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Оценка доказательности правового вывода, а не научной значимости.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Gaps</w:t>
            </w:r>
          </w:p>
        </w:tc>
        <w:tc>
          <w:tcPr>
            <w:tcW w:type="dxa" w:w="153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12</w:t>
            </w:r>
          </w:p>
        </w:tc>
        <w:tc>
          <w:tcPr>
            <w:tcW w:type="dxa" w:w="510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Нерешённые издания, лицензии, endpoints и крупные item-level аудиты.</w:t>
            </w:r>
          </w:p>
        </w:tc>
      </w:tr>
    </w:tbl>
    <w:p>
      <w:pPr>
        <w:spacing w:after="0"/>
      </w:pP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Количество способов доступа не равно количеству произведений. На уровне содержания здесь есть два главных периодных корпуса, 13 индивидуально выделенных archaic lexical composites, несколько числово-метрологических подкорпусов, 21 физический свидетель и небольшое число поздних прямых продолжений. Остальные строки — различные lawful access routes, критические издания, datasets и инфраструктура.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2.5. Роли relevance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relevance</w:t>
            </w:r>
          </w:p>
        </w:tc>
        <w:tc>
          <w:tcPr>
            <w:tcW w:type="dxa" w:w="68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Роль в A01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core</w:t>
            </w:r>
          </w:p>
        </w:tc>
        <w:tc>
          <w:tcPr>
            <w:tcW w:type="dxa" w:w="68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Uruk IV/III, Q000023, Q000030, Q000265, P000015, P000714, N16 witnesses и наиболее показательные музейные таблички.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same_corpus_or_tradition</w:t>
            </w:r>
          </w:p>
        </w:tc>
        <w:tc>
          <w:tcPr>
            <w:tcW w:type="dxa" w:w="68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Другие архаические списки, witnesses и печать того же позднеурукского письменного комплекса.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antecedent</w:t>
            </w:r>
          </w:p>
        </w:tc>
        <w:tc>
          <w:tcPr>
            <w:tcW w:type="dxa" w:w="68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Tokens/bullae и до-табличные счётные практики — только как доказуемо связанная, но спорная входящая линия.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continuation</w:t>
            </w:r>
          </w:p>
        </w:tc>
        <w:tc>
          <w:tcPr>
            <w:tcW w:type="dxa" w:w="68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Early Dynastic Animals/Birds/Metals — прямое продолжение list-families за пределами дат A01.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transmission_or_preservation</w:t>
            </w:r>
          </w:p>
        </w:tc>
        <w:tc>
          <w:tcPr>
            <w:tcW w:type="dxa" w:w="68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ATU/CUSAS/MSVO/OECT, DCCLT/Jena и HS 1822 как издания, поздний witness и цифровые носители сохранения.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commentary_or_reception</w:t>
            </w:r>
          </w:p>
        </w:tc>
        <w:tc>
          <w:tcPr>
            <w:tcW w:type="dxa" w:w="68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Современная дискуссия о proto-literary статусе AD-GI4/Tribute.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supporting / infrastructure</w:t>
            </w:r>
          </w:p>
        </w:tc>
        <w:tc>
          <w:tcPr>
            <w:tcW w:type="dxa" w:w="686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Sign-lists, статьи, APIs, catalogues и репозитории, необходимые для идентификации и законной работы.</w:t>
            </w:r>
          </w:p>
        </w:tc>
      </w:tr>
    </w:tbl>
    <w:p>
      <w:pPr>
        <w:pStyle w:val="Heading1"/>
        <w:keepNext/>
        <w:pageBreakBefore w:val="0"/>
        <w:spacing w:before="240" w:after="100"/>
      </w:pPr>
      <w:r>
        <w:rPr>
          <w:rFonts w:ascii="Liberation Sans" w:hAnsi="Liberation Sans" w:eastAsia="Liberation Sans"/>
          <w:b/>
        </w:rPr>
        <w:t>3. Лучшие пути доступа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Ниже сгруппированы не все 85 строк, а лучшие и наиболее характерные маршруты. Полная item-level детализация, включая direct_download_url, stable_identifier и component-level rights, находится в XLSX.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3.1. Корпусы Uruk IV и Uruk III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Лучший бесплатный вход — CDLI period pages. Они дают текущие каталожные выборки, переход к отдельным артефактам, изображениям, транслитерациям и экспортам. Для массового исследования полезны CDLI bulk/data routes и GitHub, однако repository-level лицензия не должна предполагаться по факту публичности репозитория: bulk_data и cdli-gh/data оставлены с RIGHTS_REVIEW_REQUIRED. Для открытого повторного анализа сильнее всего официальные CDLI terms, разрешающие копирование, агрегирование и повторное использование textual transliterations/translations при обычной добросовестной академической атрибуции. Фотографии и line art остаются отдельными компонентами.</w:t>
      </w:r>
    </w:p>
    <w:p>
      <w:pPr>
        <w:spacing w:before="40" w:after="140"/>
      </w:pPr>
      <w:r>
        <w:rPr>
          <w:rFonts w:ascii="Liberation Sans" w:hAnsi="Liberation Sans" w:eastAsia="Liberation Sans"/>
          <w:b/>
          <w:color w:val="41545D"/>
          <w:sz w:val="17"/>
        </w:rPr>
        <w:t xml:space="preserve">Доступ: </w:t>
      </w:r>
      <w:hyperlink r:id="rId15">
        <w:r>
          <w:rPr>
            <w:rFonts w:ascii="Liberation Sans" w:hAnsi="Liberation Sans" w:eastAsia="Liberation Sans"/>
            <w:color w:val="15607A"/>
            <w:u w:val="single"/>
          </w:rPr>
          <w:t>Uruk IV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16">
        <w:r>
          <w:rPr>
            <w:rFonts w:ascii="Liberation Sans" w:hAnsi="Liberation Sans" w:eastAsia="Liberation Sans"/>
            <w:color w:val="15607A"/>
            <w:u w:val="single"/>
          </w:rPr>
          <w:t>Uruk III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11">
        <w:r>
          <w:rPr>
            <w:rFonts w:ascii="Liberation Sans" w:hAnsi="Liberation Sans" w:eastAsia="Liberation Sans"/>
            <w:color w:val="15607A"/>
            <w:u w:val="single"/>
          </w:rPr>
          <w:t>CDLI collection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17">
        <w:r>
          <w:rPr>
            <w:rFonts w:ascii="Liberation Sans" w:hAnsi="Liberation Sans" w:eastAsia="Liberation Sans"/>
            <w:color w:val="15607A"/>
            <w:u w:val="single"/>
          </w:rPr>
          <w:t>CDLI data announcement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18">
        <w:r>
          <w:rPr>
            <w:rFonts w:ascii="Liberation Sans" w:hAnsi="Liberation Sans" w:eastAsia="Liberation Sans"/>
            <w:color w:val="15607A"/>
            <w:u w:val="single"/>
          </w:rPr>
          <w:t>CDLI data GitHub</w:t>
        </w:r>
      </w:hyperlink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3.2. Архаические лексические композиты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Лучший бесплатный способ читать композиции — item-level CDLI composite scores. В реестре индивидуально размечены Q000002 Lu A, Q000007 Officials, Q000011 Animals, Q000013 Fish, Q000017 Birds, Q000019 Plant, Q000022 Wood, Q000023 Vessels and Garments, Q000026 Metals, Q000028 Word List D/Food, Q000030 Word List C/Tribute, Q000034 Cities и Q000265 Geography. Такая гранулярность важна: общая страница DCCLT не заменяет конкретный Q-вход.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Лучший критический печатный вариант для архаических списков — ATU 3 (Englund &amp; Nissen). Он остаётся современным защищённым научным изданием; издательская страница помечала его как out of print, поэтому основной практический путь — библиотека/WorldCat. Лучший открыто лицензированный вспомогательный слой — proto-cuneiform sign list Роберта Энглунда под CC BY 4.0. DCCLT Sign Lists и DCCLT/Jena имеют CC BY-SA 3.0 в пределах соответствующих подпроектов, но сервер при финальной проверке отвечал 502; поэтому item-level подтверждение отложено.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P000015 — конкретный Uruk III witness Q000023, состоящий из VAT 17858 + VAT 17886; CDLI помечает язык как undetermined. P000714 — BM 116625, witness Archaic Geography Q000265. Для его фотографии зафиксирована CC BY-NC-SA 4.0, тогда как CDLI-transliteration и line art имеют отдельные режимы. Это наглядный пример смешанных прав внутри одной страницы.</w:t>
      </w:r>
    </w:p>
    <w:p>
      <w:pPr>
        <w:spacing w:before="40" w:after="140"/>
      </w:pPr>
      <w:r>
        <w:rPr>
          <w:rFonts w:ascii="Liberation Sans" w:hAnsi="Liberation Sans" w:eastAsia="Liberation Sans"/>
          <w:b/>
          <w:color w:val="41545D"/>
          <w:sz w:val="17"/>
        </w:rPr>
        <w:t xml:space="preserve">Ключевые записи: </w:t>
      </w:r>
      <w:hyperlink r:id="rId19">
        <w:r>
          <w:rPr>
            <w:rFonts w:ascii="Liberation Sans" w:hAnsi="Liberation Sans" w:eastAsia="Liberation Sans"/>
            <w:color w:val="15607A"/>
            <w:u w:val="single"/>
          </w:rPr>
          <w:t>Q000023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20">
        <w:r>
          <w:rPr>
            <w:rFonts w:ascii="Liberation Sans" w:hAnsi="Liberation Sans" w:eastAsia="Liberation Sans"/>
            <w:color w:val="15607A"/>
            <w:u w:val="single"/>
          </w:rPr>
          <w:t>P000015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21">
        <w:r>
          <w:rPr>
            <w:rFonts w:ascii="Liberation Sans" w:hAnsi="Liberation Sans" w:eastAsia="Liberation Sans"/>
            <w:color w:val="15607A"/>
            <w:u w:val="single"/>
          </w:rPr>
          <w:t>Q000030 / Tribute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22">
        <w:r>
          <w:rPr>
            <w:rFonts w:ascii="Liberation Sans" w:hAnsi="Liberation Sans" w:eastAsia="Liberation Sans"/>
            <w:color w:val="15607A"/>
            <w:u w:val="single"/>
          </w:rPr>
          <w:t>Q000265 / Geography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23">
        <w:r>
          <w:rPr>
            <w:rFonts w:ascii="Liberation Sans" w:hAnsi="Liberation Sans" w:eastAsia="Liberation Sans"/>
            <w:color w:val="15607A"/>
            <w:u w:val="single"/>
          </w:rPr>
          <w:t>P000714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24">
        <w:r>
          <w:rPr>
            <w:rFonts w:ascii="Liberation Sans" w:hAnsi="Liberation Sans" w:eastAsia="Liberation Sans"/>
            <w:color w:val="15607A"/>
            <w:u w:val="single"/>
          </w:rPr>
          <w:t>CC BY sign list</w:t>
        </w:r>
      </w:hyperlink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3.3. Numerical/metrological layer и N16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Для N16/TARa реестр связывает четыре конкретных witnesses: CUNES 50-06-203, CUNES 50-06-217, CUNES 51-10-007 и MS 4499. Лучший бесплатный научный разбор — статья Salvatore Monaco «A New Insight Into the Interpretation of the Numerical Sign N16» в CDLB 2006:1. Её текст доступен в HTML/PDF под CC BY 4.0, но воспроизведённые изображения табличек не становятся свободными автоматически. Лучший современный печатный источник по Cornell witnesses — CUSAS 1; доступ через библиотеку и CDLI bibliographic crosswalk, не через неавторизованный скан.</w:t>
      </w:r>
    </w:p>
    <w:p>
      <w:pPr>
        <w:spacing w:before="40" w:after="140"/>
      </w:pPr>
      <w:r>
        <w:rPr>
          <w:rFonts w:ascii="Liberation Sans" w:hAnsi="Liberation Sans" w:eastAsia="Liberation Sans"/>
          <w:b/>
          <w:color w:val="41545D"/>
          <w:sz w:val="17"/>
        </w:rPr>
        <w:t xml:space="preserve">N16: </w:t>
      </w:r>
      <w:hyperlink r:id="rId25">
        <w:r>
          <w:rPr>
            <w:rFonts w:ascii="Liberation Sans" w:hAnsi="Liberation Sans" w:eastAsia="Liberation Sans"/>
            <w:color w:val="15607A"/>
            <w:u w:val="single"/>
          </w:rPr>
          <w:t>CDLB 2006:1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26">
        <w:r>
          <w:rPr>
            <w:rFonts w:ascii="Liberation Sans" w:hAnsi="Liberation Sans" w:eastAsia="Liberation Sans"/>
            <w:color w:val="15607A"/>
            <w:u w:val="single"/>
          </w:rPr>
          <w:t>PDF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27">
        <w:r>
          <w:rPr>
            <w:rFonts w:ascii="Liberation Sans" w:hAnsi="Liberation Sans" w:eastAsia="Liberation Sans"/>
            <w:color w:val="15607A"/>
            <w:u w:val="single"/>
          </w:rPr>
          <w:t>CUSAS 1 catalogue</w:t>
        </w:r>
      </w:hyperlink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3.4. Факсимиле и музейные объекты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Самые чистые для повторного использования факсимиле найдены у The Metropolitan Museum of Art: три late Uruk administrative tablets и одна drilled seal доступны через Open Access/API под CC0. Это лучший слой для MIRROR_OK, OCR_OK, локального хранения, публичного полнотекстового/визуального индексирования и embeddings. Каждая рекомендация ограничена конкретным object ID и его Open Access image, а не всей коллекцией Met.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Walters 41.219 также имеет CC0 для допустимых изображений и metadata; более длинные описания музея регулируются GNU FDL и потому отделены в rights_scope. Louvre AO 29562 даёт высококачественный законный вход, но права смешанные: textual metadata — Etalab Open Licence, medium-format photograph — только в перечисленных образовательных, научных и музейных сценариях с точной атрибуцией и permalink. Для двух British Museum objects удалось зафиксировать официальные записи, но item pages/rights не открылись; они сохранены как metadata_only/temporarily_unavailable, без зеркалирования.</w:t>
      </w:r>
    </w:p>
    <w:p>
      <w:pPr>
        <w:spacing w:before="40" w:after="140"/>
      </w:pPr>
      <w:r>
        <w:rPr>
          <w:rFonts w:ascii="Liberation Sans" w:hAnsi="Liberation Sans" w:eastAsia="Liberation Sans"/>
          <w:b/>
          <w:color w:val="41545D"/>
          <w:sz w:val="17"/>
        </w:rPr>
        <w:t xml:space="preserve">Открытые музейные входы: </w:t>
      </w:r>
      <w:hyperlink r:id="rId28">
        <w:r>
          <w:rPr>
            <w:rFonts w:ascii="Liberation Sans" w:hAnsi="Liberation Sans" w:eastAsia="Liberation Sans"/>
            <w:color w:val="15607A"/>
            <w:u w:val="single"/>
          </w:rPr>
          <w:t>Met Open Access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29">
        <w:r>
          <w:rPr>
            <w:rFonts w:ascii="Liberation Sans" w:hAnsi="Liberation Sans" w:eastAsia="Liberation Sans"/>
            <w:color w:val="15607A"/>
            <w:u w:val="single"/>
          </w:rPr>
          <w:t>Met object 329081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30">
        <w:r>
          <w:rPr>
            <w:rFonts w:ascii="Liberation Sans" w:hAnsi="Liberation Sans" w:eastAsia="Liberation Sans"/>
            <w:color w:val="15607A"/>
            <w:u w:val="single"/>
          </w:rPr>
          <w:t>Met object 327384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31">
        <w:r>
          <w:rPr>
            <w:rFonts w:ascii="Liberation Sans" w:hAnsi="Liberation Sans" w:eastAsia="Liberation Sans"/>
            <w:color w:val="15607A"/>
            <w:u w:val="single"/>
          </w:rPr>
          <w:t>Met object 327385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32">
        <w:r>
          <w:rPr>
            <w:rFonts w:ascii="Liberation Sans" w:hAnsi="Liberation Sans" w:eastAsia="Liberation Sans"/>
            <w:color w:val="15607A"/>
            <w:u w:val="single"/>
          </w:rPr>
          <w:t>Walters 41.219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33">
        <w:r>
          <w:rPr>
            <w:rFonts w:ascii="Liberation Sans" w:hAnsi="Liberation Sans" w:eastAsia="Liberation Sans"/>
            <w:color w:val="15607A"/>
            <w:u w:val="single"/>
          </w:rPr>
          <w:t>Louvre AO 29562</w:t>
        </w:r>
      </w:hyperlink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3.5. Критические издания, библиотека и покупка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Для A01 нет одного современного открытого критического издания, которое заменяло бы всю серию. Научный backbone составляют ATU 1, 2, 3, 5, 6, 7; CUSAS 1; MSVO 1, 2, 4; OECT 7; а для общей техники хозяйственной записи — Archaic Bookkeeping. В реестре сохранены даже маршруты metadata-only, потому что они помогают идентифицировать том, найти библиотечное хранение или законно купить доступный выпуск.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ATU 6 был доступен у издателя на момент проверки; ATU 3, 5 и 7 помечались как out of print. Это не делает их свободными. Open Library даёт controlled digital lending для Archaic Bookkeeping: бесплатная регистрация/выдача и загрузка для чтения не означают право разместить файл у ToS. Для старых томов также не сделан автоматический вывод «public domain worldwide»: возраст издания недостаточен без проверки авторов, юрисдикции и статуса конкретного скана.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Отдельного «старого публичнодоменного перевода» для ядра A01 практически нет: протоклинопись не является полностью прочитанным связным языковым текстом, а основные публикации представляют копии, sign-lists, транслитерации, комментарии и реконструкции. Для ToS корректнее сопоставлять факсимиле, транслитерацию и научный apparatus, а не обещать литературный перевод всего корпуса.</w:t>
      </w:r>
    </w:p>
    <w:p>
      <w:pPr>
        <w:spacing w:before="40" w:after="140"/>
      </w:pPr>
      <w:r>
        <w:rPr>
          <w:rFonts w:ascii="Liberation Sans" w:hAnsi="Liberation Sans" w:eastAsia="Liberation Sans"/>
          <w:b/>
          <w:color w:val="41545D"/>
          <w:sz w:val="17"/>
        </w:rPr>
        <w:t xml:space="preserve">Издания и выдача: </w:t>
      </w:r>
      <w:hyperlink r:id="rId13">
        <w:r>
          <w:rPr>
            <w:rFonts w:ascii="Liberation Sans" w:hAnsi="Liberation Sans" w:eastAsia="Liberation Sans"/>
            <w:color w:val="15607A"/>
            <w:u w:val="single"/>
          </w:rPr>
          <w:t>ATU overview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34">
        <w:r>
          <w:rPr>
            <w:rFonts w:ascii="Liberation Sans" w:hAnsi="Liberation Sans" w:eastAsia="Liberation Sans"/>
            <w:color w:val="15607A"/>
            <w:u w:val="single"/>
          </w:rPr>
          <w:t>Archaic Bookkeeping — Open Library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35">
        <w:r>
          <w:rPr>
            <w:rFonts w:ascii="Liberation Sans" w:hAnsi="Liberation Sans" w:eastAsia="Liberation Sans"/>
            <w:color w:val="15607A"/>
            <w:u w:val="single"/>
          </w:rPr>
          <w:t>Google Books preview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36">
        <w:r>
          <w:rPr>
            <w:rFonts w:ascii="Liberation Sans" w:hAnsi="Liberation Sans" w:eastAsia="Liberation Sans"/>
            <w:color w:val="15607A"/>
            <w:u w:val="single"/>
          </w:rPr>
          <w:t>WorldCat</w:t>
        </w:r>
      </w:hyperlink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3.6. Лучшие маршруты — сводная матрица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25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Лучший бесплатный вход</w:t>
            </w:r>
          </w:p>
        </w:tc>
        <w:tc>
          <w:tcPr>
            <w:tcW w:type="dxa" w:w="243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Лучший научный вход</w:t>
            </w:r>
          </w:p>
        </w:tc>
        <w:tc>
          <w:tcPr>
            <w:tcW w:type="dxa" w:w="272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Машиночитаемость / права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Uruk IV / III</w:t>
            </w:r>
          </w:p>
        </w:tc>
        <w:tc>
          <w:tcPr>
            <w:tcW w:type="dxa" w:w="25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CDLI period pages и item records</w:t>
            </w:r>
          </w:p>
        </w:tc>
        <w:tc>
          <w:tcPr>
            <w:tcW w:type="dxa" w:w="243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ATU 5/6/7 для опубликованных subsets</w:t>
            </w:r>
          </w:p>
        </w:tc>
        <w:tc>
          <w:tcPr>
            <w:tcW w:type="dxa" w:w="272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CDLI exports; textual reuse по CDLI terms, images отдельно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Archaic lexical lists</w:t>
            </w:r>
          </w:p>
        </w:tc>
        <w:tc>
          <w:tcPr>
            <w:tcW w:type="dxa" w:w="25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CDLI Q-composite pages</w:t>
            </w:r>
          </w:p>
        </w:tc>
        <w:tc>
          <w:tcPr>
            <w:tcW w:type="dxa" w:w="243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ATU 3; library route</w:t>
            </w:r>
          </w:p>
        </w:tc>
        <w:tc>
          <w:tcPr>
            <w:tcW w:type="dxa" w:w="272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CC BY sign list; DCCLT subprojects CC BY-SA в доказанном scope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N16/TARa</w:t>
            </w:r>
          </w:p>
        </w:tc>
        <w:tc>
          <w:tcPr>
            <w:tcW w:type="dxa" w:w="25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CDLI witnesses + Monaco CDLB 2006:1</w:t>
            </w:r>
          </w:p>
        </w:tc>
        <w:tc>
          <w:tcPr>
            <w:tcW w:type="dxa" w:w="243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CUSAS 1</w:t>
            </w:r>
          </w:p>
        </w:tc>
        <w:tc>
          <w:tcPr>
            <w:tcW w:type="dxa" w:w="272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Article text CC BY; tablet images item-specific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P000015 / Q000023</w:t>
            </w:r>
          </w:p>
        </w:tc>
        <w:tc>
          <w:tcPr>
            <w:tcW w:type="dxa" w:w="25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CDLI item + composite</w:t>
            </w:r>
          </w:p>
        </w:tc>
        <w:tc>
          <w:tcPr>
            <w:tcW w:type="dxa" w:w="243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ATU 3</w:t>
            </w:r>
          </w:p>
        </w:tc>
        <w:tc>
          <w:tcPr>
            <w:tcW w:type="dxa" w:w="272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CDLI transliteration reusable with attribution; photo/line art separate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P000714 / Q000265</w:t>
            </w:r>
          </w:p>
        </w:tc>
        <w:tc>
          <w:tcPr>
            <w:tcW w:type="dxa" w:w="25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CDLI item + composite</w:t>
            </w:r>
          </w:p>
        </w:tc>
        <w:tc>
          <w:tcPr>
            <w:tcW w:type="dxa" w:w="243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MSVO 1</w:t>
            </w:r>
          </w:p>
        </w:tc>
        <w:tc>
          <w:tcPr>
            <w:tcW w:type="dxa" w:w="272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BM photo CC BY-NC-SA; CDLI text separate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Museum facsimiles</w:t>
            </w:r>
          </w:p>
        </w:tc>
        <w:tc>
          <w:tcPr>
            <w:tcW w:type="dxa" w:w="25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Met / Walters / Louvre object pages</w:t>
            </w:r>
          </w:p>
        </w:tc>
        <w:tc>
          <w:tcPr>
            <w:tcW w:type="dxa" w:w="243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Museum curatorial records</w:t>
            </w:r>
          </w:p>
        </w:tc>
        <w:tc>
          <w:tcPr>
            <w:tcW w:type="dxa" w:w="272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Met + Walters CC0; Louvre metadata open, photo limited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Seals / tags</w:t>
            </w:r>
          </w:p>
        </w:tc>
        <w:tc>
          <w:tcPr>
            <w:tcW w:type="dxa" w:w="25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Met Open Access seal; CDLI item searches</w:t>
            </w:r>
          </w:p>
        </w:tc>
        <w:tc>
          <w:tcPr>
            <w:tcW w:type="dxa" w:w="243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MSVO 2</w:t>
            </w:r>
          </w:p>
        </w:tc>
        <w:tc>
          <w:tcPr>
            <w:tcW w:type="dxa" w:w="272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CC0 only for identified Met object; other images require review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Later lexical transmission</w:t>
            </w:r>
          </w:p>
        </w:tc>
        <w:tc>
          <w:tcPr>
            <w:tcW w:type="dxa" w:w="25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CDLI ED composites; DCCLT/Jena HS 1822</w:t>
            </w:r>
          </w:p>
        </w:tc>
        <w:tc>
          <w:tcPr>
            <w:tcW w:type="dxa" w:w="243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Relevant ED/OB editions</w:t>
            </w:r>
          </w:p>
        </w:tc>
        <w:tc>
          <w:tcPr>
            <w:tcW w:type="dxa" w:w="272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CDLI text terms; DCCLT/Jena CC BY-SA scope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Tokens/bullae antecedent</w:t>
            </w:r>
          </w:p>
        </w:tc>
        <w:tc>
          <w:tcPr>
            <w:tcW w:type="dxa" w:w="25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UT Austin author pages</w:t>
            </w:r>
          </w:p>
        </w:tc>
        <w:tc>
          <w:tcPr>
            <w:tcW w:type="dxa" w:w="243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Cambridge critical study</w:t>
            </w:r>
          </w:p>
        </w:tc>
        <w:tc>
          <w:tcPr>
            <w:tcW w:type="dxa" w:w="272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5"/>
              </w:rPr>
              <w:t>Read/link only unless item licence says otherwise</w:t>
            </w:r>
          </w:p>
        </w:tc>
      </w:tr>
    </w:tbl>
    <w:p>
      <w:pPr>
        <w:pStyle w:val="Heading1"/>
        <w:keepNext/>
        <w:pageBreakBefore w:val="0"/>
        <w:spacing w:before="240" w:after="100"/>
      </w:pPr>
      <w:r>
        <w:rPr>
          <w:rFonts w:ascii="Liberation Sans" w:hAnsi="Liberation Sans" w:eastAsia="Liberation Sans"/>
          <w:b/>
        </w:rPr>
        <w:t>4. Карта прав и практического использования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Правовая карта строится по компонентам. Один URL может содержать древний текст, современную транслитерацию, музейную фотографию, редакторский apparatus и site UI — и каждый слой может иметь другой режим. Поэтому нижеприведённые рекомендации нельзя переносить с одного компонента на другой.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4.1. Что можно потенциально зеркалировать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Безусловно наиболее сильный слой — CC0: Open Access images/basic data The Met и eligible images/metadata Walters. Эти записи имеют MIRROR_OK и допускают локальные копии, OCR, публичную индексацию и embeddings в пределах конкретных объектов. Для Walters более длинные описания исключены из CC0 и требуют соблюдения GNU FDL.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MIRROR_WITH_ATTRIBUTION используется для CC BY proto-cuneiform sign list, CC BY article text в CDLI Bulletin/Journal, открытых CDLI textual transliterations/composite scores и отдельных licensed DCCLT subprojects. У CDLI это не blanket-лицензия на изображения: mirror-тег относится к textual/sign layer и сопровождается RIGHTS_REVIEW_REQUIRED. Для DCCLT CC BY-SA требует ShareAlike. P000714 даёт отдельный MIRROR_NONCOMMERCIAL для конкретной фотографии по CC BY-NC-SA.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4.2. Что доступно некоммерчески или с условиями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09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Практический вывод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Met Open Access</w:t>
            </w:r>
          </w:p>
        </w:tc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CC0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Конкретные OA images и basic data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MIRROR_OK; OCR_OK; FULLTEXT_INDEX_OK; EMBEDDINGS_OK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Walters 41.219</w:t>
            </w:r>
          </w:p>
        </w:tc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CC0 + GNU FDL split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Image/metadata свободны; long description отдельно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MIRROR_OK для CC0; review для описательного текста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Proto-cuneiform sign list</w:t>
            </w:r>
          </w:p>
        </w:tc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CC BY 4.0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Sign-list repository/data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MIRROR_WITH_ATTRIBUTION; derivatives allowed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DCCLT Sign Lists / Jena</w:t>
            </w:r>
          </w:p>
        </w:tc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CC BY-SA 3.0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Только соответствующий project content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Attribution + ShareAlike; images separately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P000714 photo</w:t>
            </w:r>
          </w:p>
        </w:tc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CC BY-NC-SA 4.0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Только item photograph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MIRROR_NONCOMMERCIAL; attribution; ShareAlike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Louvre AO 29562</w:t>
            </w:r>
          </w:p>
        </w:tc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Etalab metadata + limited photo terms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Metadata шире; photo только listed education/science uses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Attributed metadata reuse; photo use review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CDLI textual data</w:t>
            </w:r>
          </w:p>
        </w:tc>
        <w:tc>
          <w:tcPr>
            <w:tcW w:type="dxa" w:w="1757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CDLI Terms of Use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Transliterations/translations and metadata where exposed</w:t>
            </w:r>
          </w:p>
        </w:tc>
        <w:tc>
          <w:tcPr>
            <w:tcW w:type="dxa" w:w="283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Copy/aggregate/reuse with scholarly acknowledgment; images excluded</w:t>
            </w:r>
          </w:p>
        </w:tc>
      </w:tr>
    </w:tbl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4.3. Бесплатное чтение/скачивание без доказанного права перепубликации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К этой группе относятся controlled digital lending Archaic Bookkeeping, Zenodo deposit без установленной licence field, публичные GitHub/JSON datasets без явного LICENSE, университетские token pages и часть CDLI/DCCLT endpoints с неясным component-level scope. Для них реестр сохраняет FREE_READ, FREE_DOWNLOAD или LOCAL_RESEARCH_COPY только в доказанном режиме доступа, но не даёт MIRROR_OK. Бесплатное скачивание — не разрешение на повторное распространение.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4.4. Link-only, borrow, preview и purchase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ATU/CUSAS/MSVO/OECT и защищённые статьи доступны через publisher, WorldCat, Open Library, Google Books, institutional access или purchase. ToS может размещать библиографическую карточку, stable identifier и внешнюю ссылку. Копирование текста, изображений или PDF требует разрешения либо отдельного законного основания. Наличие метаданных у CDLI не превращает библиографическую запись в цифровую копию книги.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4.5. OCR, полнотекстовый индекс и embeddings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Эти действия оценивались отдельно. OCR_OK поставлен главным образом для CC0/открыто лицензированных изображений и data layers. FULLTEXT_INDEX_OK и EMBEDDINGS_OK чаще относятся к открытым textual/transliteration layers, а не к музейным фотографиям или защищённым PDF. Для исследовательской локальной копии шире используется LOCAL_RESEARCH_COPY, но она не подразумевает публичную выдачу исходного файла.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4.6. Собственный перевод ToS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OWN_TRANSLATION_POSSIBLE стоит у 39 записей, но это не обещание перевода всего корпуса. Чистые основания трёх типов: (1) открытая CDLI-транслитерация конкретного композита/witness; (2) CC BY/CC BY-SA sign/transcription layer; (3) CC0 или иным образом допустимое факсимиле конкретного исторического объекта. Coverage всегда ограничивает масштаб: single_witness означает перевод только видимого и интерпретируемого слоя этой таблички; complete_work_or_corpus у Q-composite означает текущий scholarly composite, а не утраченную древнюю архетипическую «книгу».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Защищённые ATU/CUSAS/MSVO editions могут использоваться для научной проверки и цитирования в допустимом объёме, но не рассматриваются как безусловно свободная основа для производного полного перевода. Там, где реконструкция существенно зависит от современного аппарата, сохранён RIGHTS_REVIEW_REQUIRED.</w:t>
      </w:r>
    </w:p>
    <w:p>
      <w:pPr>
        <w:spacing w:before="40" w:after="140"/>
      </w:pPr>
      <w:r>
        <w:rPr>
          <w:rFonts w:ascii="Liberation Sans" w:hAnsi="Liberation Sans" w:eastAsia="Liberation Sans"/>
          <w:b/>
          <w:color w:val="41545D"/>
          <w:sz w:val="17"/>
        </w:rPr>
        <w:t xml:space="preserve">Правовые доказательства: </w:t>
      </w:r>
      <w:hyperlink r:id="rId12">
        <w:r>
          <w:rPr>
            <w:rFonts w:ascii="Liberation Sans" w:hAnsi="Liberation Sans" w:eastAsia="Liberation Sans"/>
            <w:color w:val="15607A"/>
            <w:u w:val="single"/>
          </w:rPr>
          <w:t>CDLI terms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28">
        <w:r>
          <w:rPr>
            <w:rFonts w:ascii="Liberation Sans" w:hAnsi="Liberation Sans" w:eastAsia="Liberation Sans"/>
            <w:color w:val="15607A"/>
            <w:u w:val="single"/>
          </w:rPr>
          <w:t>Met Open Access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37">
        <w:r>
          <w:rPr>
            <w:rFonts w:ascii="Liberation Sans" w:hAnsi="Liberation Sans" w:eastAsia="Liberation Sans"/>
            <w:color w:val="15607A"/>
            <w:u w:val="single"/>
          </w:rPr>
          <w:t>Walters rights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38">
        <w:r>
          <w:rPr>
            <w:rFonts w:ascii="Liberation Sans" w:hAnsi="Liberation Sans" w:eastAsia="Liberation Sans"/>
            <w:color w:val="15607A"/>
            <w:u w:val="single"/>
          </w:rPr>
          <w:t>Louvre terms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39">
        <w:r>
          <w:rPr>
            <w:rFonts w:ascii="Liberation Sans" w:hAnsi="Liberation Sans" w:eastAsia="Liberation Sans"/>
            <w:color w:val="15607A"/>
            <w:u w:val="single"/>
          </w:rPr>
          <w:t>DCCLT Sign Lists licence</w:t>
        </w:r>
      </w:hyperlink>
      <w:r>
        <w:rPr>
          <w:rFonts w:ascii="Liberation Sans" w:hAnsi="Liberation Sans" w:eastAsia="Liberation Sans"/>
          <w:color w:val="6B7C84"/>
          <w:sz w:val="17"/>
        </w:rPr>
        <w:t xml:space="preserve"> · </w:t>
      </w:r>
      <w:hyperlink r:id="rId40">
        <w:r>
          <w:rPr>
            <w:rFonts w:ascii="Liberation Sans" w:hAnsi="Liberation Sans" w:eastAsia="Liberation Sans"/>
            <w:color w:val="15607A"/>
            <w:u w:val="single"/>
          </w:rPr>
          <w:t>DCCLT/Jena licence</w:t>
        </w:r>
      </w:hyperlink>
    </w:p>
    <w:p>
      <w:pPr>
        <w:pStyle w:val="Heading1"/>
        <w:keepNext/>
        <w:pageBreakBefore w:val="0"/>
        <w:spacing w:before="240" w:after="100"/>
      </w:pPr>
      <w:r>
        <w:rPr>
          <w:rFonts w:ascii="Liberation Sans" w:hAnsi="Liberation Sans" w:eastAsia="Liberation Sans"/>
          <w:b/>
        </w:rPr>
        <w:t>5. Характерные правовые тонкости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  <w:b/>
        </w:rPr>
        <w:t>Древность содержания не освобождает современный слой.</w:t>
      </w:r>
      <w:r>
        <w:rPr>
          <w:rFonts w:ascii="Liberation Sans" w:hAnsi="Liberation Sans" w:eastAsia="Liberation Sans"/>
        </w:rPr>
        <w:t xml:space="preserve"> Протоклинописный знак или запись древни, но modern edition, reconstruction, commentary, photograph, line art, OCR/TEI и interface могут быть защищены независимо.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  <w:b/>
        </w:rPr>
        <w:t>CDLI — смешанная правовая среда.</w:t>
      </w:r>
      <w:r>
        <w:rPr>
          <w:rFonts w:ascii="Liberation Sans" w:hAnsi="Liberation Sans" w:eastAsia="Liberation Sans"/>
        </w:rPr>
        <w:t xml:space="preserve"> Транслитерации и переводы допускают повторное академическое использование; фотографии обычно принадлежат holding institutions; line art — авторам публикаций. Поэтому одна CDLI page может порождать разные tos_use для разных компонентов.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  <w:b/>
        </w:rPr>
        <w:t>Composite не равен физическому witness.</w:t>
      </w:r>
      <w:r>
        <w:rPr>
          <w:rFonts w:ascii="Liberation Sans" w:hAnsi="Liberation Sans" w:eastAsia="Liberation Sans"/>
        </w:rPr>
        <w:t xml:space="preserve"> Q000023 или Q000030 — современная филологическая сборка нескольких witnesses. «Complete» в coverage означает полноту доступного composite score, а не целую древнюю табличку и не доказанный оригинал.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  <w:b/>
        </w:rPr>
        <w:t>Public Domain Mark — не лицензия.</w:t>
      </w:r>
      <w:r>
        <w:rPr>
          <w:rFonts w:ascii="Liberation Sans" w:hAnsi="Liberation Sans" w:eastAsia="Liberation Sans"/>
        </w:rPr>
        <w:t xml:space="preserve"> Даже когда музей маркирует объект public domain, необходимо фиксировать права на цифровое изображение. В реестре использованы точные CC0/CC statements там, где они официально указаны.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  <w:b/>
        </w:rPr>
        <w:t>Open download не равен mirror permission.</w:t>
      </w:r>
      <w:r>
        <w:rPr>
          <w:rFonts w:ascii="Liberation Sans" w:hAnsi="Liberation Sans" w:eastAsia="Liberation Sans"/>
        </w:rPr>
        <w:t xml:space="preserve"> Open Library loan, Zenodo file или GitHub raw JSON могут быть законно скачаны для исследования, но без licence statement не получают MIRROR_OK.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  <w:b/>
        </w:rPr>
        <w:t>NC и SA не исключались.</w:t>
      </w:r>
      <w:r>
        <w:rPr>
          <w:rFonts w:ascii="Liberation Sans" w:hAnsi="Liberation Sans" w:eastAsia="Liberation Sans"/>
        </w:rPr>
        <w:t xml:space="preserve"> CC BY-NC-SA фотография P000714 полезна для публичного некоммерческого ToS, но требует атрибуции, ShareAlike и ограничения scope только этой фотографии.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  <w:b/>
        </w:rPr>
        <w:t>Юрисдикция старых изданий требует проверки.</w:t>
      </w:r>
      <w:r>
        <w:rPr>
          <w:rFonts w:ascii="Liberation Sans" w:hAnsi="Liberation Sans" w:eastAsia="Liberation Sans"/>
        </w:rPr>
        <w:t xml:space="preserve"> ATU 1 и OECT 7 не объявлены свободными лишь по возрасту. Срок охраны автора, конкретный scan и страна использования должны оцениваться отдельно.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  <w:b/>
        </w:rPr>
        <w:t>Неопределённость чтения — не только правовая проблема.</w:t>
      </w:r>
      <w:r>
        <w:rPr>
          <w:rFonts w:ascii="Liberation Sans" w:hAnsi="Liberation Sans" w:eastAsia="Liberation Sans"/>
        </w:rPr>
        <w:t xml:space="preserve"> Даже при чистом CC0 факсимиле ToS не должен выдавать speculative reconstruction за перевод. Undetermined language, broken signs и editorial normalization должны сохраняться в публикации.</w:t>
      </w:r>
    </w:p>
    <w:p>
      <w:pPr>
        <w:pStyle w:val="ListNumber"/>
        <w:spacing w:after="60" w:line="252" w:lineRule="auto"/>
      </w:pPr>
      <w:r>
        <w:rPr>
          <w:rFonts w:ascii="Liberation Sans" w:hAnsi="Liberation Sans" w:eastAsia="Liberation Sans"/>
          <w:b/>
        </w:rPr>
        <w:t>Динамические endpoints нуждаются в повторной проверке.</w:t>
      </w:r>
      <w:r>
        <w:rPr>
          <w:rFonts w:ascii="Liberation Sans" w:hAnsi="Liberation Sans" w:eastAsia="Liberation Sans"/>
        </w:rPr>
        <w:t xml:space="preserve"> ORACC/DCCLT и CDLI bulk endpoints временно не открывались; high confidence ставилась только там, где rights statement был уже идентифицирован на официальном URL, а item-level действия оставлены на review.</w:t>
      </w:r>
    </w:p>
    <w:p>
      <w:pPr>
        <w:pStyle w:val="Heading1"/>
        <w:keepNext/>
        <w:pageBreakBefore w:val="0"/>
        <w:spacing w:before="240" w:after="100"/>
      </w:pPr>
      <w:r>
        <w:rPr>
          <w:rFonts w:ascii="Liberation Sans" w:hAnsi="Liberation Sans" w:eastAsia="Liberation Sans"/>
          <w:b/>
        </w:rPr>
        <w:t>6. Пробелы и дальнейший поиск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6.1. Основные нерешённые зоны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Лист gaps содержит 12 конкретных незакрытых задач. Они не являются общим списком «что-нибудь ещё поискать», а указывают, какой идентификатор, лицензия или цифровой слой отсутствует.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ATU 4 по-прежнему указан FU Berlin как in preparation; стабильного опубликованного тома и item-level digital access не найдено.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Не найдены явно авторизованные полные scans ATU 1/2/3/5/6/7, CUSAS 1 и MSVO 1/2/4. Есть publisher/library/catalogue routes, но не право на копию.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DCCLT/ORACC вернул 502 при финальной проверке. Лицензии Sign Lists и Jena найдены, однако corpus-wide licence нельзя выводить из них автоматически.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CDLI bulk_data endpoint не открылся, а cdli-gh/data и cdli-cts не получили подтверждённой repository-level лицензии.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Born–Kelley datasets/code найдены, но exact Zenodo release и file-level licence требуют разрешения.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Два British Museum item records не удалось открыть на item level; права на изображения неизвестны.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Полная линия archaic lists → Early Dynastic → Old Babylonian → Ura/Lú покрыта лишь репрезентативно; нужен composition-by-composition crosswalk.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</w:rPr>
        <w:t>Массовый аудит тысяч Uruk IV/III records по holding institution и item-level image rights не выполнен; текущий пакет даёт ядро и representative witnesses.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6.2. Targeted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45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61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123B4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Конкретный результат</w:t>
            </w:r>
          </w:p>
        </w:tc>
      </w:tr>
      <w:tr>
        <w:trPr>
          <w:cantSplit/>
        </w:trPr>
        <w:tc>
          <w:tcPr>
            <w:tcW w:type="dxa" w:w="45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1</w:t>
            </w:r>
          </w:p>
        </w:tc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Повторить ORACC/DCCLT audit</w:t>
            </w:r>
          </w:p>
        </w:tc>
        <w:tc>
          <w:tcPr>
            <w:tcW w:type="dxa" w:w="61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Снять item-page footer/licence, package metadata и image provenance для Q000002–Q000265 и HS 1822.</w:t>
            </w:r>
          </w:p>
        </w:tc>
      </w:tr>
      <w:tr>
        <w:trPr>
          <w:cantSplit/>
        </w:trPr>
        <w:tc>
          <w:tcPr>
            <w:tcW w:type="dxa" w:w="45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2</w:t>
            </w:r>
          </w:p>
        </w:tc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Разрешить CDLI bulk layer</w:t>
            </w:r>
          </w:p>
        </w:tc>
        <w:tc>
          <w:tcPr>
            <w:tcW w:type="dxa" w:w="61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Получить текущие bulk filenames; проверить LICENSE/terms для cdli-gh/data и cdli-cts; зафиксировать version date.</w:t>
            </w:r>
          </w:p>
        </w:tc>
      </w:tr>
      <w:tr>
        <w:trPr>
          <w:cantSplit/>
        </w:trPr>
        <w:tc>
          <w:tcPr>
            <w:tcW w:type="dxa" w:w="45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3</w:t>
            </w:r>
          </w:p>
        </w:tc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ATU volume-by-volume digitization search</w:t>
            </w:r>
          </w:p>
        </w:tc>
        <w:tc>
          <w:tcPr>
            <w:tcW w:type="dxa" w:w="61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HathiTrust, Staatsbibliothek, FU Berlin, Heidelberg, author deposits, publisher permissions; отдельно оценить каждый scan.</w:t>
            </w:r>
          </w:p>
        </w:tc>
      </w:tr>
      <w:tr>
        <w:trPr>
          <w:cantSplit/>
        </w:trPr>
        <w:tc>
          <w:tcPr>
            <w:tcW w:type="dxa" w:w="45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4</w:t>
            </w:r>
          </w:p>
        </w:tc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CUSAS/MSVO/OECT rights-cleared routes</w:t>
            </w:r>
          </w:p>
        </w:tc>
        <w:tc>
          <w:tcPr>
            <w:tcW w:type="dxa" w:w="61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CDL Press, Cornell, Oriental Institute/ISAC, institutional repositories и controlled lending.</w:t>
            </w:r>
          </w:p>
        </w:tc>
      </w:tr>
      <w:tr>
        <w:trPr>
          <w:cantSplit/>
        </w:trPr>
        <w:tc>
          <w:tcPr>
            <w:tcW w:type="dxa" w:w="45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5</w:t>
            </w:r>
          </w:p>
        </w:tc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Museum image-rights batch</w:t>
            </w:r>
          </w:p>
        </w:tc>
        <w:tc>
          <w:tcPr>
            <w:tcW w:type="dxa" w:w="61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Met, Walters, Louvre, British Museum, Penn Museum и ISAC; фильтр Uruk IV/III, tablets/tags/sealings, rights field.</w:t>
            </w:r>
          </w:p>
        </w:tc>
      </w:tr>
      <w:tr>
        <w:trPr>
          <w:cantSplit/>
        </w:trPr>
        <w:tc>
          <w:tcPr>
            <w:tcW w:type="dxa" w:w="45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6</w:t>
            </w:r>
          </w:p>
        </w:tc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Archaic lexical crosswalk</w:t>
            </w:r>
          </w:p>
        </w:tc>
        <w:tc>
          <w:tcPr>
            <w:tcW w:type="dxa" w:w="61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Экспортировать полный DCCLT/CDLI список Q-composites и сверить с ATU 3, включая minor/variant lists.</w:t>
            </w:r>
          </w:p>
        </w:tc>
      </w:tr>
      <w:tr>
        <w:trPr>
          <w:cantSplit/>
        </w:trPr>
        <w:tc>
          <w:tcPr>
            <w:tcW w:type="dxa" w:w="45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7</w:t>
            </w:r>
          </w:p>
        </w:tc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Transmission chain</w:t>
            </w:r>
          </w:p>
        </w:tc>
        <w:tc>
          <w:tcPr>
            <w:tcW w:type="dxa" w:w="61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Для каждого archaic list найти Early Dynastic и OB witnesses; отделить direct textual continuity от общего genre inheritance.</w:t>
            </w:r>
          </w:p>
        </w:tc>
      </w:tr>
      <w:tr>
        <w:trPr>
          <w:cantSplit/>
        </w:trPr>
        <w:tc>
          <w:tcPr>
            <w:tcW w:type="dxa" w:w="45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8</w:t>
            </w:r>
          </w:p>
        </w:tc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Antecedent evidence balance</w:t>
            </w:r>
          </w:p>
        </w:tc>
        <w:tc>
          <w:tcPr>
            <w:tcW w:type="dxa" w:w="61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Добавить открытые item-level images tokens/bullae и современную критику linear token theory, не расширяя тему до общей неолитической истории.</w:t>
            </w:r>
          </w:p>
        </w:tc>
      </w:tr>
      <w:tr>
        <w:trPr>
          <w:cantSplit/>
        </w:trPr>
        <w:tc>
          <w:tcPr>
            <w:tcW w:type="dxa" w:w="45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9</w:t>
            </w:r>
          </w:p>
        </w:tc>
        <w:tc>
          <w:tcPr>
            <w:tcW w:type="dxa" w:w="289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Russian-language navigation</w:t>
            </w:r>
          </w:p>
        </w:tc>
        <w:tc>
          <w:tcPr>
            <w:tcW w:type="dxa" w:w="61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Найти законные русские научные обзоры/переводы вторичной литературы, не выдавая их за перевод proto-cuneiform corpus.</w:t>
            </w:r>
          </w:p>
        </w:tc>
      </w:tr>
    </w:tbl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6.3. Ссылки, не открывшиеся или открывшиеся частично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Временная недоступность отмечена явно, а не скрыта за высокой уверенностью: DCCLT main/corpus/JSON и licensed subprojects отвечали 502; direct CDLI bulk_data не открылся; два British Museum item pages вернули ошибки доступа. Для таких строк verification_status описывает фактический результат проверки, access_mode включает temporarily_unavailable или metadata_only, а rights_confidence понижен там, где официальный item-level statement не удалось прочитать.</w:t>
      </w:r>
    </w:p>
    <w:p>
      <w:pPr>
        <w:pStyle w:val="Heading2"/>
        <w:keepNext/>
        <w:pageBreakBefore w:val="0"/>
        <w:spacing w:before="160" w:after="100"/>
      </w:pPr>
      <w:r>
        <w:rPr>
          <w:rFonts w:ascii="Liberation Sans" w:hAnsi="Liberation Sans" w:eastAsia="Liberation Sans"/>
          <w:b/>
        </w:rPr>
        <w:t>6.4. Внепериодные объекты, требующие дальнейшего доступа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Наиболее перспективный поздний ореол — продолжения конкретных lexical families: все Early Dynastic и Old Babylonian copies, затем прямые линии к Ura/Lú и школьным curricular lists. Они должны включаться не потому, что «позже тоже были списки», а только при composition-level continuity, quotation, copy или demonstrable preservation. Аналогично, более ранние tokens/bullae следует расширять item-level только там, где доступна археологическая документация и связь с accounting practices, а не по одной тематической похожести.</w:t>
      </w:r>
    </w:p>
    <w:p>
      <w:pPr>
        <w:pStyle w:val="Heading1"/>
        <w:keepNext/>
        <w:pageBreakBefore w:val="0"/>
        <w:spacing w:before="240" w:after="100"/>
      </w:pPr>
      <w:r>
        <w:rPr>
          <w:rFonts w:ascii="Liberation Sans" w:hAnsi="Liberation Sans" w:eastAsia="Liberation Sans"/>
          <w:b/>
        </w:rP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Покрытие корпуса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Высокое для цифровой идентификации ядра; среднее для полного item-level аудита тысяч табличек.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Доступность оригиналов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Высокая: CDLI, museum object pages и representative facsimiles дают прямой доступ к знакам и объектам.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Доступность переводов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Низкая в обычном литературном смысле; нормальная форма доступа — facsimile + transliteration + scholarly interpretation.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Машиночитаемость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Средне-высокая: CDLI exports, sign-list, composite scores, JSON/CSV/ATF routes; часть endpoints и repo licences требует повторной проверки.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Наиболее свободный слой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Met/Walters CC0, CC BY proto-cuneiform sign list, CC BY CDLI article text, CC BY-SA licensed DCCLT subprojects.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Главные ограничения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Современные критические издания, museum photos without item licence, mixed CDLI rights, controlled lending и временно недоступные endpoints.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Собственный перевод ToS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Возможен только на конкретной открытой транслитерации или допустимом facsimile; не автоматически для всего Uruk corpus.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DCECF1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8"/>
              </w:rPr>
              <w:t>Готовность для Codex</w:t>
            </w:r>
          </w:p>
        </w:tc>
        <w:tc>
          <w:tcPr>
            <w:tcW w:type="dxa" w:w="6803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7E1E5"/>
              <w:left w:val="single" w:sz="4" w:color="D7E1E5"/>
              <w:bottom w:val="single" w:sz="4" w:color="D7E1E5"/>
              <w:right w:val="single" w:sz="4" w:color="D7E1E5"/>
            </w:tcBorders>
            <w:shd w:fill="F6F9FA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8"/>
              </w:rPr>
              <w:t>Да. Реестр плоский, item/action-oriented, с простыми record_id, stable_identifier, rights_scope, coverage и отдельным gaps sheet.</w:t>
            </w:r>
          </w:p>
        </w:tc>
      </w:tr>
    </w:tbl>
    <w:p>
      <w:pPr>
        <w:spacing w:after="0"/>
      </w:pP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Итоговый пакет пригоден для передачи Codex как исследовательский регистр. Он не строит преждевременную глобальную онтологию, но достаточно точно различает period corpus, composite, physical witness, edition, dataset и access route. Важнее всего, что хронологический ореол не заменяет ядро и не размывает A01: ранние tokens отмечены как antecedent, поздние списки — как continuation/transmission, а общие последующие науки и религии не добавлены без прямой связи.</w:t>
      </w:r>
    </w:p>
    <w:p>
      <w:pPr>
        <w:keepNext w:val="0"/>
        <w:widowControl/>
        <w:spacing w:after="100" w:line="259" w:lineRule="auto"/>
      </w:pPr>
      <w:r>
        <w:rPr>
          <w:rFonts w:ascii="Liberation Sans" w:hAnsi="Liberation Sans" w:eastAsia="Liberation Sans"/>
        </w:rPr>
        <w:t>Для публичного ToS можно немедленно использовать безопасный ссылочный слой всего реестра, CC0-факсимиле и открыто лицензированные textual/data components. Автоматическое зеркалирование остальных объектов должно быть заблокировано до проверки rights_scope. Именно эта комбинация — широкий lawful access плюс строгая component-level граница — делает пакет практичным и честным.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DF5EF"/>
            <w:tcBorders>
              <w:top w:val="single" w:sz="8" w:color="3C7A57"/>
              <w:left w:val="single" w:sz="18" w:color="3C7A57"/>
              <w:bottom w:val="single" w:sz="8" w:color="3C7A57"/>
              <w:right w:val="single" w:sz="8" w:color="3C7A5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23B4A"/>
                <w:sz w:val="22"/>
              </w:rPr>
              <w:t>Финальный вердикт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Liberation Sans" w:hAnsi="Liberation Sans" w:eastAsia="Liberation Sans"/>
                <w:sz w:val="19"/>
              </w:rPr>
              <w:t>Ядро A01 закрыто существенно лучше, чем исходным общим списком порталов: есть item-level composites, witnesses, editions, museum facsimiles, data layers и lawful non-free routes.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Liberation Sans" w:hAnsi="Liberation Sans" w:eastAsia="Liberation Sans"/>
                <w:sz w:val="19"/>
              </w:rPr>
              <w:t>Главный свободный фундамент для ToS — не «древность вообще», а конкретные CC0/CC BY/CC BY-SA объекты и официально разрешённые CDLI textual layers.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Liberation Sans" w:hAnsi="Liberation Sans" w:eastAsia="Liberation Sans"/>
                <w:sz w:val="19"/>
              </w:rPr>
              <w:t>Главный незавершённый блок — массовый rights audit всего Uruk IV/III и разрешение закрытых/неустойчивых издательских и ORACC/CDLI endpoints.</w:t>
            </w:r>
          </w:p>
          <w:p>
            <w:pPr>
              <w:pStyle w:val="ListBullet"/>
              <w:spacing w:after="30" w:line="240" w:lineRule="auto"/>
            </w:pPr>
            <w:r>
              <w:rPr>
                <w:rFonts w:ascii="Liberation Sans" w:hAnsi="Liberation Sans" w:eastAsia="Liberation Sans"/>
                <w:sz w:val="19"/>
              </w:rPr>
              <w:t>Статус C подтверждён: корпус показывает рождение письменной рациональности, но не даёт основания выдумывать философский канон.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879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B9CDD5"/>
      </w:pBdr>
    </w:pPr>
    <w:r>
      <w:rPr>
        <w:rFonts w:ascii="Liberation Sans" w:hAnsi="Liberation Sans" w:eastAsia="Liberation Sans"/>
        <w:b/>
        <w:color w:val="45616C"/>
        <w:sz w:val="16"/>
      </w:rPr>
      <w:t>ToS / Древо Софии  ·  Corpus &amp; Rights Registry  ·  A01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C53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A647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23B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4E68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dli.earth/" TargetMode="External"/><Relationship Id="rId12" Type="http://schemas.openxmlformats.org/officeDocument/2006/relationships/hyperlink" Target="https://cdli.earth/terms-of-use" TargetMode="External"/><Relationship Id="rId13" Type="http://schemas.openxmlformats.org/officeDocument/2006/relationships/hyperlink" Target="https://www.geschkult.fu-berlin.de/en/e/vaa/forschung/projekte_abgeschlossen/archaische_texte/index.html" TargetMode="External"/><Relationship Id="rId14" Type="http://schemas.openxmlformats.org/officeDocument/2006/relationships/hyperlink" Target="https://oracc.museum.upenn.edu/dcclt/" TargetMode="External"/><Relationship Id="rId15" Type="http://schemas.openxmlformats.org/officeDocument/2006/relationships/hyperlink" Target="https://cdli.earth/periods/3" TargetMode="External"/><Relationship Id="rId16" Type="http://schemas.openxmlformats.org/officeDocument/2006/relationships/hyperlink" Target="https://cdli.earth/periods/4" TargetMode="External"/><Relationship Id="rId17" Type="http://schemas.openxmlformats.org/officeDocument/2006/relationships/hyperlink" Target="https://cdli.earth/postings/201" TargetMode="External"/><Relationship Id="rId18" Type="http://schemas.openxmlformats.org/officeDocument/2006/relationships/hyperlink" Target="https://github.com/cdli-gh/data" TargetMode="External"/><Relationship Id="rId19" Type="http://schemas.openxmlformats.org/officeDocument/2006/relationships/hyperlink" Target="https://cdli.earth/artifacts/composites-score/Q000023" TargetMode="External"/><Relationship Id="rId20" Type="http://schemas.openxmlformats.org/officeDocument/2006/relationships/hyperlink" Target="https://cdli.earth/P000015" TargetMode="External"/><Relationship Id="rId21" Type="http://schemas.openxmlformats.org/officeDocument/2006/relationships/hyperlink" Target="https://cdli.earth/artifacts/composites-score/Q000030" TargetMode="External"/><Relationship Id="rId22" Type="http://schemas.openxmlformats.org/officeDocument/2006/relationships/hyperlink" Target="https://cdli.earth/artifacts/composites-score/Q000265" TargetMode="External"/><Relationship Id="rId23" Type="http://schemas.openxmlformats.org/officeDocument/2006/relationships/hyperlink" Target="https://cdli.earth/P000714" TargetMode="External"/><Relationship Id="rId24" Type="http://schemas.openxmlformats.org/officeDocument/2006/relationships/hyperlink" Target="https://github.com/cdli-gh/proto-cuneiform_signs" TargetMode="External"/><Relationship Id="rId25" Type="http://schemas.openxmlformats.org/officeDocument/2006/relationships/hyperlink" Target="https://cdli.earth/articles/cdlb/2006-1" TargetMode="External"/><Relationship Id="rId26" Type="http://schemas.openxmlformats.org/officeDocument/2006/relationships/hyperlink" Target="https://cdli.earth/articles/cdlb/2006-1.pdf" TargetMode="External"/><Relationship Id="rId27" Type="http://schemas.openxmlformats.org/officeDocument/2006/relationships/hyperlink" Target="https://cdli.earth/publications/113714" TargetMode="External"/><Relationship Id="rId28" Type="http://schemas.openxmlformats.org/officeDocument/2006/relationships/hyperlink" Target="https://www.metmuseum.org/hubs/open-access" TargetMode="External"/><Relationship Id="rId29" Type="http://schemas.openxmlformats.org/officeDocument/2006/relationships/hyperlink" Target="https://www.metmuseum.org/art/collection/search/329081" TargetMode="External"/><Relationship Id="rId30" Type="http://schemas.openxmlformats.org/officeDocument/2006/relationships/hyperlink" Target="https://www.metmuseum.org/art/collection/search/327384" TargetMode="External"/><Relationship Id="rId31" Type="http://schemas.openxmlformats.org/officeDocument/2006/relationships/hyperlink" Target="https://www.metmuseum.org/art/collection/search/327385" TargetMode="External"/><Relationship Id="rId32" Type="http://schemas.openxmlformats.org/officeDocument/2006/relationships/hyperlink" Target="https://art.thewalters.org/object/41.219/" TargetMode="External"/><Relationship Id="rId33" Type="http://schemas.openxmlformats.org/officeDocument/2006/relationships/hyperlink" Target="https://collections.louvre.fr/en/ark:/53355/cl010120684" TargetMode="External"/><Relationship Id="rId34" Type="http://schemas.openxmlformats.org/officeDocument/2006/relationships/hyperlink" Target="https://openlibrary.org/books/OL1393730M/Archaic_bookkeeping" TargetMode="External"/><Relationship Id="rId35" Type="http://schemas.openxmlformats.org/officeDocument/2006/relationships/hyperlink" Target="https://books.google.com/books/about/Archaic_Bookkeeping.html?id=YBAzXV4YtQ8C" TargetMode="External"/><Relationship Id="rId36" Type="http://schemas.openxmlformats.org/officeDocument/2006/relationships/hyperlink" Target="https://search.worldcat.org/" TargetMode="External"/><Relationship Id="rId37" Type="http://schemas.openxmlformats.org/officeDocument/2006/relationships/hyperlink" Target="https://thewalters.org/about/policies/rights-reproductions/" TargetMode="External"/><Relationship Id="rId38" Type="http://schemas.openxmlformats.org/officeDocument/2006/relationships/hyperlink" Target="https://collections.louvre.fr/en/page/cgu" TargetMode="External"/><Relationship Id="rId39" Type="http://schemas.openxmlformats.org/officeDocument/2006/relationships/hyperlink" Target="https://oracc.museum.upenn.edu/dcclt/signlists/AboutSignLists/Licensing/index.html" TargetMode="External"/><Relationship Id="rId40" Type="http://schemas.openxmlformats.org/officeDocument/2006/relationships/hyperlink" Target="https://oracc.museum.upenn.edu/dcclt/jena/AboutDCCLTJena/Licensing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A01 — Протоклинопись и учётные онтологии</dc:title>
  <dc:subject>Research report on lawful access, rights and corpus coverage</dc:subject>
  <dc:creator>ToS Research</dc:creator>
  <cp:keywords>ToS, A01, proto-cuneiform, Uruk, CDLI, rights, corpus</cp:keywords>
  <dc:description>Generated as a separate research package; source documents were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