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20"/>
        <w:jc w:val="center"/>
      </w:pPr>
      <w:r>
        <w:rPr>
          <w:rFonts w:ascii="Aptos Display" w:hAnsi="Aptos Display" w:eastAsia="Aptos Display" w:cs="Aptos Display"/>
          <w:b/>
          <w:color w:val="17324D"/>
          <w:sz w:val="46"/>
        </w:rPr>
        <w:t>ToS Corpus &amp; Rights Registry</w:t>
      </w:r>
    </w:p>
    <w:p>
      <w:pPr>
        <w:spacing w:after="160"/>
        <w:jc w:val="center"/>
      </w:pPr>
      <w:r>
        <w:rPr>
          <w:rFonts w:ascii="Aptos Display" w:hAnsi="Aptos Display" w:eastAsia="Aptos Display" w:cs="Aptos Display"/>
          <w:b/>
          <w:color w:val="0E6F69"/>
          <w:sz w:val="31"/>
        </w:rPr>
        <w:t>A29 — Европа — Римский греко-латинский философский экумен</w:t>
      </w:r>
    </w:p>
    <w:p>
      <w:pPr>
        <w:spacing w:after="320"/>
        <w:jc w:val="center"/>
      </w:pPr>
      <w:r>
        <w:rPr>
          <w:rFonts w:ascii="Aptos" w:hAnsi="Aptos" w:eastAsia="Aptos" w:cs="Aptos"/>
          <w:b w:val="0"/>
          <w:i w:val="0"/>
          <w:color w:val="506070"/>
          <w:sz w:val="22"/>
        </w:rPr>
        <w:t>Отдельный исследовательский пакет по корпусам, доступу и правам</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3307"/>
        <w:gridCol w:w="3307"/>
        <w:gridCol w:w="3307"/>
      </w:tblGrid>
      <w:tr>
        <w:trPr>
          <w:cantSplit/>
        </w:trPr>
        <w:tc>
          <w:tcPr>
            <w:tcW w:type="dxa" w:w="3078"/>
            <w:shd w:fill="F4F6F8"/>
            <w:tcMar>
              <w:top w:w="80" w:type="dxa"/>
              <w:start w:w="90" w:type="dxa"/>
              <w:bottom w:w="80" w:type="dxa"/>
              <w:end w:w="90" w:type="dxa"/>
            </w:tcMar>
            <w:vAlign w:val="top"/>
          </w:tcPr>
          <w:p>
            <w:pPr>
              <w:spacing w:after="30" w:line="240" w:lineRule="auto"/>
              <w:jc w:val="center"/>
            </w:pPr>
            <w:r>
              <w:rPr>
                <w:rFonts w:ascii="Aptos" w:hAnsi="Aptos" w:eastAsia="Aptos" w:cs="Aptos"/>
                <w:b w:val="0"/>
                <w:i w:val="0"/>
                <w:color w:val="22303C"/>
                <w:sz w:val="17"/>
              </w:rPr>
              <w:t>154</w:t>
            </w:r>
          </w:p>
          <w:p>
            <w:pPr>
              <w:spacing w:after="30" w:line="240" w:lineRule="auto"/>
              <w:jc w:val="center"/>
            </w:pPr>
            <w:r>
              <w:rPr>
                <w:rFonts w:ascii="Aptos" w:hAnsi="Aptos" w:eastAsia="Aptos" w:cs="Aptos"/>
                <w:b w:val="0"/>
                <w:i w:val="0"/>
                <w:color w:val="22303C"/>
                <w:sz w:val="17"/>
              </w:rPr>
              <w:t>проверенных путей доступа</w:t>
            </w:r>
          </w:p>
        </w:tc>
        <w:tc>
          <w:tcPr>
            <w:tcW w:type="dxa" w:w="3078"/>
            <w:shd w:fill="F4F6F8"/>
            <w:tcMar>
              <w:top w:w="80" w:type="dxa"/>
              <w:start w:w="90" w:type="dxa"/>
              <w:bottom w:w="80" w:type="dxa"/>
              <w:end w:w="90" w:type="dxa"/>
            </w:tcMar>
            <w:vAlign w:val="top"/>
          </w:tcPr>
          <w:p>
            <w:pPr>
              <w:spacing w:after="30" w:line="240" w:lineRule="auto"/>
              <w:jc w:val="center"/>
            </w:pPr>
            <w:r>
              <w:rPr>
                <w:rFonts w:ascii="Aptos" w:hAnsi="Aptos" w:eastAsia="Aptos" w:cs="Aptos"/>
                <w:b w:val="0"/>
                <w:i w:val="0"/>
                <w:color w:val="22303C"/>
                <w:sz w:val="17"/>
              </w:rPr>
              <w:t>около 60</w:t>
            </w:r>
          </w:p>
          <w:p>
            <w:pPr>
              <w:spacing w:after="30" w:line="240" w:lineRule="auto"/>
              <w:jc w:val="center"/>
            </w:pPr>
            <w:r>
              <w:rPr>
                <w:rFonts w:ascii="Aptos" w:hAnsi="Aptos" w:eastAsia="Aptos" w:cs="Aptos"/>
                <w:b w:val="0"/>
                <w:i w:val="0"/>
                <w:color w:val="22303C"/>
                <w:sz w:val="17"/>
              </w:rPr>
              <w:t>произведений, корпусных единиц и линий передачи</w:t>
            </w:r>
          </w:p>
        </w:tc>
        <w:tc>
          <w:tcPr>
            <w:tcW w:type="dxa" w:w="3078"/>
            <w:shd w:fill="F4F6F8"/>
            <w:tcMar>
              <w:top w:w="80" w:type="dxa"/>
              <w:start w:w="90" w:type="dxa"/>
              <w:bottom w:w="80" w:type="dxa"/>
              <w:end w:w="90" w:type="dxa"/>
            </w:tcMar>
            <w:vAlign w:val="top"/>
          </w:tcPr>
          <w:p>
            <w:pPr>
              <w:spacing w:after="30" w:line="240" w:lineRule="auto"/>
              <w:jc w:val="center"/>
            </w:pPr>
            <w:r>
              <w:rPr>
                <w:rFonts w:ascii="Aptos" w:hAnsi="Aptos" w:eastAsia="Aptos" w:cs="Aptos"/>
                <w:b w:val="0"/>
                <w:i w:val="0"/>
                <w:color w:val="22303C"/>
                <w:sz w:val="17"/>
              </w:rPr>
              <w:t>14</w:t>
            </w:r>
          </w:p>
          <w:p>
            <w:pPr>
              <w:spacing w:after="30" w:line="240" w:lineRule="auto"/>
              <w:jc w:val="center"/>
            </w:pPr>
            <w:r>
              <w:rPr>
                <w:rFonts w:ascii="Aptos" w:hAnsi="Aptos" w:eastAsia="Aptos" w:cs="Aptos"/>
                <w:b w:val="0"/>
                <w:i w:val="0"/>
                <w:color w:val="22303C"/>
                <w:sz w:val="17"/>
              </w:rPr>
              <w:t>зафиксированных пробелов</w:t>
            </w:r>
          </w:p>
        </w:tc>
      </w:tr>
      <w:tr>
        <w:trPr>
          <w:cantSplit/>
        </w:trPr>
        <w:tc>
          <w:tcPr>
            <w:tcW w:type="dxa" w:w="3078"/>
            <w:shd w:fill="E6F3F1"/>
            <w:tcMar>
              <w:top w:w="80" w:type="dxa"/>
              <w:start w:w="90" w:type="dxa"/>
              <w:bottom w:w="80" w:type="dxa"/>
              <w:end w:w="90" w:type="dxa"/>
            </w:tcMar>
            <w:vAlign w:val="top"/>
          </w:tcPr>
          <w:p>
            <w:pPr>
              <w:spacing w:after="30" w:line="240" w:lineRule="auto"/>
              <w:jc w:val="center"/>
            </w:pPr>
            <w:r>
              <w:rPr>
                <w:rFonts w:ascii="Aptos" w:hAnsi="Aptos" w:eastAsia="Aptos" w:cs="Aptos"/>
                <w:b w:val="0"/>
                <w:i w:val="0"/>
                <w:color w:val="22303C"/>
                <w:sz w:val="17"/>
              </w:rPr>
              <w:t>28</w:t>
            </w:r>
          </w:p>
          <w:p>
            <w:pPr>
              <w:spacing w:after="30" w:line="240" w:lineRule="auto"/>
              <w:jc w:val="center"/>
            </w:pPr>
            <w:r>
              <w:rPr>
                <w:rFonts w:ascii="Aptos" w:hAnsi="Aptos" w:eastAsia="Aptos" w:cs="Aptos"/>
                <w:b w:val="0"/>
                <w:i w:val="0"/>
                <w:color w:val="22303C"/>
                <w:sz w:val="17"/>
              </w:rPr>
              <w:t>внепериодных записей доступа</w:t>
            </w:r>
          </w:p>
        </w:tc>
        <w:tc>
          <w:tcPr>
            <w:tcW w:type="dxa" w:w="3078"/>
            <w:shd w:fill="EAF3F8"/>
            <w:tcMar>
              <w:top w:w="80" w:type="dxa"/>
              <w:start w:w="90" w:type="dxa"/>
              <w:bottom w:w="80" w:type="dxa"/>
              <w:end w:w="90" w:type="dxa"/>
            </w:tcMar>
            <w:vAlign w:val="top"/>
          </w:tcPr>
          <w:p>
            <w:pPr>
              <w:spacing w:after="30" w:line="240" w:lineRule="auto"/>
              <w:jc w:val="center"/>
            </w:pPr>
            <w:r>
              <w:rPr>
                <w:rFonts w:ascii="Aptos" w:hAnsi="Aptos" w:eastAsia="Aptos" w:cs="Aptos"/>
                <w:b w:val="0"/>
                <w:i w:val="0"/>
                <w:color w:val="22303C"/>
                <w:sz w:val="17"/>
              </w:rPr>
              <w:t>10</w:t>
            </w:r>
          </w:p>
          <w:p>
            <w:pPr>
              <w:spacing w:after="30" w:line="240" w:lineRule="auto"/>
              <w:jc w:val="center"/>
            </w:pPr>
            <w:r>
              <w:rPr>
                <w:rFonts w:ascii="Aptos" w:hAnsi="Aptos" w:eastAsia="Aptos" w:cs="Aptos"/>
                <w:b w:val="0"/>
                <w:i w:val="0"/>
                <w:color w:val="22303C"/>
                <w:sz w:val="17"/>
              </w:rPr>
              <w:t>dataset/API записей</w:t>
            </w:r>
          </w:p>
        </w:tc>
        <w:tc>
          <w:tcPr>
            <w:tcW w:type="dxa" w:w="3078"/>
            <w:shd w:fill="E6F3F1"/>
            <w:tcMar>
              <w:top w:w="80" w:type="dxa"/>
              <w:start w:w="90" w:type="dxa"/>
              <w:bottom w:w="80" w:type="dxa"/>
              <w:end w:w="90" w:type="dxa"/>
            </w:tcMar>
            <w:vAlign w:val="top"/>
          </w:tcPr>
          <w:p>
            <w:pPr>
              <w:spacing w:after="30" w:line="240" w:lineRule="auto"/>
              <w:jc w:val="center"/>
            </w:pPr>
            <w:r>
              <w:rPr>
                <w:rFonts w:ascii="Aptos" w:hAnsi="Aptos" w:eastAsia="Aptos" w:cs="Aptos"/>
                <w:b w:val="0"/>
                <w:i w:val="0"/>
                <w:color w:val="22303C"/>
                <w:sz w:val="17"/>
              </w:rPr>
              <w:t>10</w:t>
            </w:r>
          </w:p>
          <w:p>
            <w:pPr>
              <w:spacing w:after="30" w:line="240" w:lineRule="auto"/>
              <w:jc w:val="center"/>
            </w:pPr>
            <w:r>
              <w:rPr>
                <w:rFonts w:ascii="Aptos" w:hAnsi="Aptos" w:eastAsia="Aptos" w:cs="Aptos"/>
                <w:b w:val="0"/>
                <w:i w:val="0"/>
                <w:color w:val="22303C"/>
                <w:sz w:val="17"/>
              </w:rPr>
              <w:t>русскоязычных путей</w:t>
            </w:r>
          </w:p>
        </w:tc>
      </w:tr>
    </w:tbl>
    <w:p>
      <w:pPr>
        <w:spacing w:before="360"/>
        <w:jc w:val="center"/>
      </w:pPr>
      <w:r>
        <w:rPr>
          <w:rFonts w:ascii="Aptos" w:hAnsi="Aptos" w:eastAsia="Aptos" w:cs="Aptos"/>
          <w:b/>
          <w:i w:val="0"/>
          <w:color w:val="17324D"/>
          <w:sz w:val="18"/>
        </w:rPr>
        <w:t>Исходный DR-документ:</w:t>
      </w:r>
    </w:p>
    <w:p>
      <w:pPr>
        <w:jc w:val="center"/>
      </w:pPr>
      <w:r>
        <w:rPr>
          <w:rFonts w:ascii="Aptos" w:hAnsi="Aptos" w:eastAsia="Aptos" w:cs="Aptos"/>
          <w:b w:val="0"/>
          <w:i w:val="0"/>
          <w:color w:val="22303C"/>
          <w:sz w:val="18"/>
        </w:rPr>
        <w:t>ToS Deep Research_ A29 — Европа — Римский греко-латинский философский экумен(1).docx</w:t>
      </w:r>
    </w:p>
    <w:p>
      <w:pPr>
        <w:spacing w:before="200"/>
        <w:jc w:val="center"/>
      </w:pPr>
      <w:r>
        <w:rPr>
          <w:rFonts w:ascii="Aptos" w:hAnsi="Aptos" w:eastAsia="Aptos" w:cs="Aptos"/>
          <w:b w:val="0"/>
          <w:i w:val="0"/>
          <w:color w:val="506070"/>
          <w:sz w:val="18"/>
        </w:rPr>
        <w:t>Статус исходной строки: A · исходная уверенность: 5 · дата проверки: 3 сентября 2026</w:t>
      </w:r>
    </w:p>
    <w:p>
      <w:pPr>
        <w:spacing w:before="360"/>
        <w:ind w:left="567" w:right="567"/>
        <w:jc w:val="both"/>
      </w:pPr>
      <w:r>
        <w:rPr>
          <w:rFonts w:ascii="Aptos" w:hAnsi="Aptos" w:eastAsia="Aptos" w:cs="Aptos"/>
          <w:b w:val="0"/>
          <w:i w:val="0"/>
          <w:color w:val="22303C"/>
          <w:sz w:val="18"/>
        </w:rPr>
        <w:t>Реестр сохраняет как свободные, так и ограниченные законные пути: чтение, скачивание, факсимиле, машиночитаемые тексты, библиотечную выдачу, preview и покупку. Положительные теги использования действуют только в пределах указанных rights_scope и coverage; документ не является юридическим заключением.</w:t>
      </w:r>
    </w:p>
    <w:p>
      <w:r>
        <w:br w:type="page"/>
      </w:r>
    </w:p>
    <w:p>
      <w:pPr>
        <w:pStyle w:val="Heading1"/>
      </w:pPr>
      <w:r>
        <w:t>1. Паспорт</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61"/>
        <w:gridCol w:w="4961"/>
      </w:tblGrid>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ID и название</w:t>
            </w:r>
          </w:p>
        </w:tc>
        <w:tc>
          <w:tcPr>
            <w:tcW w:type="dxa" w:w="6577"/>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8"/>
              </w:rPr>
              <w:t>A29 — Европа — Римский греко-латинский философский экумен.</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Исходный статус</w:t>
            </w:r>
          </w:p>
        </w:tc>
        <w:tc>
          <w:tcPr>
            <w:tcW w:type="dxa" w:w="6577"/>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8"/>
              </w:rPr>
              <w:t>A; исходная уверенность 5. Статус и границы мастер-строки не изменялись.</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Исходный DR</w:t>
            </w:r>
          </w:p>
        </w:tc>
        <w:tc>
          <w:tcPr>
            <w:tcW w:type="dxa" w:w="6577"/>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8"/>
              </w:rPr>
              <w:t>ToS Deep Research_ A29 — Европа — Римский греко-латинский философский экумен(1).docx.</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Дата проверки</w:t>
            </w:r>
          </w:p>
        </w:tc>
        <w:tc>
          <w:tcPr>
            <w:tcW w:type="dxa" w:w="6577"/>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8"/>
              </w:rPr>
              <w:t>3 сентября 2026 года.</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Языки поиска</w:t>
            </w:r>
          </w:p>
        </w:tc>
        <w:tc>
          <w:tcPr>
            <w:tcW w:type="dxa" w:w="6577"/>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8"/>
              </w:rPr>
              <w:t>Латинский, древнегреческий, английский, русский; дополнительно немецкий, французский, итальянский для библиотечных и издательских входов.</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Историческое ядро</w:t>
            </w:r>
          </w:p>
        </w:tc>
        <w:tc>
          <w:tcPr>
            <w:tcW w:type="dxa" w:w="6577"/>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8"/>
              </w:rPr>
              <w:t>Примерно I век до н. э. — II век н. э.; римский Средиземноморский мир как двуязычный греко-латинский письменный экумен.</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Ядро корпуса</w:t>
            </w:r>
          </w:p>
        </w:tc>
        <w:tc>
          <w:tcPr>
            <w:tcW w:type="dxa" w:w="6577"/>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8"/>
              </w:rPr>
              <w:t>Цицерон; Лукреций; Филодем и Геркуланумские папирусы; Сенека; Мусоний Руф; Эпиктет в записи Арриана; Плутарх; Марк Аврелий.</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Искомые объекты</w:t>
            </w:r>
          </w:p>
        </w:tc>
        <w:tc>
          <w:tcPr>
            <w:tcW w:type="dxa" w:w="6577"/>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8"/>
              </w:rPr>
              <w:t>Произведения, корпусы, переводы и издания, физические свидетели, цифровые тексты и факсимиле, dataset/API, каталоги и вторичная навигация.</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Источники доступа</w:t>
            </w:r>
          </w:p>
        </w:tc>
        <w:tc>
          <w:tcPr>
            <w:tcW w:type="dxa" w:w="6577"/>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8"/>
              </w:rPr>
              <w:t>Официальные item-level страницы, академические корпуса, национальные и университетские библиотеки, издательства, Project Gutenberg, Standard Ebooks, Internet Archive, HathiTrust, НЭБ.</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Источники идентификации и прав</w:t>
            </w:r>
          </w:p>
        </w:tc>
        <w:tc>
          <w:tcPr>
            <w:tcW w:type="dxa" w:w="6577"/>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8"/>
              </w:rPr>
              <w:t>CTS/TEI-репозитории, официальные каталоги и shelfmark-записи, издательские ISBN/серии, item-level rights statements, README/LICENSE, Terms of Use.</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Слабые навигационные источники</w:t>
            </w:r>
          </w:p>
        </w:tc>
        <w:tc>
          <w:tcPr>
            <w:tcW w:type="dxa" w:w="6577"/>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8"/>
              </w:rPr>
              <w:t>Wikipedia не включена ни в XLSX, ни в DOCX. Кандидаты без подтверждения вынесены на лист gaps; среди них раннеславянская адаптация Encheiridion и спорная атрибуция PHerc 1508.</w:t>
            </w:r>
          </w:p>
        </w:tc>
      </w:tr>
    </w:tbl>
    <w:p>
      <w:pPr>
        <w:spacing w:after="20"/>
      </w:pPr>
    </w:p>
    <w:p>
      <w:pPr>
        <w:jc w:val="both"/>
      </w:pPr>
      <w:r>
        <w:rPr>
          <w:rFonts w:ascii="Aptos" w:hAnsi="Aptos" w:eastAsia="Aptos" w:cs="Aptos"/>
          <w:b/>
          <w:i w:val="0"/>
          <w:color w:val="17324D"/>
          <w:sz w:val="19"/>
        </w:rPr>
        <w:t xml:space="preserve">Метод исследования. </w:t>
      </w:r>
      <w:r>
        <w:rPr>
          <w:rFonts w:ascii="Aptos" w:hAnsi="Aptos" w:eastAsia="Aptos" w:cs="Aptos"/>
          <w:b w:val="0"/>
          <w:i w:val="0"/>
          <w:color w:val="22303C"/>
          <w:sz w:val="19"/>
        </w:rPr>
        <w:t>Сначала из DR были извлечены центральные авторы, произведения, языки, жанры и каналы сохранности. Затем проведены отдельные проходы по оригинальным названиям, CTS-идентификаторам, PHerc/DCLP-номерам, shelfmark-ам, старым переводам, современным критическим изданиям, публичнодоменным сканам, лицензиям репозиториев и институциональным условиям использования. Для каждого пути доступа отдельно оценивались права на древнее произведение, конкретную редакцию/перевод, цифровой объект и условия платформы.</w:t>
      </w:r>
    </w:p>
    <w:p>
      <w:pPr>
        <w:jc w:val="both"/>
      </w:pPr>
      <w:r>
        <w:rPr>
          <w:rFonts w:ascii="Aptos" w:hAnsi="Aptos" w:eastAsia="Aptos" w:cs="Aptos"/>
          <w:b/>
          <w:i w:val="0"/>
          <w:color w:val="17324D"/>
          <w:sz w:val="19"/>
        </w:rPr>
        <w:t xml:space="preserve">Поставка. </w:t>
      </w:r>
      <w:r>
        <w:rPr>
          <w:rFonts w:ascii="Aptos" w:hAnsi="Aptos" w:eastAsia="Aptos" w:cs="Aptos"/>
          <w:b w:val="0"/>
          <w:i w:val="0"/>
          <w:color w:val="22303C"/>
          <w:sz w:val="19"/>
        </w:rPr>
        <w:t>Файл XLSX содержит 154 строки на листе registry и 14 записей на листе gaps. Настоящий отчет объясняет охват, лучшие входы, правовые слои и пробелы, но сознательно не дублирует все 32 поля каждой строки.</w:t>
      </w:r>
    </w:p>
    <w:p>
      <w:pPr>
        <w:pStyle w:val="Heading1"/>
      </w:pPr>
      <w:r>
        <w:t>2. Охват корпуса</w:t>
      </w:r>
    </w:p>
    <w:p>
      <w:pPr>
        <w:pStyle w:val="Heading2"/>
      </w:pPr>
      <w:r>
        <w:t>2.1. Центральное ядро, взятое из DR</w:t>
      </w:r>
    </w:p>
    <w:p>
      <w:pPr>
        <w:pStyle w:val="ListBullet"/>
        <w:spacing w:after="40"/>
        <w:ind w:left="255" w:hanging="142"/>
      </w:pPr>
      <w:r>
        <w:rPr>
          <w:rFonts w:ascii="Aptos" w:hAnsi="Aptos" w:eastAsia="Aptos" w:cs="Aptos"/>
          <w:b w:val="0"/>
          <w:i w:val="0"/>
          <w:color w:val="22303C"/>
          <w:sz w:val="19"/>
        </w:rPr>
        <w:t>Цицероновский философский корпус: Academica, De finibus, Tusculanae disputationes, De natura deorum, De officiis, De re publica, De legibus; дополнительно De divinatione, De fato, Paradoxa Stoicorum, Cato Maior, Laelius и фрагментарный перевод Timaeus.</w:t>
      </w:r>
    </w:p>
    <w:p>
      <w:pPr>
        <w:pStyle w:val="ListBullet"/>
        <w:spacing w:after="40"/>
        <w:ind w:left="255" w:hanging="142"/>
      </w:pPr>
      <w:r>
        <w:rPr>
          <w:rFonts w:ascii="Aptos" w:hAnsi="Aptos" w:eastAsia="Aptos" w:cs="Aptos"/>
          <w:b w:val="0"/>
          <w:i w:val="0"/>
          <w:color w:val="22303C"/>
          <w:sz w:val="19"/>
        </w:rPr>
        <w:t>Лукреций: De rerum natura как латинская эпикурейская поэма и самостоятельная форма натурфилософского письма.</w:t>
      </w:r>
    </w:p>
    <w:p>
      <w:pPr>
        <w:pStyle w:val="ListBullet"/>
        <w:spacing w:after="40"/>
        <w:ind w:left="255" w:hanging="142"/>
      </w:pPr>
      <w:r>
        <w:rPr>
          <w:rFonts w:ascii="Aptos" w:hAnsi="Aptos" w:eastAsia="Aptos" w:cs="Aptos"/>
          <w:b w:val="0"/>
          <w:i w:val="0"/>
          <w:color w:val="22303C"/>
          <w:sz w:val="19"/>
        </w:rPr>
        <w:t>Филодем и Геркуланум: On Death, On Piety, On Frank Criticism, On Signs, On Music, On Poems, On the Good King according to Homer, History of the Academy, On the Love of Money, On Rhetoric и новые CT-слои.</w:t>
      </w:r>
    </w:p>
    <w:p>
      <w:pPr>
        <w:pStyle w:val="ListBullet"/>
        <w:spacing w:after="40"/>
        <w:ind w:left="255" w:hanging="142"/>
      </w:pPr>
      <w:r>
        <w:rPr>
          <w:rFonts w:ascii="Aptos" w:hAnsi="Aptos" w:eastAsia="Aptos" w:cs="Aptos"/>
          <w:b w:val="0"/>
          <w:i w:val="0"/>
          <w:color w:val="22303C"/>
          <w:sz w:val="19"/>
        </w:rPr>
        <w:t>Сенека: Dialogi, De beneficiis, De clementia, Epistulae morales ad Lucilium и Naturales quaestiones.</w:t>
      </w:r>
    </w:p>
    <w:p>
      <w:pPr>
        <w:pStyle w:val="ListBullet"/>
        <w:spacing w:after="40"/>
        <w:ind w:left="255" w:hanging="142"/>
      </w:pPr>
      <w:r>
        <w:rPr>
          <w:rFonts w:ascii="Aptos" w:hAnsi="Aptos" w:eastAsia="Aptos" w:cs="Aptos"/>
          <w:b w:val="0"/>
          <w:i w:val="0"/>
          <w:color w:val="22303C"/>
          <w:sz w:val="19"/>
        </w:rPr>
        <w:t>Мусоний Руф: фрагментарные лекции и изречения, сохраненные поздними посредниками.</w:t>
      </w:r>
    </w:p>
    <w:p>
      <w:pPr>
        <w:pStyle w:val="ListBullet"/>
        <w:spacing w:after="40"/>
        <w:ind w:left="255" w:hanging="142"/>
      </w:pPr>
      <w:r>
        <w:rPr>
          <w:rFonts w:ascii="Aptos" w:hAnsi="Aptos" w:eastAsia="Aptos" w:cs="Aptos"/>
          <w:b w:val="0"/>
          <w:i w:val="0"/>
          <w:color w:val="22303C"/>
          <w:sz w:val="19"/>
        </w:rPr>
        <w:t>Эпиктет: четыре сохранившиеся книги Discourses, Encheiridion, фрагменты и Stobaean gnomologium в редакторской передаче Арриана и поздних excerptors.</w:t>
      </w:r>
    </w:p>
    <w:p>
      <w:pPr>
        <w:pStyle w:val="ListBullet"/>
        <w:spacing w:after="40"/>
        <w:ind w:left="255" w:hanging="142"/>
      </w:pPr>
      <w:r>
        <w:rPr>
          <w:rFonts w:ascii="Aptos" w:hAnsi="Aptos" w:eastAsia="Aptos" w:cs="Aptos"/>
          <w:b w:val="0"/>
          <w:i w:val="0"/>
          <w:color w:val="22303C"/>
          <w:sz w:val="19"/>
        </w:rPr>
        <w:t>Плутарх: философская часть Moralia — дельфийские диалоги, тимаевская экзегеза, платонические вопросы, этика и полемика со стоиками и эпикурейцами.</w:t>
      </w:r>
    </w:p>
    <w:p>
      <w:pPr>
        <w:pStyle w:val="ListBullet"/>
        <w:spacing w:after="40"/>
        <w:ind w:left="255" w:hanging="142"/>
      </w:pPr>
      <w:r>
        <w:rPr>
          <w:rFonts w:ascii="Aptos" w:hAnsi="Aptos" w:eastAsia="Aptos" w:cs="Aptos"/>
          <w:b w:val="0"/>
          <w:i w:val="0"/>
          <w:color w:val="22303C"/>
          <w:sz w:val="19"/>
        </w:rPr>
        <w:t>Марк Аврелий: Meditations / Τὰ εἰς ἑαυτόν как стоическая письменная автопрактика.</w:t>
      </w:r>
    </w:p>
    <w:p>
      <w:pPr>
        <w:pStyle w:val="Heading2"/>
      </w:pPr>
      <w:r>
        <w:t>2.2. Что добавлено живым веб-поиском</w:t>
      </w:r>
    </w:p>
    <w:p>
      <w:pPr>
        <w:jc w:val="both"/>
      </w:pPr>
      <w:r>
        <w:rPr>
          <w:rFonts w:ascii="Aptos" w:hAnsi="Aptos" w:eastAsia="Aptos" w:cs="Aptos"/>
          <w:b w:val="0"/>
          <w:i w:val="0"/>
          <w:color w:val="22303C"/>
          <w:sz w:val="19"/>
        </w:rPr>
        <w:t>DR задавал карту, но не item-level каталог. Веб-поиск развернул ее в конкретные способы доступа: авторские страницы PHI; отдельные CTS-страницы Scaife; canonical-latinLit и canonical-greekLit; десять DCLP-записей Филодема; открытые scan/segmentation datasets Vesuvius Challenge; три публичнодоменных лейденских рукописных свидетеля; ватиканские факсимиле; старые английские и русские переводы; современные издания OUP, Loeb, Brill, Yale, Bloomsbury и De Gruyter; библиотечные и коммерческие легальные пути.</w:t>
      </w:r>
    </w:p>
    <w:p>
      <w:pPr>
        <w:jc w:val="both"/>
      </w:pPr>
      <w:r>
        <w:rPr>
          <w:rFonts w:ascii="Aptos" w:hAnsi="Aptos" w:eastAsia="Aptos" w:cs="Aptos"/>
          <w:b w:val="0"/>
          <w:i w:val="0"/>
          <w:color w:val="22303C"/>
          <w:sz w:val="19"/>
        </w:rPr>
        <w:t>Особенно важное расширение — материальный слой. Для Цицерона зафиксированы VLF 84 и Vat. lat. 5757; для Лукреция — VLF 30 и VLQ 94; для Марка Аврелия — Vat. gr. 1950, part 2; для Филодема — PHerc-номера, DCLP-транскрипции и современные CT-данные. Это не «еще несколько ссылок», а разные типы свидетелей и разные правовые режимы.</w:t>
      </w:r>
    </w:p>
    <w:p>
      <w:pPr>
        <w:pStyle w:val="Heading2"/>
      </w:pPr>
      <w:r>
        <w:t>2.3. Открытый хронологический контур</w:t>
      </w:r>
    </w:p>
    <w:p>
      <w:pPr>
        <w:jc w:val="both"/>
      </w:pPr>
      <w:r>
        <w:rPr>
          <w:rFonts w:ascii="Aptos" w:hAnsi="Aptos" w:eastAsia="Aptos" w:cs="Aptos"/>
          <w:b/>
          <w:i w:val="0"/>
          <w:color w:val="17324D"/>
          <w:sz w:val="19"/>
        </w:rPr>
        <w:t xml:space="preserve">Поиск назад. </w:t>
      </w:r>
      <w:r>
        <w:rPr>
          <w:rFonts w:ascii="Aptos" w:hAnsi="Aptos" w:eastAsia="Aptos" w:cs="Aptos"/>
          <w:b w:val="0"/>
          <w:i w:val="0"/>
          <w:color w:val="22303C"/>
          <w:sz w:val="19"/>
        </w:rPr>
        <w:t>Включены Epicurus как прямой источник для Лукреция и Филодема, Plato Timaeus как основа Цицеронова перевода и Плутарховой экзегезы, а также Stoicorum Veterum Fragmenta как корпус раннестоических antecedents. Утраченный труд Панеция Περὶ τοῦ καθήκοντος вынесен в gaps: его связь с De officiis конкретна, но прямого полного текста не существует.</w:t>
      </w:r>
    </w:p>
    <w:p>
      <w:pPr>
        <w:jc w:val="both"/>
      </w:pPr>
      <w:r>
        <w:rPr>
          <w:rFonts w:ascii="Aptos" w:hAnsi="Aptos" w:eastAsia="Aptos" w:cs="Aptos"/>
          <w:b/>
          <w:i w:val="0"/>
          <w:color w:val="17324D"/>
          <w:sz w:val="19"/>
        </w:rPr>
        <w:t xml:space="preserve">Поиск вперед. </w:t>
      </w:r>
      <w:r>
        <w:rPr>
          <w:rFonts w:ascii="Aptos" w:hAnsi="Aptos" w:eastAsia="Aptos" w:cs="Aptos"/>
          <w:b w:val="0"/>
          <w:i w:val="0"/>
          <w:color w:val="22303C"/>
          <w:sz w:val="19"/>
        </w:rPr>
        <w:t>Включены Diogenes Laertius и Stobaeus как каналы сохранения, Simplicius как позднеантичный комментарий к Encheiridion, Macrobius как платонизирующий комментарий к Somnium Scipionis, Ambrose как христианская переработка De officiis, Augustine Contra Academicos как продолжение спора с академическим скептицизмом, псевдоэпиграфические письма Paul–Seneca и Justus Lipsius De constantia как раннемодерная неостоическая рецепция.</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3307"/>
        <w:gridCol w:w="3307"/>
        <w:gridCol w:w="3307"/>
      </w:tblGrid>
      <w:tr>
        <w:trPr>
          <w:cantSplit/>
          <w:tblHeader w:val="true"/>
        </w:trPr>
        <w:tc>
          <w:tcPr>
            <w:tcW w:type="dxa" w:w="2608"/>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Релевантность</w:t>
            </w:r>
          </w:p>
        </w:tc>
        <w:tc>
          <w:tcPr>
            <w:tcW w:type="dxa" w:w="1360"/>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Записей доступа</w:t>
            </w:r>
          </w:p>
        </w:tc>
        <w:tc>
          <w:tcPr>
            <w:tcW w:type="dxa" w:w="5273"/>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Роль</w:t>
            </w:r>
          </w:p>
        </w:tc>
      </w:tr>
      <w:tr>
        <w:trPr>
          <w:cantSplit/>
        </w:trPr>
        <w:tc>
          <w:tcPr>
            <w:tcW w:type="dxa" w:w="2608"/>
            <w:vAlign w:val="top"/>
            <w:tcMar>
              <w:top w:w="80" w:type="dxa"/>
              <w:start w:w="90" w:type="dxa"/>
              <w:bottom w:w="80" w:type="dxa"/>
              <w:end w:w="90" w:type="dxa"/>
            </w:tcMar>
          </w:tcPr>
          <w:p>
            <w:pPr>
              <w:spacing w:after="30" w:line="240" w:lineRule="auto"/>
            </w:pPr>
            <w:r>
              <w:rPr>
                <w:rFonts w:ascii="Aptos" w:hAnsi="Aptos" w:eastAsia="Aptos" w:cs="Aptos"/>
                <w:b w:val="0"/>
                <w:color w:val="22303C"/>
                <w:sz w:val="17"/>
              </w:rPr>
              <w:t>core</w:t>
            </w:r>
          </w:p>
        </w:tc>
        <w:tc>
          <w:tcPr>
            <w:tcW w:type="dxa" w:w="1360"/>
            <w:vAlign w:val="top"/>
            <w:tcMar>
              <w:top w:w="80" w:type="dxa"/>
              <w:start w:w="90" w:type="dxa"/>
              <w:bottom w:w="80" w:type="dxa"/>
              <w:end w:w="90" w:type="dxa"/>
            </w:tcMar>
          </w:tcPr>
          <w:p>
            <w:pPr>
              <w:spacing w:after="30" w:line="240" w:lineRule="auto"/>
            </w:pPr>
            <w:r>
              <w:rPr>
                <w:rFonts w:ascii="Aptos" w:hAnsi="Aptos" w:eastAsia="Aptos" w:cs="Aptos"/>
                <w:b w:val="0"/>
                <w:color w:val="22303C"/>
                <w:sz w:val="17"/>
              </w:rPr>
              <w:t>113</w:t>
            </w:r>
          </w:p>
        </w:tc>
        <w:tc>
          <w:tcPr>
            <w:tcW w:type="dxa" w:w="5273"/>
            <w:vAlign w:val="top"/>
            <w:tcMar>
              <w:top w:w="80" w:type="dxa"/>
              <w:start w:w="90" w:type="dxa"/>
              <w:bottom w:w="80" w:type="dxa"/>
              <w:end w:w="90" w:type="dxa"/>
            </w:tcMar>
          </w:tcPr>
          <w:p>
            <w:pPr>
              <w:spacing w:after="30" w:line="240" w:lineRule="auto"/>
            </w:pPr>
            <w:r>
              <w:rPr>
                <w:rFonts w:ascii="Aptos" w:hAnsi="Aptos" w:eastAsia="Aptos" w:cs="Aptos"/>
                <w:b w:val="0"/>
                <w:color w:val="22303C"/>
                <w:sz w:val="17"/>
              </w:rPr>
              <w:t>Центральные тексты, версии, переводы и свидетели.</w:t>
            </w:r>
          </w:p>
        </w:tc>
      </w:tr>
      <w:tr>
        <w:trPr>
          <w:cantSplit/>
        </w:trPr>
        <w:tc>
          <w:tcPr>
            <w:tcW w:type="dxa" w:w="260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7"/>
              </w:rPr>
              <w:t>antecedent</w:t>
            </w:r>
          </w:p>
        </w:tc>
        <w:tc>
          <w:tcPr>
            <w:tcW w:type="dxa" w:w="1360"/>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7"/>
              </w:rPr>
              <w:t>3</w:t>
            </w:r>
          </w:p>
        </w:tc>
        <w:tc>
          <w:tcPr>
            <w:tcW w:type="dxa" w:w="5273"/>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7"/>
              </w:rPr>
              <w:t>Прямые греческие и раннестоические источники.</w:t>
            </w:r>
          </w:p>
        </w:tc>
      </w:tr>
      <w:tr>
        <w:trPr>
          <w:cantSplit/>
        </w:trPr>
        <w:tc>
          <w:tcPr>
            <w:tcW w:type="dxa" w:w="2608"/>
            <w:vAlign w:val="top"/>
            <w:tcMar>
              <w:top w:w="80" w:type="dxa"/>
              <w:start w:w="90" w:type="dxa"/>
              <w:bottom w:w="80" w:type="dxa"/>
              <w:end w:w="90" w:type="dxa"/>
            </w:tcMar>
          </w:tcPr>
          <w:p>
            <w:pPr>
              <w:spacing w:after="30" w:line="240" w:lineRule="auto"/>
            </w:pPr>
            <w:r>
              <w:rPr>
                <w:rFonts w:ascii="Aptos" w:hAnsi="Aptos" w:eastAsia="Aptos" w:cs="Aptos"/>
                <w:b w:val="0"/>
                <w:color w:val="22303C"/>
                <w:sz w:val="17"/>
              </w:rPr>
              <w:t>continuation</w:t>
            </w:r>
          </w:p>
        </w:tc>
        <w:tc>
          <w:tcPr>
            <w:tcW w:type="dxa" w:w="1360"/>
            <w:vAlign w:val="top"/>
            <w:tcMar>
              <w:top w:w="80" w:type="dxa"/>
              <w:start w:w="90" w:type="dxa"/>
              <w:bottom w:w="80" w:type="dxa"/>
              <w:end w:w="90" w:type="dxa"/>
            </w:tcMar>
          </w:tcPr>
          <w:p>
            <w:pPr>
              <w:spacing w:after="30" w:line="240" w:lineRule="auto"/>
            </w:pPr>
            <w:r>
              <w:rPr>
                <w:rFonts w:ascii="Aptos" w:hAnsi="Aptos" w:eastAsia="Aptos" w:cs="Aptos"/>
                <w:b w:val="0"/>
                <w:color w:val="22303C"/>
                <w:sz w:val="17"/>
              </w:rPr>
              <w:t>3</w:t>
            </w:r>
          </w:p>
        </w:tc>
        <w:tc>
          <w:tcPr>
            <w:tcW w:type="dxa" w:w="5273"/>
            <w:vAlign w:val="top"/>
            <w:tcMar>
              <w:top w:w="80" w:type="dxa"/>
              <w:start w:w="90" w:type="dxa"/>
              <w:bottom w:w="80" w:type="dxa"/>
              <w:end w:w="90" w:type="dxa"/>
            </w:tcMar>
          </w:tcPr>
          <w:p>
            <w:pPr>
              <w:spacing w:after="30" w:line="240" w:lineRule="auto"/>
            </w:pPr>
            <w:r>
              <w:rPr>
                <w:rFonts w:ascii="Aptos" w:hAnsi="Aptos" w:eastAsia="Aptos" w:cs="Aptos"/>
                <w:b w:val="0"/>
                <w:color w:val="22303C"/>
                <w:sz w:val="17"/>
              </w:rPr>
              <w:t>Новые цифровые чтения и CT-слои Геркуланума.</w:t>
            </w:r>
          </w:p>
        </w:tc>
      </w:tr>
      <w:tr>
        <w:trPr>
          <w:cantSplit/>
        </w:trPr>
        <w:tc>
          <w:tcPr>
            <w:tcW w:type="dxa" w:w="260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7"/>
              </w:rPr>
              <w:t>commentary_or_reception</w:t>
            </w:r>
          </w:p>
        </w:tc>
        <w:tc>
          <w:tcPr>
            <w:tcW w:type="dxa" w:w="1360"/>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7"/>
              </w:rPr>
              <w:t>12</w:t>
            </w:r>
          </w:p>
        </w:tc>
        <w:tc>
          <w:tcPr>
            <w:tcW w:type="dxa" w:w="5273"/>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7"/>
              </w:rPr>
              <w:t>Поздние комментарии, переработки и рецепции.</w:t>
            </w:r>
          </w:p>
        </w:tc>
      </w:tr>
      <w:tr>
        <w:trPr>
          <w:cantSplit/>
        </w:trPr>
        <w:tc>
          <w:tcPr>
            <w:tcW w:type="dxa" w:w="2608"/>
            <w:vAlign w:val="top"/>
            <w:tcMar>
              <w:top w:w="80" w:type="dxa"/>
              <w:start w:w="90" w:type="dxa"/>
              <w:bottom w:w="80" w:type="dxa"/>
              <w:end w:w="90" w:type="dxa"/>
            </w:tcMar>
          </w:tcPr>
          <w:p>
            <w:pPr>
              <w:spacing w:after="30" w:line="240" w:lineRule="auto"/>
            </w:pPr>
            <w:r>
              <w:rPr>
                <w:rFonts w:ascii="Aptos" w:hAnsi="Aptos" w:eastAsia="Aptos" w:cs="Aptos"/>
                <w:b w:val="0"/>
                <w:color w:val="22303C"/>
                <w:sz w:val="17"/>
              </w:rPr>
              <w:t>transmission_or_preservation</w:t>
            </w:r>
          </w:p>
        </w:tc>
        <w:tc>
          <w:tcPr>
            <w:tcW w:type="dxa" w:w="1360"/>
            <w:vAlign w:val="top"/>
            <w:tcMar>
              <w:top w:w="80" w:type="dxa"/>
              <w:start w:w="90" w:type="dxa"/>
              <w:bottom w:w="80" w:type="dxa"/>
              <w:end w:w="90" w:type="dxa"/>
            </w:tcMar>
          </w:tcPr>
          <w:p>
            <w:pPr>
              <w:spacing w:after="30" w:line="240" w:lineRule="auto"/>
            </w:pPr>
            <w:r>
              <w:rPr>
                <w:rFonts w:ascii="Aptos" w:hAnsi="Aptos" w:eastAsia="Aptos" w:cs="Aptos"/>
                <w:b w:val="0"/>
                <w:color w:val="22303C"/>
                <w:sz w:val="17"/>
              </w:rPr>
              <w:t>10</w:t>
            </w:r>
          </w:p>
        </w:tc>
        <w:tc>
          <w:tcPr>
            <w:tcW w:type="dxa" w:w="5273"/>
            <w:vAlign w:val="top"/>
            <w:tcMar>
              <w:top w:w="80" w:type="dxa"/>
              <w:start w:w="90" w:type="dxa"/>
              <w:bottom w:w="80" w:type="dxa"/>
              <w:end w:w="90" w:type="dxa"/>
            </w:tcMar>
          </w:tcPr>
          <w:p>
            <w:pPr>
              <w:spacing w:after="30" w:line="240" w:lineRule="auto"/>
            </w:pPr>
            <w:r>
              <w:rPr>
                <w:rFonts w:ascii="Aptos" w:hAnsi="Aptos" w:eastAsia="Aptos" w:cs="Aptos"/>
                <w:b w:val="0"/>
                <w:color w:val="22303C"/>
                <w:sz w:val="17"/>
              </w:rPr>
              <w:t>Рукописи, excerptors и сохраняющие корпусы.</w:t>
            </w:r>
          </w:p>
        </w:tc>
      </w:tr>
      <w:tr>
        <w:trPr>
          <w:cantSplit/>
        </w:trPr>
        <w:tc>
          <w:tcPr>
            <w:tcW w:type="dxa" w:w="260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7"/>
              </w:rPr>
              <w:t>infrastructure</w:t>
            </w:r>
          </w:p>
        </w:tc>
        <w:tc>
          <w:tcPr>
            <w:tcW w:type="dxa" w:w="1360"/>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7"/>
              </w:rPr>
              <w:t>12</w:t>
            </w:r>
          </w:p>
        </w:tc>
        <w:tc>
          <w:tcPr>
            <w:tcW w:type="dxa" w:w="5273"/>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7"/>
              </w:rPr>
              <w:t>Корпусы, каталоги и сервисы доступа.</w:t>
            </w:r>
          </w:p>
        </w:tc>
      </w:tr>
      <w:tr>
        <w:trPr>
          <w:cantSplit/>
        </w:trPr>
        <w:tc>
          <w:tcPr>
            <w:tcW w:type="dxa" w:w="2608"/>
            <w:vAlign w:val="top"/>
            <w:tcMar>
              <w:top w:w="80" w:type="dxa"/>
              <w:start w:w="90" w:type="dxa"/>
              <w:bottom w:w="80" w:type="dxa"/>
              <w:end w:w="90" w:type="dxa"/>
            </w:tcMar>
          </w:tcPr>
          <w:p>
            <w:pPr>
              <w:spacing w:after="30" w:line="240" w:lineRule="auto"/>
            </w:pPr>
            <w:r>
              <w:rPr>
                <w:rFonts w:ascii="Aptos" w:hAnsi="Aptos" w:eastAsia="Aptos" w:cs="Aptos"/>
                <w:b w:val="0"/>
                <w:color w:val="22303C"/>
                <w:sz w:val="17"/>
              </w:rPr>
              <w:t>secondary_navigation</w:t>
            </w:r>
          </w:p>
        </w:tc>
        <w:tc>
          <w:tcPr>
            <w:tcW w:type="dxa" w:w="1360"/>
            <w:vAlign w:val="top"/>
            <w:tcMar>
              <w:top w:w="80" w:type="dxa"/>
              <w:start w:w="90" w:type="dxa"/>
              <w:bottom w:w="80" w:type="dxa"/>
              <w:end w:w="90" w:type="dxa"/>
            </w:tcMar>
          </w:tcPr>
          <w:p>
            <w:pPr>
              <w:spacing w:after="30" w:line="240" w:lineRule="auto"/>
            </w:pPr>
            <w:r>
              <w:rPr>
                <w:rFonts w:ascii="Aptos" w:hAnsi="Aptos" w:eastAsia="Aptos" w:cs="Aptos"/>
                <w:b w:val="0"/>
                <w:color w:val="22303C"/>
                <w:sz w:val="17"/>
              </w:rPr>
              <w:t>1</w:t>
            </w:r>
          </w:p>
        </w:tc>
        <w:tc>
          <w:tcPr>
            <w:tcW w:type="dxa" w:w="5273"/>
            <w:vAlign w:val="top"/>
            <w:tcMar>
              <w:top w:w="80" w:type="dxa"/>
              <w:start w:w="90" w:type="dxa"/>
              <w:bottom w:w="80" w:type="dxa"/>
              <w:end w:w="90" w:type="dxa"/>
            </w:tcMar>
          </w:tcPr>
          <w:p>
            <w:pPr>
              <w:spacing w:after="30" w:line="240" w:lineRule="auto"/>
            </w:pPr>
            <w:r>
              <w:rPr>
                <w:rFonts w:ascii="Aptos" w:hAnsi="Aptos" w:eastAsia="Aptos" w:cs="Aptos"/>
                <w:b w:val="0"/>
                <w:color w:val="22303C"/>
                <w:sz w:val="17"/>
              </w:rPr>
              <w:t>Библиографическая навигация, не заменяющая первичный текст.</w:t>
            </w:r>
          </w:p>
        </w:tc>
      </w:tr>
    </w:tbl>
    <w:p>
      <w:pPr>
        <w:jc w:val="both"/>
      </w:pPr>
      <w:r>
        <w:rPr>
          <w:rFonts w:ascii="Aptos" w:hAnsi="Aptos" w:eastAsia="Aptos" w:cs="Aptos"/>
          <w:b/>
          <w:i w:val="0"/>
          <w:color w:val="17324D"/>
          <w:sz w:val="19"/>
        </w:rPr>
        <w:t xml:space="preserve">Количественный итог. </w:t>
      </w:r>
      <w:r>
        <w:rPr>
          <w:rFonts w:ascii="Aptos" w:hAnsi="Aptos" w:eastAsia="Aptos" w:cs="Aptos"/>
          <w:b w:val="0"/>
          <w:i w:val="0"/>
          <w:color w:val="22303C"/>
          <w:sz w:val="19"/>
        </w:rPr>
        <w:t>В XLSX находится ровно 154 практически различимых пути доступа. Они покрывают около шестидесяти самостоятельных произведений, корпусных единиц и крупных линий передачи; точное число сознательно не раздуто за счет разных форматов одного файла или нескольких ссылок на одно и то же произведение. За пределами формального ядра находится 28 записей доступа, каждая с конкретной функцией antecedent, continuation, commentary/reception или transmission/preservation.</w:t>
      </w:r>
    </w:p>
    <w:p>
      <w:pPr>
        <w:pStyle w:val="Heading1"/>
      </w:pPr>
      <w:r>
        <w:t>3. Лучшие пути доступа</w:t>
      </w:r>
    </w:p>
    <w:p>
      <w:pPr>
        <w:pStyle w:val="Heading2"/>
      </w:pPr>
      <w:r>
        <w:t>3.1. Цицерон</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61"/>
        <w:gridCol w:w="4961"/>
      </w:tblGrid>
      <w:tr>
        <w:trPr>
          <w:cantSplit/>
          <w:tblHeader w:val="true"/>
        </w:trPr>
        <w:tc>
          <w:tcPr>
            <w:tcW w:type="dxa" w:w="2381"/>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Задача</w:t>
            </w:r>
          </w:p>
        </w:tc>
        <w:tc>
          <w:tcPr>
            <w:tcW w:type="dxa" w:w="6860"/>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Лучший найденный путь</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Бесплатное чтение оригинала</w:t>
            </w:r>
          </w:p>
        </w:tc>
        <w:tc>
          <w:tcPr>
            <w:tcW w:type="dxa" w:w="6860"/>
            <w:vAlign w:val="top"/>
            <w:tcMar>
              <w:top w:w="80" w:type="dxa"/>
              <w:start w:w="90" w:type="dxa"/>
              <w:bottom w:w="80" w:type="dxa"/>
              <w:end w:w="90" w:type="dxa"/>
            </w:tcMar>
          </w:tcPr>
          <w:p>
            <w:pPr>
              <w:spacing w:after="30" w:line="240" w:lineRule="auto"/>
            </w:pPr>
            <w:hyperlink r:id="rId11">
              <w:r>
                <w:rPr>
                  <w:rFonts w:ascii="Aptos" w:hAnsi="Aptos" w:eastAsia="Aptos" w:cs="Aptos"/>
                  <w:color w:val="145DA0"/>
                  <w:u w:val="single"/>
                  <w:sz w:val="18"/>
                </w:rPr>
                <w:t>PHI Latin — A29-R014</w:t>
              </w:r>
            </w:hyperlink>
            <w:r>
              <w:rPr>
                <w:rFonts w:ascii="Aptos" w:hAnsi="Aptos" w:eastAsia="Aptos" w:cs="Aptos"/>
                <w:b w:val="0"/>
                <w:i w:val="0"/>
                <w:color w:val="22303C"/>
                <w:sz w:val="17"/>
              </w:rPr>
              <w:t xml:space="preserve"> — быстрый полнотекстовый поиск по латинскому корпусу</w:t>
            </w:r>
            <w:r>
              <w:rPr>
                <w:rFonts w:ascii="Aptos" w:hAnsi="Aptos" w:eastAsia="Aptos" w:cs="Aptos"/>
                <w:b w:val="0"/>
                <w:i w:val="0"/>
                <w:color w:val="22303C"/>
                <w:sz w:val="17"/>
              </w:rPr>
              <w:t xml:space="preserve">; </w:t>
            </w:r>
            <w:hyperlink r:id="rId12">
              <w:r>
                <w:rPr>
                  <w:rFonts w:ascii="Aptos" w:hAnsi="Aptos" w:eastAsia="Aptos" w:cs="Aptos"/>
                  <w:color w:val="145DA0"/>
                  <w:u w:val="single"/>
                  <w:sz w:val="18"/>
                </w:rPr>
                <w:t>Scaife — A29-R015</w:t>
              </w:r>
            </w:hyperlink>
            <w:r>
              <w:rPr>
                <w:rFonts w:ascii="Aptos" w:hAnsi="Aptos" w:eastAsia="Aptos" w:cs="Aptos"/>
                <w:b w:val="0"/>
                <w:i w:val="0"/>
                <w:color w:val="22303C"/>
                <w:sz w:val="17"/>
              </w:rPr>
              <w:t xml:space="preserve"> — CTS-навигация по отдельным сочинениям</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Скачивание / machine-readable</w:t>
            </w:r>
          </w:p>
        </w:tc>
        <w:tc>
          <w:tcPr>
            <w:tcW w:type="dxa" w:w="6860"/>
            <w:vAlign w:val="top"/>
            <w:tcMar>
              <w:top w:w="80" w:type="dxa"/>
              <w:start w:w="90" w:type="dxa"/>
              <w:bottom w:w="80" w:type="dxa"/>
              <w:end w:w="90" w:type="dxa"/>
            </w:tcMar>
            <w:shd w:fill="F4F6F8"/>
          </w:tcPr>
          <w:p>
            <w:pPr>
              <w:spacing w:after="30" w:line="240" w:lineRule="auto"/>
            </w:pPr>
            <w:hyperlink r:id="rId13">
              <w:r>
                <w:rPr>
                  <w:rFonts w:ascii="Aptos" w:hAnsi="Aptos" w:eastAsia="Aptos" w:cs="Aptos"/>
                  <w:color w:val="145DA0"/>
                  <w:u w:val="single"/>
                  <w:sz w:val="18"/>
                </w:rPr>
                <w:t>canonical-latinLit — A29-R028</w:t>
              </w:r>
            </w:hyperlink>
            <w:r>
              <w:rPr>
                <w:rFonts w:ascii="Aptos" w:hAnsi="Aptos" w:eastAsia="Aptos" w:cs="Aptos"/>
                <w:b w:val="0"/>
                <w:i w:val="0"/>
                <w:color w:val="22303C"/>
                <w:sz w:val="17"/>
              </w:rPr>
              <w:t xml:space="preserve"> — TEI/XML; file-level rights audit обязателен</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Лучшее факсимиле</w:t>
            </w:r>
          </w:p>
        </w:tc>
        <w:tc>
          <w:tcPr>
            <w:tcW w:type="dxa" w:w="6860"/>
            <w:vAlign w:val="top"/>
            <w:tcMar>
              <w:top w:w="80" w:type="dxa"/>
              <w:start w:w="90" w:type="dxa"/>
              <w:bottom w:w="80" w:type="dxa"/>
              <w:end w:w="90" w:type="dxa"/>
            </w:tcMar>
          </w:tcPr>
          <w:p>
            <w:pPr>
              <w:spacing w:after="30" w:line="240" w:lineRule="auto"/>
            </w:pPr>
            <w:hyperlink r:id="rId14">
              <w:r>
                <w:rPr>
                  <w:rFonts w:ascii="Aptos" w:hAnsi="Aptos" w:eastAsia="Aptos" w:cs="Aptos"/>
                  <w:color w:val="145DA0"/>
                  <w:u w:val="single"/>
                  <w:sz w:val="18"/>
                </w:rPr>
                <w:t>Leiden VLF 84 — A29-R036</w:t>
              </w:r>
            </w:hyperlink>
            <w:r>
              <w:rPr>
                <w:rFonts w:ascii="Aptos" w:hAnsi="Aptos" w:eastAsia="Aptos" w:cs="Aptos"/>
                <w:b w:val="0"/>
                <w:i w:val="0"/>
                <w:color w:val="22303C"/>
                <w:sz w:val="17"/>
              </w:rPr>
              <w:t xml:space="preserve"> — public-domain рукопись с несколькими философскими сочинениями</w:t>
            </w:r>
            <w:r>
              <w:rPr>
                <w:rFonts w:ascii="Aptos" w:hAnsi="Aptos" w:eastAsia="Aptos" w:cs="Aptos"/>
                <w:b w:val="0"/>
                <w:i w:val="0"/>
                <w:color w:val="22303C"/>
                <w:sz w:val="17"/>
              </w:rPr>
              <w:t xml:space="preserve">; </w:t>
            </w:r>
            <w:hyperlink r:id="rId15">
              <w:r>
                <w:rPr>
                  <w:rFonts w:ascii="Aptos" w:hAnsi="Aptos" w:eastAsia="Aptos" w:cs="Aptos"/>
                  <w:color w:val="145DA0"/>
                  <w:u w:val="single"/>
                  <w:sz w:val="18"/>
                </w:rPr>
                <w:t>Vat. lat. 5757 — A29-R035</w:t>
              </w:r>
            </w:hyperlink>
            <w:r>
              <w:rPr>
                <w:rFonts w:ascii="Aptos" w:hAnsi="Aptos" w:eastAsia="Aptos" w:cs="Aptos"/>
                <w:b w:val="0"/>
                <w:i w:val="0"/>
                <w:color w:val="22303C"/>
                <w:sz w:val="17"/>
              </w:rPr>
              <w:t xml:space="preserve"> — палимпсест De re publica; публикация изображений по разрешению</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Старый английский перевод</w:t>
            </w:r>
          </w:p>
        </w:tc>
        <w:tc>
          <w:tcPr>
            <w:tcW w:type="dxa" w:w="6860"/>
            <w:vAlign w:val="top"/>
            <w:tcMar>
              <w:top w:w="80" w:type="dxa"/>
              <w:start w:w="90" w:type="dxa"/>
              <w:bottom w:w="80" w:type="dxa"/>
              <w:end w:w="90" w:type="dxa"/>
            </w:tcMar>
            <w:shd w:fill="F4F6F8"/>
          </w:tcPr>
          <w:p>
            <w:pPr>
              <w:spacing w:after="30" w:line="240" w:lineRule="auto"/>
            </w:pPr>
            <w:hyperlink r:id="rId16">
              <w:r>
                <w:rPr>
                  <w:rFonts w:ascii="Aptos" w:hAnsi="Aptos" w:eastAsia="Aptos" w:cs="Aptos"/>
                  <w:color w:val="145DA0"/>
                  <w:u w:val="single"/>
                  <w:sz w:val="18"/>
                </w:rPr>
                <w:t>Project Gutenberg 29247 — A29-R029</w:t>
              </w:r>
            </w:hyperlink>
            <w:r>
              <w:rPr>
                <w:rFonts w:ascii="Aptos" w:hAnsi="Aptos" w:eastAsia="Aptos" w:cs="Aptos"/>
                <w:b w:val="0"/>
                <w:i w:val="0"/>
                <w:color w:val="22303C"/>
                <w:sz w:val="17"/>
              </w:rPr>
              <w:t xml:space="preserve"> — Academica, De finibus, Tusculans</w:t>
            </w:r>
            <w:r>
              <w:rPr>
                <w:rFonts w:ascii="Aptos" w:hAnsi="Aptos" w:eastAsia="Aptos" w:cs="Aptos"/>
                <w:b w:val="0"/>
                <w:i w:val="0"/>
                <w:color w:val="22303C"/>
                <w:sz w:val="17"/>
              </w:rPr>
              <w:t xml:space="preserve">; </w:t>
            </w:r>
            <w:hyperlink r:id="rId17">
              <w:r>
                <w:rPr>
                  <w:rFonts w:ascii="Aptos" w:hAnsi="Aptos" w:eastAsia="Aptos" w:cs="Aptos"/>
                  <w:color w:val="145DA0"/>
                  <w:u w:val="single"/>
                  <w:sz w:val="18"/>
                </w:rPr>
                <w:t>Standard Ebooks — A29-R030</w:t>
              </w:r>
            </w:hyperlink>
            <w:r>
              <w:rPr>
                <w:rFonts w:ascii="Aptos" w:hAnsi="Aptos" w:eastAsia="Aptos" w:cs="Aptos"/>
                <w:b w:val="0"/>
                <w:i w:val="0"/>
                <w:color w:val="22303C"/>
                <w:sz w:val="17"/>
              </w:rPr>
              <w:t xml:space="preserve"> — наиболее удобный EPUB/HTML Tusculans</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Современный научный вариант</w:t>
            </w:r>
          </w:p>
        </w:tc>
        <w:tc>
          <w:tcPr>
            <w:tcW w:type="dxa" w:w="6860"/>
            <w:vAlign w:val="top"/>
            <w:tcMar>
              <w:top w:w="80" w:type="dxa"/>
              <w:start w:w="90" w:type="dxa"/>
              <w:bottom w:w="80" w:type="dxa"/>
              <w:end w:w="90" w:type="dxa"/>
            </w:tcMar>
          </w:tcPr>
          <w:p>
            <w:pPr>
              <w:spacing w:after="30" w:line="240" w:lineRule="auto"/>
            </w:pPr>
            <w:hyperlink r:id="rId18">
              <w:r>
                <w:rPr>
                  <w:rFonts w:ascii="Aptos" w:hAnsi="Aptos" w:eastAsia="Aptos" w:cs="Aptos"/>
                  <w:color w:val="145DA0"/>
                  <w:u w:val="single"/>
                  <w:sz w:val="18"/>
                </w:rPr>
                <w:t>OUP OCT De finibus — A29-R037</w:t>
              </w:r>
            </w:hyperlink>
            <w:r>
              <w:rPr>
                <w:rFonts w:ascii="Aptos" w:hAnsi="Aptos" w:eastAsia="Aptos" w:cs="Aptos"/>
                <w:b w:val="0"/>
                <w:i w:val="0"/>
                <w:color w:val="22303C"/>
                <w:sz w:val="17"/>
              </w:rPr>
              <w:t xml:space="preserve"> — критический латинский текст</w:t>
            </w:r>
            <w:r>
              <w:rPr>
                <w:rFonts w:ascii="Aptos" w:hAnsi="Aptos" w:eastAsia="Aptos" w:cs="Aptos"/>
                <w:b w:val="0"/>
                <w:i w:val="0"/>
                <w:color w:val="22303C"/>
                <w:sz w:val="17"/>
              </w:rPr>
              <w:t xml:space="preserve">; </w:t>
            </w:r>
            <w:hyperlink r:id="rId19">
              <w:r>
                <w:rPr>
                  <w:rFonts w:ascii="Aptos" w:hAnsi="Aptos" w:eastAsia="Aptos" w:cs="Aptos"/>
                  <w:color w:val="145DA0"/>
                  <w:u w:val="single"/>
                  <w:sz w:val="18"/>
                </w:rPr>
                <w:t>Loeb 141 — A29-R031</w:t>
              </w:r>
            </w:hyperlink>
            <w:r>
              <w:rPr>
                <w:rFonts w:ascii="Aptos" w:hAnsi="Aptos" w:eastAsia="Aptos" w:cs="Aptos"/>
                <w:b w:val="0"/>
                <w:i w:val="0"/>
                <w:color w:val="22303C"/>
                <w:sz w:val="17"/>
              </w:rPr>
              <w:t xml:space="preserve"> — защищенное двуязычное издание Tusculans</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Русский путь</w:t>
            </w:r>
          </w:p>
        </w:tc>
        <w:tc>
          <w:tcPr>
            <w:tcW w:type="dxa" w:w="6860"/>
            <w:vAlign w:val="top"/>
            <w:tcMar>
              <w:top w:w="80" w:type="dxa"/>
              <w:start w:w="90" w:type="dxa"/>
              <w:bottom w:w="80" w:type="dxa"/>
              <w:end w:w="90" w:type="dxa"/>
            </w:tcMar>
            <w:shd w:fill="F4F6F8"/>
          </w:tcPr>
          <w:p>
            <w:pPr>
              <w:spacing w:after="30" w:line="240" w:lineRule="auto"/>
            </w:pPr>
            <w:hyperlink r:id="rId20">
              <w:r>
                <w:rPr>
                  <w:rFonts w:ascii="Aptos" w:hAnsi="Aptos" w:eastAsia="Aptos" w:cs="Aptos"/>
                  <w:color w:val="145DA0"/>
                  <w:u w:val="single"/>
                  <w:sz w:val="18"/>
                </w:rPr>
                <w:t>НЭБ, De officiis 1761 — A29-R033</w:t>
              </w:r>
            </w:hyperlink>
            <w:r>
              <w:rPr>
                <w:rFonts w:ascii="Aptos" w:hAnsi="Aptos" w:eastAsia="Aptos" w:cs="Aptos"/>
                <w:b w:val="0"/>
                <w:i w:val="0"/>
                <w:color w:val="22303C"/>
                <w:sz w:val="17"/>
              </w:rPr>
              <w:t xml:space="preserve"> — полное чтение старого перевода; зеркалирование скана не доказано</w:t>
            </w:r>
          </w:p>
        </w:tc>
      </w:tr>
    </w:tbl>
    <w:p>
      <w:pPr>
        <w:spacing w:after="40"/>
      </w:pPr>
    </w:p>
    <w:p>
      <w:pPr>
        <w:pStyle w:val="Heading2"/>
      </w:pPr>
      <w:r>
        <w:t>3.2. Лукреций</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61"/>
        <w:gridCol w:w="4961"/>
      </w:tblGrid>
      <w:tr>
        <w:trPr>
          <w:cantSplit/>
          <w:tblHeader w:val="true"/>
        </w:trPr>
        <w:tc>
          <w:tcPr>
            <w:tcW w:type="dxa" w:w="2381"/>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Задача</w:t>
            </w:r>
          </w:p>
        </w:tc>
        <w:tc>
          <w:tcPr>
            <w:tcW w:type="dxa" w:w="6860"/>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Лучший найденный путь</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Бесплатное чтение оригинала</w:t>
            </w:r>
          </w:p>
        </w:tc>
        <w:tc>
          <w:tcPr>
            <w:tcW w:type="dxa" w:w="6860"/>
            <w:vAlign w:val="top"/>
            <w:tcMar>
              <w:top w:w="80" w:type="dxa"/>
              <w:start w:w="90" w:type="dxa"/>
              <w:bottom w:w="80" w:type="dxa"/>
              <w:end w:w="90" w:type="dxa"/>
            </w:tcMar>
          </w:tcPr>
          <w:p>
            <w:pPr>
              <w:spacing w:after="30" w:line="240" w:lineRule="auto"/>
            </w:pPr>
            <w:hyperlink r:id="rId21">
              <w:r>
                <w:rPr>
                  <w:rFonts w:ascii="Aptos" w:hAnsi="Aptos" w:eastAsia="Aptos" w:cs="Aptos"/>
                  <w:color w:val="145DA0"/>
                  <w:u w:val="single"/>
                  <w:sz w:val="18"/>
                </w:rPr>
                <w:t>PHI Latin — A29-R039</w:t>
              </w:r>
            </w:hyperlink>
            <w:r>
              <w:rPr>
                <w:rFonts w:ascii="Aptos" w:hAnsi="Aptos" w:eastAsia="Aptos" w:cs="Aptos"/>
                <w:b w:val="0"/>
                <w:i w:val="0"/>
                <w:color w:val="22303C"/>
                <w:sz w:val="17"/>
              </w:rPr>
              <w:t xml:space="preserve"> — поиск по всем шести книгам</w:t>
            </w:r>
            <w:r>
              <w:rPr>
                <w:rFonts w:ascii="Aptos" w:hAnsi="Aptos" w:eastAsia="Aptos" w:cs="Aptos"/>
                <w:b w:val="0"/>
                <w:i w:val="0"/>
                <w:color w:val="22303C"/>
                <w:sz w:val="17"/>
              </w:rPr>
              <w:t xml:space="preserve">; </w:t>
            </w:r>
            <w:hyperlink r:id="rId22">
              <w:r>
                <w:rPr>
                  <w:rFonts w:ascii="Aptos" w:hAnsi="Aptos" w:eastAsia="Aptos" w:cs="Aptos"/>
                  <w:color w:val="145DA0"/>
                  <w:u w:val="single"/>
                  <w:sz w:val="18"/>
                </w:rPr>
                <w:t>Scaife — A29-R040</w:t>
              </w:r>
            </w:hyperlink>
            <w:r>
              <w:rPr>
                <w:rFonts w:ascii="Aptos" w:hAnsi="Aptos" w:eastAsia="Aptos" w:cs="Aptos"/>
                <w:b w:val="0"/>
                <w:i w:val="0"/>
                <w:color w:val="22303C"/>
                <w:sz w:val="17"/>
              </w:rPr>
              <w:t xml:space="preserve"> — открытый латинский читатель</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Скачивание / machine-readable</w:t>
            </w:r>
          </w:p>
        </w:tc>
        <w:tc>
          <w:tcPr>
            <w:tcW w:type="dxa" w:w="6860"/>
            <w:vAlign w:val="top"/>
            <w:tcMar>
              <w:top w:w="80" w:type="dxa"/>
              <w:start w:w="90" w:type="dxa"/>
              <w:bottom w:w="80" w:type="dxa"/>
              <w:end w:w="90" w:type="dxa"/>
            </w:tcMar>
            <w:shd w:fill="F4F6F8"/>
          </w:tcPr>
          <w:p>
            <w:pPr>
              <w:spacing w:after="30" w:line="240" w:lineRule="auto"/>
            </w:pPr>
            <w:hyperlink r:id="rId23">
              <w:r>
                <w:rPr>
                  <w:rFonts w:ascii="Aptos" w:hAnsi="Aptos" w:eastAsia="Aptos" w:cs="Aptos"/>
                  <w:color w:val="145DA0"/>
                  <w:u w:val="single"/>
                  <w:sz w:val="18"/>
                </w:rPr>
                <w:t>canonical-latinLit — A29-R041</w:t>
              </w:r>
            </w:hyperlink>
            <w:r>
              <w:rPr>
                <w:rFonts w:ascii="Aptos" w:hAnsi="Aptos" w:eastAsia="Aptos" w:cs="Aptos"/>
                <w:b w:val="0"/>
                <w:i w:val="0"/>
                <w:color w:val="22303C"/>
                <w:sz w:val="17"/>
              </w:rPr>
              <w:t xml:space="preserve"> — TEI/XML</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Лучшие рукописи</w:t>
            </w:r>
          </w:p>
        </w:tc>
        <w:tc>
          <w:tcPr>
            <w:tcW w:type="dxa" w:w="6860"/>
            <w:vAlign w:val="top"/>
            <w:tcMar>
              <w:top w:w="80" w:type="dxa"/>
              <w:start w:w="90" w:type="dxa"/>
              <w:bottom w:w="80" w:type="dxa"/>
              <w:end w:w="90" w:type="dxa"/>
            </w:tcMar>
          </w:tcPr>
          <w:p>
            <w:pPr>
              <w:spacing w:after="30" w:line="240" w:lineRule="auto"/>
            </w:pPr>
            <w:hyperlink r:id="rId24">
              <w:r>
                <w:rPr>
                  <w:rFonts w:ascii="Aptos" w:hAnsi="Aptos" w:eastAsia="Aptos" w:cs="Aptos"/>
                  <w:color w:val="145DA0"/>
                  <w:u w:val="single"/>
                  <w:sz w:val="18"/>
                </w:rPr>
                <w:t>Leiden VLF 30 — A29-R044</w:t>
              </w:r>
            </w:hyperlink>
            <w:r>
              <w:rPr>
                <w:rFonts w:ascii="Aptos" w:hAnsi="Aptos" w:eastAsia="Aptos" w:cs="Aptos"/>
                <w:b w:val="0"/>
                <w:i w:val="0"/>
                <w:color w:val="22303C"/>
                <w:sz w:val="17"/>
              </w:rPr>
              <w:t xml:space="preserve"> — Oblongus, principal witness</w:t>
            </w:r>
            <w:r>
              <w:rPr>
                <w:rFonts w:ascii="Aptos" w:hAnsi="Aptos" w:eastAsia="Aptos" w:cs="Aptos"/>
                <w:b w:val="0"/>
                <w:i w:val="0"/>
                <w:color w:val="22303C"/>
                <w:sz w:val="17"/>
              </w:rPr>
              <w:t xml:space="preserve">; </w:t>
            </w:r>
            <w:hyperlink r:id="rId25">
              <w:r>
                <w:rPr>
                  <w:rFonts w:ascii="Aptos" w:hAnsi="Aptos" w:eastAsia="Aptos" w:cs="Aptos"/>
                  <w:color w:val="145DA0"/>
                  <w:u w:val="single"/>
                  <w:sz w:val="18"/>
                </w:rPr>
                <w:t>Leiden VLQ 94 — A29-R045</w:t>
              </w:r>
            </w:hyperlink>
            <w:r>
              <w:rPr>
                <w:rFonts w:ascii="Aptos" w:hAnsi="Aptos" w:eastAsia="Aptos" w:cs="Aptos"/>
                <w:b w:val="0"/>
                <w:i w:val="0"/>
                <w:color w:val="22303C"/>
                <w:sz w:val="17"/>
              </w:rPr>
              <w:t xml:space="preserve"> — Quadratus, principal witness</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Старый английский перевод</w:t>
            </w:r>
          </w:p>
        </w:tc>
        <w:tc>
          <w:tcPr>
            <w:tcW w:type="dxa" w:w="6860"/>
            <w:vAlign w:val="top"/>
            <w:tcMar>
              <w:top w:w="80" w:type="dxa"/>
              <w:start w:w="90" w:type="dxa"/>
              <w:bottom w:w="80" w:type="dxa"/>
              <w:end w:w="90" w:type="dxa"/>
            </w:tcMar>
            <w:shd w:fill="F4F6F8"/>
          </w:tcPr>
          <w:p>
            <w:pPr>
              <w:spacing w:after="30" w:line="240" w:lineRule="auto"/>
            </w:pPr>
            <w:hyperlink r:id="rId26">
              <w:r>
                <w:rPr>
                  <w:rFonts w:ascii="Aptos" w:hAnsi="Aptos" w:eastAsia="Aptos" w:cs="Aptos"/>
                  <w:color w:val="145DA0"/>
                  <w:u w:val="single"/>
                  <w:sz w:val="18"/>
                </w:rPr>
                <w:t>Standard Ebooks Munro — A29-R042</w:t>
              </w:r>
            </w:hyperlink>
            <w:r>
              <w:rPr>
                <w:rFonts w:ascii="Aptos" w:hAnsi="Aptos" w:eastAsia="Aptos" w:cs="Aptos"/>
                <w:b w:val="0"/>
                <w:i w:val="0"/>
                <w:color w:val="22303C"/>
                <w:sz w:val="17"/>
              </w:rPr>
              <w:t xml:space="preserve"> — лучший свободный EPUB/HTML пакет</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Современный научный вариант</w:t>
            </w:r>
          </w:p>
        </w:tc>
        <w:tc>
          <w:tcPr>
            <w:tcW w:type="dxa" w:w="6860"/>
            <w:vAlign w:val="top"/>
            <w:tcMar>
              <w:top w:w="80" w:type="dxa"/>
              <w:start w:w="90" w:type="dxa"/>
              <w:bottom w:w="80" w:type="dxa"/>
              <w:end w:w="90" w:type="dxa"/>
            </w:tcMar>
          </w:tcPr>
          <w:p>
            <w:pPr>
              <w:spacing w:after="30" w:line="240" w:lineRule="auto"/>
            </w:pPr>
            <w:hyperlink r:id="rId27">
              <w:r>
                <w:rPr>
                  <w:rFonts w:ascii="Aptos" w:hAnsi="Aptos" w:eastAsia="Aptos" w:cs="Aptos"/>
                  <w:color w:val="145DA0"/>
                  <w:u w:val="single"/>
                  <w:sz w:val="18"/>
                </w:rPr>
                <w:t>Loeb 181 — A29-R043</w:t>
              </w:r>
            </w:hyperlink>
            <w:r>
              <w:rPr>
                <w:rFonts w:ascii="Aptos" w:hAnsi="Aptos" w:eastAsia="Aptos" w:cs="Aptos"/>
                <w:b w:val="0"/>
                <w:i w:val="0"/>
                <w:color w:val="22303C"/>
                <w:sz w:val="17"/>
              </w:rPr>
              <w:t xml:space="preserve"> — двуязычное издание</w:t>
            </w:r>
            <w:r>
              <w:rPr>
                <w:rFonts w:ascii="Aptos" w:hAnsi="Aptos" w:eastAsia="Aptos" w:cs="Aptos"/>
                <w:b w:val="0"/>
                <w:i w:val="0"/>
                <w:color w:val="22303C"/>
                <w:sz w:val="17"/>
              </w:rPr>
              <w:t xml:space="preserve">; </w:t>
            </w:r>
            <w:hyperlink r:id="rId28">
              <w:r>
                <w:rPr>
                  <w:rFonts w:ascii="Aptos" w:hAnsi="Aptos" w:eastAsia="Aptos" w:cs="Aptos"/>
                  <w:color w:val="145DA0"/>
                  <w:u w:val="single"/>
                  <w:sz w:val="18"/>
                </w:rPr>
                <w:t>Teubner — A29-R046</w:t>
              </w:r>
            </w:hyperlink>
            <w:r>
              <w:rPr>
                <w:rFonts w:ascii="Aptos" w:hAnsi="Aptos" w:eastAsia="Aptos" w:cs="Aptos"/>
                <w:b w:val="0"/>
                <w:i w:val="0"/>
                <w:color w:val="22303C"/>
                <w:sz w:val="17"/>
              </w:rPr>
              <w:t xml:space="preserve"> — критическая латинская серия</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Русский путь</w:t>
            </w:r>
          </w:p>
        </w:tc>
        <w:tc>
          <w:tcPr>
            <w:tcW w:type="dxa" w:w="6860"/>
            <w:vAlign w:val="top"/>
            <w:tcMar>
              <w:top w:w="80" w:type="dxa"/>
              <w:start w:w="90" w:type="dxa"/>
              <w:bottom w:w="80" w:type="dxa"/>
              <w:end w:w="90" w:type="dxa"/>
            </w:tcMar>
            <w:shd w:fill="F4F6F8"/>
          </w:tcPr>
          <w:p>
            <w:pPr>
              <w:spacing w:after="30" w:line="240" w:lineRule="auto"/>
            </w:pPr>
            <w:hyperlink r:id="rId29">
              <w:r>
                <w:rPr>
                  <w:rFonts w:ascii="Aptos" w:hAnsi="Aptos" w:eastAsia="Aptos" w:cs="Aptos"/>
                  <w:color w:val="145DA0"/>
                  <w:u w:val="single"/>
                  <w:sz w:val="18"/>
                </w:rPr>
                <w:t>ЛитРес — A29-R047</w:t>
              </w:r>
            </w:hyperlink>
            <w:r>
              <w:rPr>
                <w:rFonts w:ascii="Aptos" w:hAnsi="Aptos" w:eastAsia="Aptos" w:cs="Aptos"/>
                <w:b w:val="0"/>
                <w:i w:val="0"/>
                <w:color w:val="22303C"/>
                <w:sz w:val="17"/>
              </w:rPr>
              <w:t xml:space="preserve"> — лицензионная покупка</w:t>
            </w:r>
            <w:r>
              <w:rPr>
                <w:rFonts w:ascii="Aptos" w:hAnsi="Aptos" w:eastAsia="Aptos" w:cs="Aptos"/>
                <w:b w:val="0"/>
                <w:i w:val="0"/>
                <w:color w:val="22303C"/>
                <w:sz w:val="17"/>
              </w:rPr>
              <w:t xml:space="preserve">; </w:t>
            </w:r>
            <w:hyperlink r:id="rId30">
              <w:r>
                <w:rPr>
                  <w:rFonts w:ascii="Aptos" w:hAnsi="Aptos" w:eastAsia="Aptos" w:cs="Aptos"/>
                  <w:color w:val="145DA0"/>
                  <w:u w:val="single"/>
                  <w:sz w:val="18"/>
                </w:rPr>
                <w:t>НЭБ 1958 — A29-R048</w:t>
              </w:r>
            </w:hyperlink>
            <w:r>
              <w:rPr>
                <w:rFonts w:ascii="Aptos" w:hAnsi="Aptos" w:eastAsia="Aptos" w:cs="Aptos"/>
                <w:b w:val="0"/>
                <w:i w:val="0"/>
                <w:color w:val="22303C"/>
                <w:sz w:val="17"/>
              </w:rPr>
              <w:t xml:space="preserve"> — каталог/библиотечная навигация к переводу Ф. А. Петровского</w:t>
            </w:r>
          </w:p>
        </w:tc>
      </w:tr>
    </w:tbl>
    <w:p>
      <w:pPr>
        <w:spacing w:after="40"/>
      </w:pPr>
    </w:p>
    <w:p>
      <w:pPr>
        <w:pStyle w:val="Heading2"/>
      </w:pPr>
      <w:r>
        <w:t>3.3. Филодем и Геркуланум</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61"/>
        <w:gridCol w:w="4961"/>
      </w:tblGrid>
      <w:tr>
        <w:trPr>
          <w:cantSplit/>
          <w:tblHeader w:val="true"/>
        </w:trPr>
        <w:tc>
          <w:tcPr>
            <w:tcW w:type="dxa" w:w="2381"/>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Задача</w:t>
            </w:r>
          </w:p>
        </w:tc>
        <w:tc>
          <w:tcPr>
            <w:tcW w:type="dxa" w:w="6860"/>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Лучший найденный путь</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Бесплатные тексты</w:t>
            </w:r>
          </w:p>
        </w:tc>
        <w:tc>
          <w:tcPr>
            <w:tcW w:type="dxa" w:w="6860"/>
            <w:vAlign w:val="top"/>
            <w:tcMar>
              <w:top w:w="80" w:type="dxa"/>
              <w:start w:w="90" w:type="dxa"/>
              <w:bottom w:w="80" w:type="dxa"/>
              <w:end w:w="90" w:type="dxa"/>
            </w:tcMar>
          </w:tcPr>
          <w:p>
            <w:pPr>
              <w:spacing w:after="30" w:line="240" w:lineRule="auto"/>
            </w:pPr>
            <w:hyperlink r:id="rId31">
              <w:r>
                <w:rPr>
                  <w:rFonts w:ascii="Aptos" w:hAnsi="Aptos" w:eastAsia="Aptos" w:cs="Aptos"/>
                  <w:color w:val="145DA0"/>
                  <w:u w:val="single"/>
                  <w:sz w:val="18"/>
                </w:rPr>
                <w:t>DCLP On Piety — A29-R050</w:t>
              </w:r>
            </w:hyperlink>
            <w:r>
              <w:rPr>
                <w:rFonts w:ascii="Aptos" w:hAnsi="Aptos" w:eastAsia="Aptos" w:cs="Aptos"/>
                <w:b w:val="0"/>
                <w:i w:val="0"/>
                <w:color w:val="22303C"/>
                <w:sz w:val="17"/>
              </w:rPr>
              <w:t xml:space="preserve"> — Greek transcription and metadata</w:t>
            </w:r>
            <w:r>
              <w:rPr>
                <w:rFonts w:ascii="Aptos" w:hAnsi="Aptos" w:eastAsia="Aptos" w:cs="Aptos"/>
                <w:b w:val="0"/>
                <w:i w:val="0"/>
                <w:color w:val="22303C"/>
                <w:sz w:val="17"/>
              </w:rPr>
              <w:t xml:space="preserve">; </w:t>
            </w:r>
            <w:hyperlink r:id="rId32">
              <w:r>
                <w:rPr>
                  <w:rFonts w:ascii="Aptos" w:hAnsi="Aptos" w:eastAsia="Aptos" w:cs="Aptos"/>
                  <w:color w:val="145DA0"/>
                  <w:u w:val="single"/>
                  <w:sz w:val="18"/>
                </w:rPr>
                <w:t>DCLP On Signs III — A29-R052</w:t>
              </w:r>
            </w:hyperlink>
            <w:r>
              <w:rPr>
                <w:rFonts w:ascii="Aptos" w:hAnsi="Aptos" w:eastAsia="Aptos" w:cs="Aptos"/>
                <w:b w:val="0"/>
                <w:i w:val="0"/>
                <w:color w:val="22303C"/>
                <w:sz w:val="17"/>
              </w:rPr>
              <w:t xml:space="preserve"> — эпикурейская теория вывода</w:t>
            </w:r>
            <w:r>
              <w:rPr>
                <w:rFonts w:ascii="Aptos" w:hAnsi="Aptos" w:eastAsia="Aptos" w:cs="Aptos"/>
                <w:b w:val="0"/>
                <w:i w:val="0"/>
                <w:color w:val="22303C"/>
                <w:sz w:val="17"/>
              </w:rPr>
              <w:t xml:space="preserve">; </w:t>
            </w:r>
            <w:hyperlink r:id="rId33">
              <w:r>
                <w:rPr>
                  <w:rFonts w:ascii="Aptos" w:hAnsi="Aptos" w:eastAsia="Aptos" w:cs="Aptos"/>
                  <w:color w:val="145DA0"/>
                  <w:u w:val="single"/>
                  <w:sz w:val="18"/>
                </w:rPr>
                <w:t>DCLP History of the Academy — A29-R057</w:t>
              </w:r>
            </w:hyperlink>
            <w:r>
              <w:rPr>
                <w:rFonts w:ascii="Aptos" w:hAnsi="Aptos" w:eastAsia="Aptos" w:cs="Aptos"/>
                <w:b w:val="0"/>
                <w:i w:val="0"/>
                <w:color w:val="22303C"/>
                <w:sz w:val="17"/>
              </w:rPr>
              <w:t xml:space="preserve"> — школьная история</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Bulk/machine-readable</w:t>
            </w:r>
          </w:p>
        </w:tc>
        <w:tc>
          <w:tcPr>
            <w:tcW w:type="dxa" w:w="6860"/>
            <w:vAlign w:val="top"/>
            <w:tcMar>
              <w:top w:w="80" w:type="dxa"/>
              <w:start w:w="90" w:type="dxa"/>
              <w:bottom w:w="80" w:type="dxa"/>
              <w:end w:w="90" w:type="dxa"/>
            </w:tcMar>
            <w:shd w:fill="F4F6F8"/>
          </w:tcPr>
          <w:p>
            <w:pPr>
              <w:spacing w:after="30" w:line="240" w:lineRule="auto"/>
            </w:pPr>
            <w:hyperlink r:id="rId34">
              <w:r>
                <w:rPr>
                  <w:rFonts w:ascii="Aptos" w:hAnsi="Aptos" w:eastAsia="Aptos" w:cs="Aptos"/>
                  <w:color w:val="145DA0"/>
                  <w:u w:val="single"/>
                  <w:sz w:val="18"/>
                </w:rPr>
                <w:t>Papyri.info idp.data — A29-R007</w:t>
              </w:r>
            </w:hyperlink>
            <w:r>
              <w:rPr>
                <w:rFonts w:ascii="Aptos" w:hAnsi="Aptos" w:eastAsia="Aptos" w:cs="Aptos"/>
                <w:b w:val="0"/>
                <w:i w:val="0"/>
                <w:color w:val="22303C"/>
                <w:sz w:val="17"/>
              </w:rPr>
              <w:t xml:space="preserve"> — CC BY 3.0 EpiDoc/TEI; images excluded</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Факсимиле / CT</w:t>
            </w:r>
          </w:p>
        </w:tc>
        <w:tc>
          <w:tcPr>
            <w:tcW w:type="dxa" w:w="6860"/>
            <w:vAlign w:val="top"/>
            <w:tcMar>
              <w:top w:w="80" w:type="dxa"/>
              <w:start w:w="90" w:type="dxa"/>
              <w:bottom w:w="80" w:type="dxa"/>
              <w:end w:w="90" w:type="dxa"/>
            </w:tcMar>
          </w:tcPr>
          <w:p>
            <w:pPr>
              <w:spacing w:after="30" w:line="240" w:lineRule="auto"/>
            </w:pPr>
            <w:hyperlink r:id="rId35">
              <w:r>
                <w:rPr>
                  <w:rFonts w:ascii="Aptos" w:hAnsi="Aptos" w:eastAsia="Aptos" w:cs="Aptos"/>
                  <w:color w:val="145DA0"/>
                  <w:u w:val="single"/>
                  <w:sz w:val="18"/>
                </w:rPr>
                <w:t>PHercParis4 — A29-R065</w:t>
              </w:r>
            </w:hyperlink>
            <w:r>
              <w:rPr>
                <w:rFonts w:ascii="Aptos" w:hAnsi="Aptos" w:eastAsia="Aptos" w:cs="Aptos"/>
                <w:b w:val="0"/>
                <w:i w:val="0"/>
                <w:color w:val="22303C"/>
                <w:sz w:val="17"/>
              </w:rPr>
              <w:t xml:space="preserve"> — noncommercial CT and segmentation data</w:t>
            </w:r>
            <w:r>
              <w:rPr>
                <w:rFonts w:ascii="Aptos" w:hAnsi="Aptos" w:eastAsia="Aptos" w:cs="Aptos"/>
                <w:b w:val="0"/>
                <w:i w:val="0"/>
                <w:color w:val="22303C"/>
                <w:sz w:val="17"/>
              </w:rPr>
              <w:t xml:space="preserve">; </w:t>
            </w:r>
            <w:hyperlink r:id="rId36">
              <w:r>
                <w:rPr>
                  <w:rFonts w:ascii="Aptos" w:hAnsi="Aptos" w:eastAsia="Aptos" w:cs="Aptos"/>
                  <w:color w:val="145DA0"/>
                  <w:u w:val="single"/>
                  <w:sz w:val="18"/>
                </w:rPr>
                <w:t>Vesuvius data catalogue — A29-R009</w:t>
              </w:r>
            </w:hyperlink>
            <w:r>
              <w:rPr>
                <w:rFonts w:ascii="Aptos" w:hAnsi="Aptos" w:eastAsia="Aptos" w:cs="Aptos"/>
                <w:b w:val="0"/>
                <w:i w:val="0"/>
                <w:color w:val="22303C"/>
                <w:sz w:val="17"/>
              </w:rPr>
              <w:t xml:space="preserve"> — open technical corpus with asset-specific terms</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Современные научные издания</w:t>
            </w:r>
          </w:p>
        </w:tc>
        <w:tc>
          <w:tcPr>
            <w:tcW w:type="dxa" w:w="6860"/>
            <w:vAlign w:val="top"/>
            <w:tcMar>
              <w:top w:w="80" w:type="dxa"/>
              <w:start w:w="90" w:type="dxa"/>
              <w:bottom w:w="80" w:type="dxa"/>
              <w:end w:w="90" w:type="dxa"/>
            </w:tcMar>
            <w:shd w:fill="F4F6F8"/>
          </w:tcPr>
          <w:p>
            <w:pPr>
              <w:spacing w:after="30" w:line="240" w:lineRule="auto"/>
            </w:pPr>
            <w:hyperlink r:id="rId37">
              <w:r>
                <w:rPr>
                  <w:rFonts w:ascii="Aptos" w:hAnsi="Aptos" w:eastAsia="Aptos" w:cs="Aptos"/>
                  <w:color w:val="145DA0"/>
                  <w:u w:val="single"/>
                  <w:sz w:val="18"/>
                </w:rPr>
                <w:t>OUP On Piety — A29-R059</w:t>
              </w:r>
            </w:hyperlink>
            <w:r>
              <w:rPr>
                <w:rFonts w:ascii="Aptos" w:hAnsi="Aptos" w:eastAsia="Aptos" w:cs="Aptos"/>
                <w:b w:val="0"/>
                <w:i w:val="0"/>
                <w:color w:val="22303C"/>
                <w:sz w:val="17"/>
              </w:rPr>
              <w:t xml:space="preserve"> — ключевая критическая реконструкция</w:t>
            </w:r>
            <w:r>
              <w:rPr>
                <w:rFonts w:ascii="Aptos" w:hAnsi="Aptos" w:eastAsia="Aptos" w:cs="Aptos"/>
                <w:b w:val="0"/>
                <w:i w:val="0"/>
                <w:color w:val="22303C"/>
                <w:sz w:val="17"/>
              </w:rPr>
              <w:t xml:space="preserve">; </w:t>
            </w:r>
            <w:hyperlink r:id="rId38">
              <w:r>
                <w:rPr>
                  <w:rFonts w:ascii="Aptos" w:hAnsi="Aptos" w:eastAsia="Aptos" w:cs="Aptos"/>
                  <w:color w:val="145DA0"/>
                  <w:u w:val="single"/>
                  <w:sz w:val="18"/>
                </w:rPr>
                <w:t>Brill History of the Academy — A29-R063</w:t>
              </w:r>
            </w:hyperlink>
            <w:r>
              <w:rPr>
                <w:rFonts w:ascii="Aptos" w:hAnsi="Aptos" w:eastAsia="Aptos" w:cs="Aptos"/>
                <w:b w:val="0"/>
                <w:i w:val="0"/>
                <w:color w:val="22303C"/>
                <w:sz w:val="17"/>
              </w:rPr>
              <w:t xml:space="preserve"> — современный платный scholarly route</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Открытая современная публикация</w:t>
            </w:r>
          </w:p>
        </w:tc>
        <w:tc>
          <w:tcPr>
            <w:tcW w:type="dxa" w:w="6860"/>
            <w:vAlign w:val="top"/>
            <w:tcMar>
              <w:top w:w="80" w:type="dxa"/>
              <w:start w:w="90" w:type="dxa"/>
              <w:bottom w:w="80" w:type="dxa"/>
              <w:end w:w="90" w:type="dxa"/>
            </w:tcMar>
          </w:tcPr>
          <w:p>
            <w:pPr>
              <w:spacing w:after="30" w:line="240" w:lineRule="auto"/>
            </w:pPr>
            <w:hyperlink r:id="rId39">
              <w:r>
                <w:rPr>
                  <w:rFonts w:ascii="Aptos" w:hAnsi="Aptos" w:eastAsia="Aptos" w:cs="Aptos"/>
                  <w:color w:val="145DA0"/>
                  <w:u w:val="single"/>
                  <w:sz w:val="18"/>
                </w:rPr>
                <w:t>PHerc 1004 on Zenodo — A29-R064</w:t>
              </w:r>
            </w:hyperlink>
            <w:r>
              <w:rPr>
                <w:rFonts w:ascii="Aptos" w:hAnsi="Aptos" w:eastAsia="Aptos" w:cs="Aptos"/>
                <w:b w:val="0"/>
                <w:i w:val="0"/>
                <w:color w:val="22303C"/>
                <w:sz w:val="17"/>
              </w:rPr>
              <w:t xml:space="preserve"> — free PDF; item license requires manual check</w:t>
            </w:r>
            <w:r>
              <w:rPr>
                <w:rFonts w:ascii="Aptos" w:hAnsi="Aptos" w:eastAsia="Aptos" w:cs="Aptos"/>
                <w:b w:val="0"/>
                <w:i w:val="0"/>
                <w:color w:val="22303C"/>
                <w:sz w:val="17"/>
              </w:rPr>
              <w:t xml:space="preserve">; </w:t>
            </w:r>
            <w:hyperlink r:id="rId40">
              <w:r>
                <w:rPr>
                  <w:rFonts w:ascii="Aptos" w:hAnsi="Aptos" w:eastAsia="Aptos" w:cs="Aptos"/>
                  <w:color w:val="145DA0"/>
                  <w:u w:val="single"/>
                  <w:sz w:val="18"/>
                </w:rPr>
                <w:t>2026 virtual-unwrapping paper — A29-R067</w:t>
              </w:r>
            </w:hyperlink>
            <w:r>
              <w:rPr>
                <w:rFonts w:ascii="Aptos" w:hAnsi="Aptos" w:eastAsia="Aptos" w:cs="Aptos"/>
                <w:b w:val="0"/>
                <w:i w:val="0"/>
                <w:color w:val="22303C"/>
                <w:sz w:val="17"/>
              </w:rPr>
              <w:t xml:space="preserve"> — current evidence, not a reusable ancient-text edition</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Проектная навигация</w:t>
            </w:r>
          </w:p>
        </w:tc>
        <w:tc>
          <w:tcPr>
            <w:tcW w:type="dxa" w:w="6860"/>
            <w:vAlign w:val="top"/>
            <w:tcMar>
              <w:top w:w="80" w:type="dxa"/>
              <w:start w:w="90" w:type="dxa"/>
              <w:bottom w:w="80" w:type="dxa"/>
              <w:end w:w="90" w:type="dxa"/>
            </w:tcMar>
            <w:shd w:fill="F4F6F8"/>
          </w:tcPr>
          <w:p>
            <w:pPr>
              <w:spacing w:after="30" w:line="240" w:lineRule="auto"/>
            </w:pPr>
            <w:hyperlink r:id="rId41">
              <w:r>
                <w:rPr>
                  <w:rFonts w:ascii="Aptos" w:hAnsi="Aptos" w:eastAsia="Aptos" w:cs="Aptos"/>
                  <w:color w:val="145DA0"/>
                  <w:u w:val="single"/>
                  <w:sz w:val="18"/>
                </w:rPr>
                <w:t>GreekSchools Papyri — A29-R068</w:t>
              </w:r>
            </w:hyperlink>
            <w:r>
              <w:rPr>
                <w:rFonts w:ascii="Aptos" w:hAnsi="Aptos" w:eastAsia="Aptos" w:cs="Aptos"/>
                <w:b w:val="0"/>
                <w:i w:val="0"/>
                <w:color w:val="22303C"/>
                <w:sz w:val="17"/>
              </w:rPr>
              <w:t xml:space="preserve"> — electronic-edition workspace; no blanket content license</w:t>
            </w:r>
          </w:p>
        </w:tc>
      </w:tr>
    </w:tbl>
    <w:p>
      <w:pPr>
        <w:spacing w:after="40"/>
      </w:pPr>
    </w:p>
    <w:p>
      <w:pPr>
        <w:pStyle w:val="Heading2"/>
      </w:pPr>
      <w:r>
        <w:t>3.4. Сенека</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61"/>
        <w:gridCol w:w="4961"/>
      </w:tblGrid>
      <w:tr>
        <w:trPr>
          <w:cantSplit/>
          <w:tblHeader w:val="true"/>
        </w:trPr>
        <w:tc>
          <w:tcPr>
            <w:tcW w:type="dxa" w:w="2381"/>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Задача</w:t>
            </w:r>
          </w:p>
        </w:tc>
        <w:tc>
          <w:tcPr>
            <w:tcW w:type="dxa" w:w="6860"/>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Лучший найденный путь</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Бесплатное чтение оригинала</w:t>
            </w:r>
          </w:p>
        </w:tc>
        <w:tc>
          <w:tcPr>
            <w:tcW w:type="dxa" w:w="6860"/>
            <w:vAlign w:val="top"/>
            <w:tcMar>
              <w:top w:w="80" w:type="dxa"/>
              <w:start w:w="90" w:type="dxa"/>
              <w:bottom w:w="80" w:type="dxa"/>
              <w:end w:w="90" w:type="dxa"/>
            </w:tcMar>
          </w:tcPr>
          <w:p>
            <w:pPr>
              <w:spacing w:after="30" w:line="240" w:lineRule="auto"/>
            </w:pPr>
            <w:hyperlink r:id="rId42">
              <w:r>
                <w:rPr>
                  <w:rFonts w:ascii="Aptos" w:hAnsi="Aptos" w:eastAsia="Aptos" w:cs="Aptos"/>
                  <w:color w:val="145DA0"/>
                  <w:u w:val="single"/>
                  <w:sz w:val="18"/>
                </w:rPr>
                <w:t>PHI Latin — A29-R069</w:t>
              </w:r>
            </w:hyperlink>
            <w:r>
              <w:rPr>
                <w:rFonts w:ascii="Aptos" w:hAnsi="Aptos" w:eastAsia="Aptos" w:cs="Aptos"/>
                <w:b w:val="0"/>
                <w:i w:val="0"/>
                <w:color w:val="22303C"/>
                <w:sz w:val="17"/>
              </w:rPr>
              <w:t xml:space="preserve"> — поиск по центральному корпусу</w:t>
            </w:r>
            <w:r>
              <w:rPr>
                <w:rFonts w:ascii="Aptos" w:hAnsi="Aptos" w:eastAsia="Aptos" w:cs="Aptos"/>
                <w:b w:val="0"/>
                <w:i w:val="0"/>
                <w:color w:val="22303C"/>
                <w:sz w:val="17"/>
              </w:rPr>
              <w:t xml:space="preserve">; </w:t>
            </w:r>
            <w:hyperlink r:id="rId43">
              <w:r>
                <w:rPr>
                  <w:rFonts w:ascii="Aptos" w:hAnsi="Aptos" w:eastAsia="Aptos" w:cs="Aptos"/>
                  <w:color w:val="145DA0"/>
                  <w:u w:val="single"/>
                  <w:sz w:val="18"/>
                </w:rPr>
                <w:t>Scaife Epistulae — A29-R075</w:t>
              </w:r>
            </w:hyperlink>
            <w:r>
              <w:rPr>
                <w:rFonts w:ascii="Aptos" w:hAnsi="Aptos" w:eastAsia="Aptos" w:cs="Aptos"/>
                <w:b w:val="0"/>
                <w:i w:val="0"/>
                <w:color w:val="22303C"/>
                <w:sz w:val="17"/>
              </w:rPr>
              <w:t xml:space="preserve"> — открытый латинский текст писем</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Скачивание / machine-readable</w:t>
            </w:r>
          </w:p>
        </w:tc>
        <w:tc>
          <w:tcPr>
            <w:tcW w:type="dxa" w:w="6860"/>
            <w:vAlign w:val="top"/>
            <w:tcMar>
              <w:top w:w="80" w:type="dxa"/>
              <w:start w:w="90" w:type="dxa"/>
              <w:bottom w:w="80" w:type="dxa"/>
              <w:end w:w="90" w:type="dxa"/>
            </w:tcMar>
            <w:shd w:fill="F4F6F8"/>
          </w:tcPr>
          <w:p>
            <w:pPr>
              <w:spacing w:after="30" w:line="240" w:lineRule="auto"/>
            </w:pPr>
            <w:hyperlink r:id="rId44">
              <w:r>
                <w:rPr>
                  <w:rFonts w:ascii="Aptos" w:hAnsi="Aptos" w:eastAsia="Aptos" w:cs="Aptos"/>
                  <w:color w:val="145DA0"/>
                  <w:u w:val="single"/>
                  <w:sz w:val="18"/>
                </w:rPr>
                <w:t>canonical-latinLit — A29-R071</w:t>
              </w:r>
            </w:hyperlink>
            <w:r>
              <w:rPr>
                <w:rFonts w:ascii="Aptos" w:hAnsi="Aptos" w:eastAsia="Aptos" w:cs="Aptos"/>
                <w:b w:val="0"/>
                <w:i w:val="0"/>
                <w:color w:val="22303C"/>
                <w:sz w:val="17"/>
              </w:rPr>
              <w:t xml:space="preserve"> — TEI/XML</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Старые английские переводы</w:t>
            </w:r>
          </w:p>
        </w:tc>
        <w:tc>
          <w:tcPr>
            <w:tcW w:type="dxa" w:w="6860"/>
            <w:vAlign w:val="top"/>
            <w:tcMar>
              <w:top w:w="80" w:type="dxa"/>
              <w:start w:w="90" w:type="dxa"/>
              <w:bottom w:w="80" w:type="dxa"/>
              <w:end w:w="90" w:type="dxa"/>
            </w:tcMar>
          </w:tcPr>
          <w:p>
            <w:pPr>
              <w:spacing w:after="30" w:line="240" w:lineRule="auto"/>
            </w:pPr>
            <w:hyperlink r:id="rId45">
              <w:r>
                <w:rPr>
                  <w:rFonts w:ascii="Aptos" w:hAnsi="Aptos" w:eastAsia="Aptos" w:cs="Aptos"/>
                  <w:color w:val="145DA0"/>
                  <w:u w:val="single"/>
                  <w:sz w:val="18"/>
                </w:rPr>
                <w:t>Standard Ebooks Dialogues — A29-R077</w:t>
              </w:r>
            </w:hyperlink>
            <w:r>
              <w:rPr>
                <w:rFonts w:ascii="Aptos" w:hAnsi="Aptos" w:eastAsia="Aptos" w:cs="Aptos"/>
                <w:b w:val="0"/>
                <w:i w:val="0"/>
                <w:color w:val="22303C"/>
                <w:sz w:val="17"/>
              </w:rPr>
              <w:t xml:space="preserve"> — свободный EPUB/HTML</w:t>
            </w:r>
            <w:r>
              <w:rPr>
                <w:rFonts w:ascii="Aptos" w:hAnsi="Aptos" w:eastAsia="Aptos" w:cs="Aptos"/>
                <w:b w:val="0"/>
                <w:i w:val="0"/>
                <w:color w:val="22303C"/>
                <w:sz w:val="17"/>
              </w:rPr>
              <w:t xml:space="preserve">; </w:t>
            </w:r>
            <w:hyperlink r:id="rId46">
              <w:r>
                <w:rPr>
                  <w:rFonts w:ascii="Aptos" w:hAnsi="Aptos" w:eastAsia="Aptos" w:cs="Aptos"/>
                  <w:color w:val="145DA0"/>
                  <w:u w:val="single"/>
                  <w:sz w:val="18"/>
                </w:rPr>
                <w:t>Project Gutenberg Naturales quaestiones — A29-R087</w:t>
              </w:r>
            </w:hyperlink>
            <w:r>
              <w:rPr>
                <w:rFonts w:ascii="Aptos" w:hAnsi="Aptos" w:eastAsia="Aptos" w:cs="Aptos"/>
                <w:b w:val="0"/>
                <w:i w:val="0"/>
                <w:color w:val="22303C"/>
                <w:sz w:val="17"/>
              </w:rPr>
              <w:t xml:space="preserve"> — исторический английский перевод</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Современный научный вариант</w:t>
            </w:r>
          </w:p>
        </w:tc>
        <w:tc>
          <w:tcPr>
            <w:tcW w:type="dxa" w:w="6860"/>
            <w:vAlign w:val="top"/>
            <w:tcMar>
              <w:top w:w="80" w:type="dxa"/>
              <w:start w:w="90" w:type="dxa"/>
              <w:bottom w:w="80" w:type="dxa"/>
              <w:end w:w="90" w:type="dxa"/>
            </w:tcMar>
            <w:shd w:fill="F4F6F8"/>
          </w:tcPr>
          <w:p>
            <w:pPr>
              <w:spacing w:after="30" w:line="240" w:lineRule="auto"/>
            </w:pPr>
            <w:hyperlink r:id="rId47">
              <w:r>
                <w:rPr>
                  <w:rFonts w:ascii="Aptos" w:hAnsi="Aptos" w:eastAsia="Aptos" w:cs="Aptos"/>
                  <w:color w:val="145DA0"/>
                  <w:u w:val="single"/>
                  <w:sz w:val="18"/>
                </w:rPr>
                <w:t>OUP Dialogi — A29-R079</w:t>
              </w:r>
            </w:hyperlink>
            <w:r>
              <w:rPr>
                <w:rFonts w:ascii="Aptos" w:hAnsi="Aptos" w:eastAsia="Aptos" w:cs="Aptos"/>
                <w:b w:val="0"/>
                <w:i w:val="0"/>
                <w:color w:val="22303C"/>
                <w:sz w:val="17"/>
              </w:rPr>
              <w:t xml:space="preserve"> — критический латинский текст</w:t>
            </w:r>
            <w:r>
              <w:rPr>
                <w:rFonts w:ascii="Aptos" w:hAnsi="Aptos" w:eastAsia="Aptos" w:cs="Aptos"/>
                <w:b w:val="0"/>
                <w:i w:val="0"/>
                <w:color w:val="22303C"/>
                <w:sz w:val="17"/>
              </w:rPr>
              <w:t xml:space="preserve">; </w:t>
            </w:r>
            <w:hyperlink r:id="rId48">
              <w:r>
                <w:rPr>
                  <w:rFonts w:ascii="Aptos" w:hAnsi="Aptos" w:eastAsia="Aptos" w:cs="Aptos"/>
                  <w:color w:val="145DA0"/>
                  <w:u w:val="single"/>
                  <w:sz w:val="18"/>
                </w:rPr>
                <w:t>Loeb Epistles I — A29-R082</w:t>
              </w:r>
            </w:hyperlink>
            <w:r>
              <w:rPr>
                <w:rFonts w:ascii="Aptos" w:hAnsi="Aptos" w:eastAsia="Aptos" w:cs="Aptos"/>
                <w:b w:val="0"/>
                <w:i w:val="0"/>
                <w:color w:val="22303C"/>
                <w:sz w:val="17"/>
              </w:rPr>
              <w:t xml:space="preserve"> — защищенное двуязычное издание</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Русский путь</w:t>
            </w:r>
          </w:p>
        </w:tc>
        <w:tc>
          <w:tcPr>
            <w:tcW w:type="dxa" w:w="6860"/>
            <w:vAlign w:val="top"/>
            <w:tcMar>
              <w:top w:w="80" w:type="dxa"/>
              <w:start w:w="90" w:type="dxa"/>
              <w:bottom w:w="80" w:type="dxa"/>
              <w:end w:w="90" w:type="dxa"/>
            </w:tcMar>
          </w:tcPr>
          <w:p>
            <w:pPr>
              <w:spacing w:after="30" w:line="240" w:lineRule="auto"/>
            </w:pPr>
            <w:hyperlink r:id="rId49">
              <w:r>
                <w:rPr>
                  <w:rFonts w:ascii="Aptos" w:hAnsi="Aptos" w:eastAsia="Aptos" w:cs="Aptos"/>
                  <w:color w:val="145DA0"/>
                  <w:u w:val="single"/>
                  <w:sz w:val="18"/>
                </w:rPr>
                <w:t>ЛитРес — A29-R089</w:t>
              </w:r>
            </w:hyperlink>
            <w:r>
              <w:rPr>
                <w:rFonts w:ascii="Aptos" w:hAnsi="Aptos" w:eastAsia="Aptos" w:cs="Aptos"/>
                <w:b w:val="0"/>
                <w:i w:val="0"/>
                <w:color w:val="22303C"/>
                <w:sz w:val="17"/>
              </w:rPr>
              <w:t xml:space="preserve"> — preview/purchase современного издания</w:t>
            </w:r>
            <w:r>
              <w:rPr>
                <w:rFonts w:ascii="Aptos" w:hAnsi="Aptos" w:eastAsia="Aptos" w:cs="Aptos"/>
                <w:b w:val="0"/>
                <w:i w:val="0"/>
                <w:color w:val="22303C"/>
                <w:sz w:val="17"/>
              </w:rPr>
              <w:t xml:space="preserve">; </w:t>
            </w:r>
            <w:hyperlink r:id="rId50">
              <w:r>
                <w:rPr>
                  <w:rFonts w:ascii="Aptos" w:hAnsi="Aptos" w:eastAsia="Aptos" w:cs="Aptos"/>
                  <w:color w:val="145DA0"/>
                  <w:u w:val="single"/>
                  <w:sz w:val="18"/>
                </w:rPr>
                <w:t>НЭБ — A29-R090</w:t>
              </w:r>
            </w:hyperlink>
            <w:r>
              <w:rPr>
                <w:rFonts w:ascii="Aptos" w:hAnsi="Aptos" w:eastAsia="Aptos" w:cs="Aptos"/>
                <w:b w:val="0"/>
                <w:i w:val="0"/>
                <w:color w:val="22303C"/>
                <w:sz w:val="17"/>
              </w:rPr>
              <w:t xml:space="preserve"> — каталог/библиотечный вход</w:t>
            </w:r>
          </w:p>
        </w:tc>
      </w:tr>
    </w:tbl>
    <w:p>
      <w:pPr>
        <w:spacing w:after="40"/>
      </w:pPr>
    </w:p>
    <w:p>
      <w:pPr>
        <w:pStyle w:val="Heading2"/>
      </w:pPr>
      <w:r>
        <w:t>3.5. Мусоний Руф</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61"/>
        <w:gridCol w:w="4961"/>
      </w:tblGrid>
      <w:tr>
        <w:trPr>
          <w:cantSplit/>
          <w:tblHeader w:val="true"/>
        </w:trPr>
        <w:tc>
          <w:tcPr>
            <w:tcW w:type="dxa" w:w="2381"/>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Задача</w:t>
            </w:r>
          </w:p>
        </w:tc>
        <w:tc>
          <w:tcPr>
            <w:tcW w:type="dxa" w:w="6860"/>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Лучший найденный путь</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Оригинальный текст</w:t>
            </w:r>
          </w:p>
        </w:tc>
        <w:tc>
          <w:tcPr>
            <w:tcW w:type="dxa" w:w="6860"/>
            <w:vAlign w:val="top"/>
            <w:tcMar>
              <w:top w:w="80" w:type="dxa"/>
              <w:start w:w="90" w:type="dxa"/>
              <w:bottom w:w="80" w:type="dxa"/>
              <w:end w:w="90" w:type="dxa"/>
            </w:tcMar>
          </w:tcPr>
          <w:p>
            <w:pPr>
              <w:spacing w:after="30" w:line="240" w:lineRule="auto"/>
            </w:pPr>
            <w:hyperlink r:id="rId51">
              <w:r>
                <w:rPr>
                  <w:rFonts w:ascii="Aptos" w:hAnsi="Aptos" w:eastAsia="Aptos" w:cs="Aptos"/>
                  <w:color w:val="145DA0"/>
                  <w:u w:val="single"/>
                  <w:sz w:val="18"/>
                </w:rPr>
                <w:t>Hense 1905 — A29-R091</w:t>
              </w:r>
            </w:hyperlink>
            <w:r>
              <w:rPr>
                <w:rFonts w:ascii="Aptos" w:hAnsi="Aptos" w:eastAsia="Aptos" w:cs="Aptos"/>
                <w:b w:val="0"/>
                <w:i w:val="0"/>
                <w:color w:val="22303C"/>
                <w:sz w:val="17"/>
              </w:rPr>
              <w:t xml:space="preserve"> — Greek critical collection; Mexico term review due editor death in 1931</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Старый английский перевод</w:t>
            </w:r>
          </w:p>
        </w:tc>
        <w:tc>
          <w:tcPr>
            <w:tcW w:type="dxa" w:w="6860"/>
            <w:vAlign w:val="top"/>
            <w:tcMar>
              <w:top w:w="80" w:type="dxa"/>
              <w:start w:w="90" w:type="dxa"/>
              <w:bottom w:w="80" w:type="dxa"/>
              <w:end w:w="90" w:type="dxa"/>
            </w:tcMar>
            <w:shd w:fill="F4F6F8"/>
          </w:tcPr>
          <w:p>
            <w:pPr>
              <w:spacing w:after="30" w:line="240" w:lineRule="auto"/>
            </w:pPr>
            <w:hyperlink r:id="rId52">
              <w:r>
                <w:rPr>
                  <w:rFonts w:ascii="Aptos" w:hAnsi="Aptos" w:eastAsia="Aptos" w:cs="Aptos"/>
                  <w:color w:val="145DA0"/>
                  <w:u w:val="single"/>
                  <w:sz w:val="18"/>
                </w:rPr>
                <w:t>Cora Lutz — A29-R093</w:t>
              </w:r>
            </w:hyperlink>
            <w:r>
              <w:rPr>
                <w:rFonts w:ascii="Aptos" w:hAnsi="Aptos" w:eastAsia="Aptos" w:cs="Aptos"/>
                <w:b w:val="0"/>
                <w:i w:val="0"/>
                <w:color w:val="22303C"/>
                <w:sz w:val="17"/>
              </w:rPr>
              <w:t xml:space="preserve"> — free scan, but rights provenance is not strong enough for mirroring</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Канал сохранения</w:t>
            </w:r>
          </w:p>
        </w:tc>
        <w:tc>
          <w:tcPr>
            <w:tcW w:type="dxa" w:w="6860"/>
            <w:vAlign w:val="top"/>
            <w:tcMar>
              <w:top w:w="80" w:type="dxa"/>
              <w:start w:w="90" w:type="dxa"/>
              <w:bottom w:w="80" w:type="dxa"/>
              <w:end w:w="90" w:type="dxa"/>
            </w:tcMar>
          </w:tcPr>
          <w:p>
            <w:pPr>
              <w:spacing w:after="30" w:line="240" w:lineRule="auto"/>
            </w:pPr>
            <w:hyperlink r:id="rId53">
              <w:r>
                <w:rPr>
                  <w:rFonts w:ascii="Aptos" w:hAnsi="Aptos" w:eastAsia="Aptos" w:cs="Aptos"/>
                  <w:color w:val="145DA0"/>
                  <w:u w:val="single"/>
                  <w:sz w:val="18"/>
                </w:rPr>
                <w:t>Stobaeus IV — A29-R096</w:t>
              </w:r>
            </w:hyperlink>
            <w:r>
              <w:rPr>
                <w:rFonts w:ascii="Aptos" w:hAnsi="Aptos" w:eastAsia="Aptos" w:cs="Aptos"/>
                <w:b w:val="0"/>
                <w:i w:val="0"/>
                <w:color w:val="22303C"/>
                <w:sz w:val="17"/>
              </w:rPr>
              <w:t xml:space="preserve"> — source excerpts rather than an authorial book</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Современный вариант</w:t>
            </w:r>
          </w:p>
        </w:tc>
        <w:tc>
          <w:tcPr>
            <w:tcW w:type="dxa" w:w="6860"/>
            <w:vAlign w:val="top"/>
            <w:tcMar>
              <w:top w:w="80" w:type="dxa"/>
              <w:start w:w="90" w:type="dxa"/>
              <w:bottom w:w="80" w:type="dxa"/>
              <w:end w:w="90" w:type="dxa"/>
            </w:tcMar>
            <w:shd w:fill="F4F6F8"/>
          </w:tcPr>
          <w:p>
            <w:pPr>
              <w:spacing w:after="30" w:line="240" w:lineRule="auto"/>
            </w:pPr>
            <w:hyperlink r:id="rId54">
              <w:r>
                <w:rPr>
                  <w:rFonts w:ascii="Aptos" w:hAnsi="Aptos" w:eastAsia="Aptos" w:cs="Aptos"/>
                  <w:color w:val="145DA0"/>
                  <w:u w:val="single"/>
                  <w:sz w:val="18"/>
                </w:rPr>
                <w:t>Yale — A29-R094</w:t>
              </w:r>
            </w:hyperlink>
            <w:r>
              <w:rPr>
                <w:rFonts w:ascii="Aptos" w:hAnsi="Aptos" w:eastAsia="Aptos" w:cs="Aptos"/>
                <w:b w:val="0"/>
                <w:i w:val="0"/>
                <w:color w:val="22303C"/>
                <w:sz w:val="17"/>
              </w:rPr>
              <w:t xml:space="preserve"> — purchase</w:t>
            </w:r>
            <w:r>
              <w:rPr>
                <w:rFonts w:ascii="Aptos" w:hAnsi="Aptos" w:eastAsia="Aptos" w:cs="Aptos"/>
                <w:b w:val="0"/>
                <w:i w:val="0"/>
                <w:color w:val="22303C"/>
                <w:sz w:val="17"/>
              </w:rPr>
              <w:t xml:space="preserve">; </w:t>
            </w:r>
            <w:hyperlink r:id="rId55">
              <w:r>
                <w:rPr>
                  <w:rFonts w:ascii="Aptos" w:hAnsi="Aptos" w:eastAsia="Aptos" w:cs="Aptos"/>
                  <w:color w:val="145DA0"/>
                  <w:u w:val="single"/>
                  <w:sz w:val="18"/>
                </w:rPr>
                <w:t>WorldCat — A29-R095</w:t>
              </w:r>
            </w:hyperlink>
            <w:r>
              <w:rPr>
                <w:rFonts w:ascii="Aptos" w:hAnsi="Aptos" w:eastAsia="Aptos" w:cs="Aptos"/>
                <w:b w:val="0"/>
                <w:i w:val="0"/>
                <w:color w:val="22303C"/>
                <w:sz w:val="17"/>
              </w:rPr>
              <w:t xml:space="preserve"> — library borrowing route</w:t>
            </w:r>
          </w:p>
        </w:tc>
      </w:tr>
    </w:tbl>
    <w:p>
      <w:pPr>
        <w:spacing w:after="40"/>
      </w:pPr>
    </w:p>
    <w:p>
      <w:pPr>
        <w:pStyle w:val="Heading2"/>
      </w:pPr>
      <w:r>
        <w:t>3.6. Эпиктет</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61"/>
        <w:gridCol w:w="4961"/>
      </w:tblGrid>
      <w:tr>
        <w:trPr>
          <w:cantSplit/>
          <w:tblHeader w:val="true"/>
        </w:trPr>
        <w:tc>
          <w:tcPr>
            <w:tcW w:type="dxa" w:w="2381"/>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Задача</w:t>
            </w:r>
          </w:p>
        </w:tc>
        <w:tc>
          <w:tcPr>
            <w:tcW w:type="dxa" w:w="6860"/>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Лучший найденный путь</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Бесплатный оригинал</w:t>
            </w:r>
          </w:p>
        </w:tc>
        <w:tc>
          <w:tcPr>
            <w:tcW w:type="dxa" w:w="6860"/>
            <w:vAlign w:val="top"/>
            <w:tcMar>
              <w:top w:w="80" w:type="dxa"/>
              <w:start w:w="90" w:type="dxa"/>
              <w:bottom w:w="80" w:type="dxa"/>
              <w:end w:w="90" w:type="dxa"/>
            </w:tcMar>
          </w:tcPr>
          <w:p>
            <w:pPr>
              <w:spacing w:after="30" w:line="240" w:lineRule="auto"/>
            </w:pPr>
            <w:hyperlink r:id="rId56">
              <w:r>
                <w:rPr>
                  <w:rFonts w:ascii="Aptos" w:hAnsi="Aptos" w:eastAsia="Aptos" w:cs="Aptos"/>
                  <w:color w:val="145DA0"/>
                  <w:u w:val="single"/>
                  <w:sz w:val="18"/>
                </w:rPr>
                <w:t>Scaife Discourses — A29-R097</w:t>
              </w:r>
            </w:hyperlink>
            <w:r>
              <w:rPr>
                <w:rFonts w:ascii="Aptos" w:hAnsi="Aptos" w:eastAsia="Aptos" w:cs="Aptos"/>
                <w:b w:val="0"/>
                <w:i w:val="0"/>
                <w:color w:val="22303C"/>
                <w:sz w:val="17"/>
              </w:rPr>
              <w:t xml:space="preserve"> — Greek, four surviving books</w:t>
            </w:r>
            <w:r>
              <w:rPr>
                <w:rFonts w:ascii="Aptos" w:hAnsi="Aptos" w:eastAsia="Aptos" w:cs="Aptos"/>
                <w:b w:val="0"/>
                <w:i w:val="0"/>
                <w:color w:val="22303C"/>
                <w:sz w:val="17"/>
              </w:rPr>
              <w:t xml:space="preserve">; </w:t>
            </w:r>
            <w:hyperlink r:id="rId57">
              <w:r>
                <w:rPr>
                  <w:rFonts w:ascii="Aptos" w:hAnsi="Aptos" w:eastAsia="Aptos" w:cs="Aptos"/>
                  <w:color w:val="145DA0"/>
                  <w:u w:val="single"/>
                  <w:sz w:val="18"/>
                </w:rPr>
                <w:t>Scaife Fragments — A29-R105</w:t>
              </w:r>
            </w:hyperlink>
            <w:r>
              <w:rPr>
                <w:rFonts w:ascii="Aptos" w:hAnsi="Aptos" w:eastAsia="Aptos" w:cs="Aptos"/>
                <w:b w:val="0"/>
                <w:i w:val="0"/>
                <w:color w:val="22303C"/>
                <w:sz w:val="17"/>
              </w:rPr>
              <w:t xml:space="preserve"> — Greek fragment set</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Скачивание / machine-readable</w:t>
            </w:r>
          </w:p>
        </w:tc>
        <w:tc>
          <w:tcPr>
            <w:tcW w:type="dxa" w:w="6860"/>
            <w:vAlign w:val="top"/>
            <w:tcMar>
              <w:top w:w="80" w:type="dxa"/>
              <w:start w:w="90" w:type="dxa"/>
              <w:bottom w:w="80" w:type="dxa"/>
              <w:end w:w="90" w:type="dxa"/>
            </w:tcMar>
            <w:shd w:fill="F4F6F8"/>
          </w:tcPr>
          <w:p>
            <w:pPr>
              <w:spacing w:after="30" w:line="240" w:lineRule="auto"/>
            </w:pPr>
            <w:hyperlink r:id="rId58">
              <w:r>
                <w:rPr>
                  <w:rFonts w:ascii="Aptos" w:hAnsi="Aptos" w:eastAsia="Aptos" w:cs="Aptos"/>
                  <w:color w:val="145DA0"/>
                  <w:u w:val="single"/>
                  <w:sz w:val="18"/>
                </w:rPr>
                <w:t>canonical-greekLit — A29-R108</w:t>
              </w:r>
            </w:hyperlink>
            <w:r>
              <w:rPr>
                <w:rFonts w:ascii="Aptos" w:hAnsi="Aptos" w:eastAsia="Aptos" w:cs="Aptos"/>
                <w:b w:val="0"/>
                <w:i w:val="0"/>
                <w:color w:val="22303C"/>
                <w:sz w:val="17"/>
              </w:rPr>
              <w:t xml:space="preserve"> — TEI/XML</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Старый английский перевод</w:t>
            </w:r>
          </w:p>
        </w:tc>
        <w:tc>
          <w:tcPr>
            <w:tcW w:type="dxa" w:w="6860"/>
            <w:vAlign w:val="top"/>
            <w:tcMar>
              <w:top w:w="80" w:type="dxa"/>
              <w:start w:w="90" w:type="dxa"/>
              <w:bottom w:w="80" w:type="dxa"/>
              <w:end w:w="90" w:type="dxa"/>
            </w:tcMar>
          </w:tcPr>
          <w:p>
            <w:pPr>
              <w:spacing w:after="30" w:line="240" w:lineRule="auto"/>
            </w:pPr>
            <w:hyperlink r:id="rId59">
              <w:r>
                <w:rPr>
                  <w:rFonts w:ascii="Aptos" w:hAnsi="Aptos" w:eastAsia="Aptos" w:cs="Aptos"/>
                  <w:color w:val="145DA0"/>
                  <w:u w:val="single"/>
                  <w:sz w:val="18"/>
                </w:rPr>
                <w:t>Standard Ebooks Discourses — A29-R099</w:t>
              </w:r>
            </w:hyperlink>
            <w:r>
              <w:rPr>
                <w:rFonts w:ascii="Aptos" w:hAnsi="Aptos" w:eastAsia="Aptos" w:cs="Aptos"/>
                <w:b w:val="0"/>
                <w:i w:val="0"/>
                <w:color w:val="22303C"/>
                <w:sz w:val="17"/>
              </w:rPr>
              <w:t xml:space="preserve"> — free EPUB/HTML</w:t>
            </w:r>
            <w:r>
              <w:rPr>
                <w:rFonts w:ascii="Aptos" w:hAnsi="Aptos" w:eastAsia="Aptos" w:cs="Aptos"/>
                <w:b w:val="0"/>
                <w:i w:val="0"/>
                <w:color w:val="22303C"/>
                <w:sz w:val="17"/>
              </w:rPr>
              <w:t xml:space="preserve">; </w:t>
            </w:r>
            <w:hyperlink r:id="rId60">
              <w:r>
                <w:rPr>
                  <w:rFonts w:ascii="Aptos" w:hAnsi="Aptos" w:eastAsia="Aptos" w:cs="Aptos"/>
                  <w:color w:val="145DA0"/>
                  <w:u w:val="single"/>
                  <w:sz w:val="18"/>
                </w:rPr>
                <w:t>Project Gutenberg 10661 — A29-R100</w:t>
              </w:r>
            </w:hyperlink>
            <w:r>
              <w:rPr>
                <w:rFonts w:ascii="Aptos" w:hAnsi="Aptos" w:eastAsia="Aptos" w:cs="Aptos"/>
                <w:b w:val="0"/>
                <w:i w:val="0"/>
                <w:color w:val="22303C"/>
                <w:sz w:val="17"/>
              </w:rPr>
              <w:t xml:space="preserve"> — Discourses, Encheiridion, fragments</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Русский путь</w:t>
            </w:r>
          </w:p>
        </w:tc>
        <w:tc>
          <w:tcPr>
            <w:tcW w:type="dxa" w:w="6860"/>
            <w:vAlign w:val="top"/>
            <w:tcMar>
              <w:top w:w="80" w:type="dxa"/>
              <w:start w:w="90" w:type="dxa"/>
              <w:bottom w:w="80" w:type="dxa"/>
              <w:end w:w="90" w:type="dxa"/>
            </w:tcMar>
            <w:shd w:fill="F4F6F8"/>
          </w:tcPr>
          <w:p>
            <w:pPr>
              <w:spacing w:after="30" w:line="240" w:lineRule="auto"/>
            </w:pPr>
            <w:hyperlink r:id="rId61">
              <w:r>
                <w:rPr>
                  <w:rFonts w:ascii="Aptos" w:hAnsi="Aptos" w:eastAsia="Aptos" w:cs="Aptos"/>
                  <w:color w:val="145DA0"/>
                  <w:u w:val="single"/>
                  <w:sz w:val="18"/>
                </w:rPr>
                <w:t>НЭБ 1767 — A29-R102</w:t>
              </w:r>
            </w:hyperlink>
            <w:r>
              <w:rPr>
                <w:rFonts w:ascii="Aptos" w:hAnsi="Aptos" w:eastAsia="Aptos" w:cs="Aptos"/>
                <w:b w:val="0"/>
                <w:i w:val="0"/>
                <w:color w:val="22303C"/>
                <w:sz w:val="17"/>
              </w:rPr>
              <w:t xml:space="preserve"> — старый полный цифровой перевод</w:t>
            </w:r>
            <w:r>
              <w:rPr>
                <w:rFonts w:ascii="Aptos" w:hAnsi="Aptos" w:eastAsia="Aptos" w:cs="Aptos"/>
                <w:b w:val="0"/>
                <w:i w:val="0"/>
                <w:color w:val="22303C"/>
                <w:sz w:val="17"/>
              </w:rPr>
              <w:t xml:space="preserve">; </w:t>
            </w:r>
            <w:hyperlink r:id="rId62">
              <w:r>
                <w:rPr>
                  <w:rFonts w:ascii="Aptos" w:hAnsi="Aptos" w:eastAsia="Aptos" w:cs="Aptos"/>
                  <w:color w:val="145DA0"/>
                  <w:u w:val="single"/>
                  <w:sz w:val="18"/>
                </w:rPr>
                <w:t>ЛитРес — A29-R103</w:t>
              </w:r>
            </w:hyperlink>
            <w:r>
              <w:rPr>
                <w:rFonts w:ascii="Aptos" w:hAnsi="Aptos" w:eastAsia="Aptos" w:cs="Aptos"/>
                <w:b w:val="0"/>
                <w:i w:val="0"/>
                <w:color w:val="22303C"/>
                <w:sz w:val="17"/>
              </w:rPr>
              <w:t xml:space="preserve"> — современная покупка</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Современный научный вариант</w:t>
            </w:r>
          </w:p>
        </w:tc>
        <w:tc>
          <w:tcPr>
            <w:tcW w:type="dxa" w:w="6860"/>
            <w:vAlign w:val="top"/>
            <w:tcMar>
              <w:top w:w="80" w:type="dxa"/>
              <w:start w:w="90" w:type="dxa"/>
              <w:bottom w:w="80" w:type="dxa"/>
              <w:end w:w="90" w:type="dxa"/>
            </w:tcMar>
          </w:tcPr>
          <w:p>
            <w:pPr>
              <w:spacing w:after="30" w:line="240" w:lineRule="auto"/>
            </w:pPr>
            <w:hyperlink r:id="rId63">
              <w:r>
                <w:rPr>
                  <w:rFonts w:ascii="Aptos" w:hAnsi="Aptos" w:eastAsia="Aptos" w:cs="Aptos"/>
                  <w:color w:val="145DA0"/>
                  <w:u w:val="single"/>
                  <w:sz w:val="18"/>
                </w:rPr>
                <w:t>Loeb 131 — A29-R109</w:t>
              </w:r>
            </w:hyperlink>
            <w:r>
              <w:rPr>
                <w:rFonts w:ascii="Aptos" w:hAnsi="Aptos" w:eastAsia="Aptos" w:cs="Aptos"/>
                <w:b w:val="0"/>
                <w:i w:val="0"/>
                <w:color w:val="22303C"/>
                <w:sz w:val="17"/>
              </w:rPr>
              <w:t xml:space="preserve"> — Books 1–2</w:t>
            </w:r>
            <w:r>
              <w:rPr>
                <w:rFonts w:ascii="Aptos" w:hAnsi="Aptos" w:eastAsia="Aptos" w:cs="Aptos"/>
                <w:b w:val="0"/>
                <w:i w:val="0"/>
                <w:color w:val="22303C"/>
                <w:sz w:val="17"/>
              </w:rPr>
              <w:t xml:space="preserve">; </w:t>
            </w:r>
            <w:hyperlink r:id="rId64">
              <w:r>
                <w:rPr>
                  <w:rFonts w:ascii="Aptos" w:hAnsi="Aptos" w:eastAsia="Aptos" w:cs="Aptos"/>
                  <w:color w:val="145DA0"/>
                  <w:u w:val="single"/>
                  <w:sz w:val="18"/>
                </w:rPr>
                <w:t>Loeb 218 — A29-R110</w:t>
              </w:r>
            </w:hyperlink>
            <w:r>
              <w:rPr>
                <w:rFonts w:ascii="Aptos" w:hAnsi="Aptos" w:eastAsia="Aptos" w:cs="Aptos"/>
                <w:b w:val="0"/>
                <w:i w:val="0"/>
                <w:color w:val="22303C"/>
                <w:sz w:val="17"/>
              </w:rPr>
              <w:t xml:space="preserve"> — Books 3–4, fragments, Encheiridion</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Поздний комментарий</w:t>
            </w:r>
          </w:p>
        </w:tc>
        <w:tc>
          <w:tcPr>
            <w:tcW w:type="dxa" w:w="6860"/>
            <w:vAlign w:val="top"/>
            <w:tcMar>
              <w:top w:w="80" w:type="dxa"/>
              <w:start w:w="90" w:type="dxa"/>
              <w:bottom w:w="80" w:type="dxa"/>
              <w:end w:w="90" w:type="dxa"/>
            </w:tcMar>
            <w:shd w:fill="F4F6F8"/>
          </w:tcPr>
          <w:p>
            <w:pPr>
              <w:spacing w:after="30" w:line="240" w:lineRule="auto"/>
            </w:pPr>
            <w:hyperlink r:id="rId65">
              <w:r>
                <w:rPr>
                  <w:rFonts w:ascii="Aptos" w:hAnsi="Aptos" w:eastAsia="Aptos" w:cs="Aptos"/>
                  <w:color w:val="145DA0"/>
                  <w:u w:val="single"/>
                  <w:sz w:val="18"/>
                </w:rPr>
                <w:t>Simplicius 1704 — A29-R111</w:t>
              </w:r>
            </w:hyperlink>
            <w:r>
              <w:rPr>
                <w:rFonts w:ascii="Aptos" w:hAnsi="Aptos" w:eastAsia="Aptos" w:cs="Aptos"/>
                <w:b w:val="0"/>
                <w:i w:val="0"/>
                <w:color w:val="22303C"/>
                <w:sz w:val="17"/>
              </w:rPr>
              <w:t xml:space="preserve"> — старый перевод</w:t>
            </w:r>
            <w:r>
              <w:rPr>
                <w:rFonts w:ascii="Aptos" w:hAnsi="Aptos" w:eastAsia="Aptos" w:cs="Aptos"/>
                <w:b w:val="0"/>
                <w:i w:val="0"/>
                <w:color w:val="22303C"/>
                <w:sz w:val="17"/>
              </w:rPr>
              <w:t xml:space="preserve">; </w:t>
            </w:r>
            <w:hyperlink r:id="rId66">
              <w:r>
                <w:rPr>
                  <w:rFonts w:ascii="Aptos" w:hAnsi="Aptos" w:eastAsia="Aptos" w:cs="Aptos"/>
                  <w:color w:val="145DA0"/>
                  <w:u w:val="single"/>
                  <w:sz w:val="18"/>
                </w:rPr>
                <w:t>Bloomsbury vol. 1 — A29-R112</w:t>
              </w:r>
            </w:hyperlink>
            <w:r>
              <w:rPr>
                <w:rFonts w:ascii="Aptos" w:hAnsi="Aptos" w:eastAsia="Aptos" w:cs="Aptos"/>
                <w:b w:val="0"/>
                <w:i w:val="0"/>
                <w:color w:val="22303C"/>
                <w:sz w:val="17"/>
              </w:rPr>
              <w:t xml:space="preserve"> — современный scholarly route</w:t>
            </w:r>
          </w:p>
        </w:tc>
      </w:tr>
    </w:tbl>
    <w:p>
      <w:pPr>
        <w:spacing w:after="40"/>
      </w:pPr>
    </w:p>
    <w:p>
      <w:pPr>
        <w:pStyle w:val="Heading2"/>
      </w:pPr>
      <w:r>
        <w:t>3.7. Плутарх</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61"/>
        <w:gridCol w:w="4961"/>
      </w:tblGrid>
      <w:tr>
        <w:trPr>
          <w:cantSplit/>
          <w:tblHeader w:val="true"/>
        </w:trPr>
        <w:tc>
          <w:tcPr>
            <w:tcW w:type="dxa" w:w="2381"/>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Задача</w:t>
            </w:r>
          </w:p>
        </w:tc>
        <w:tc>
          <w:tcPr>
            <w:tcW w:type="dxa" w:w="6860"/>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Лучший найденный путь</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Бесплатный оригинал</w:t>
            </w:r>
          </w:p>
        </w:tc>
        <w:tc>
          <w:tcPr>
            <w:tcW w:type="dxa" w:w="6860"/>
            <w:vAlign w:val="top"/>
            <w:tcMar>
              <w:top w:w="80" w:type="dxa"/>
              <w:start w:w="90" w:type="dxa"/>
              <w:bottom w:w="80" w:type="dxa"/>
              <w:end w:w="90" w:type="dxa"/>
            </w:tcMar>
          </w:tcPr>
          <w:p>
            <w:pPr>
              <w:spacing w:after="30" w:line="240" w:lineRule="auto"/>
            </w:pPr>
            <w:hyperlink r:id="rId67">
              <w:r>
                <w:rPr>
                  <w:rFonts w:ascii="Aptos" w:hAnsi="Aptos" w:eastAsia="Aptos" w:cs="Aptos"/>
                  <w:color w:val="145DA0"/>
                  <w:u w:val="single"/>
                  <w:sz w:val="18"/>
                </w:rPr>
                <w:t>Scaife Plutarch portal — A29-R114</w:t>
              </w:r>
            </w:hyperlink>
            <w:r>
              <w:rPr>
                <w:rFonts w:ascii="Aptos" w:hAnsi="Aptos" w:eastAsia="Aptos" w:cs="Aptos"/>
                <w:b w:val="0"/>
                <w:i w:val="0"/>
                <w:color w:val="22303C"/>
                <w:sz w:val="17"/>
              </w:rPr>
              <w:t xml:space="preserve"> — work-level navigation</w:t>
            </w:r>
            <w:r>
              <w:rPr>
                <w:rFonts w:ascii="Aptos" w:hAnsi="Aptos" w:eastAsia="Aptos" w:cs="Aptos"/>
                <w:b w:val="0"/>
                <w:i w:val="0"/>
                <w:color w:val="22303C"/>
                <w:sz w:val="17"/>
              </w:rPr>
              <w:t xml:space="preserve">; </w:t>
            </w:r>
            <w:hyperlink r:id="rId68">
              <w:r>
                <w:rPr>
                  <w:rFonts w:ascii="Aptos" w:hAnsi="Aptos" w:eastAsia="Aptos" w:cs="Aptos"/>
                  <w:color w:val="145DA0"/>
                  <w:u w:val="single"/>
                  <w:sz w:val="18"/>
                </w:rPr>
                <w:t>De animae procreatione — A29-R120</w:t>
              </w:r>
            </w:hyperlink>
            <w:r>
              <w:rPr>
                <w:rFonts w:ascii="Aptos" w:hAnsi="Aptos" w:eastAsia="Aptos" w:cs="Aptos"/>
                <w:b w:val="0"/>
                <w:i w:val="0"/>
                <w:color w:val="22303C"/>
                <w:sz w:val="17"/>
              </w:rPr>
              <w:t xml:space="preserve"> — central Timaeus commentary</w:t>
            </w:r>
            <w:r>
              <w:rPr>
                <w:rFonts w:ascii="Aptos" w:hAnsi="Aptos" w:eastAsia="Aptos" w:cs="Aptos"/>
                <w:b w:val="0"/>
                <w:i w:val="0"/>
                <w:color w:val="22303C"/>
                <w:sz w:val="17"/>
              </w:rPr>
              <w:t xml:space="preserve">; </w:t>
            </w:r>
            <w:hyperlink r:id="rId69">
              <w:r>
                <w:rPr>
                  <w:rFonts w:ascii="Aptos" w:hAnsi="Aptos" w:eastAsia="Aptos" w:cs="Aptos"/>
                  <w:color w:val="145DA0"/>
                  <w:u w:val="single"/>
                  <w:sz w:val="18"/>
                </w:rPr>
                <w:t>Against Colotes — A29-R122</w:t>
              </w:r>
            </w:hyperlink>
            <w:r>
              <w:rPr>
                <w:rFonts w:ascii="Aptos" w:hAnsi="Aptos" w:eastAsia="Aptos" w:cs="Aptos"/>
                <w:b w:val="0"/>
                <w:i w:val="0"/>
                <w:color w:val="22303C"/>
                <w:sz w:val="17"/>
              </w:rPr>
              <w:t xml:space="preserve"> — anti-Epicurean polemic</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Скачивание / machine-readable</w:t>
            </w:r>
          </w:p>
        </w:tc>
        <w:tc>
          <w:tcPr>
            <w:tcW w:type="dxa" w:w="6860"/>
            <w:vAlign w:val="top"/>
            <w:tcMar>
              <w:top w:w="80" w:type="dxa"/>
              <w:start w:w="90" w:type="dxa"/>
              <w:bottom w:w="80" w:type="dxa"/>
              <w:end w:w="90" w:type="dxa"/>
            </w:tcMar>
            <w:shd w:fill="F4F6F8"/>
          </w:tcPr>
          <w:p>
            <w:pPr>
              <w:spacing w:after="30" w:line="240" w:lineRule="auto"/>
            </w:pPr>
            <w:hyperlink r:id="rId70">
              <w:r>
                <w:rPr>
                  <w:rFonts w:ascii="Aptos" w:hAnsi="Aptos" w:eastAsia="Aptos" w:cs="Aptos"/>
                  <w:color w:val="145DA0"/>
                  <w:u w:val="single"/>
                  <w:sz w:val="18"/>
                </w:rPr>
                <w:t>canonical-greekLit — A29-R130</w:t>
              </w:r>
            </w:hyperlink>
            <w:r>
              <w:rPr>
                <w:rFonts w:ascii="Aptos" w:hAnsi="Aptos" w:eastAsia="Aptos" w:cs="Aptos"/>
                <w:b w:val="0"/>
                <w:i w:val="0"/>
                <w:color w:val="22303C"/>
                <w:sz w:val="17"/>
              </w:rPr>
              <w:t xml:space="preserve"> — many Moralia texts in TEI/XML</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Старый английский перевод</w:t>
            </w:r>
          </w:p>
        </w:tc>
        <w:tc>
          <w:tcPr>
            <w:tcW w:type="dxa" w:w="6860"/>
            <w:vAlign w:val="top"/>
            <w:tcMar>
              <w:top w:w="80" w:type="dxa"/>
              <w:start w:w="90" w:type="dxa"/>
              <w:bottom w:w="80" w:type="dxa"/>
              <w:end w:w="90" w:type="dxa"/>
            </w:tcMar>
          </w:tcPr>
          <w:p>
            <w:pPr>
              <w:spacing w:after="30" w:line="240" w:lineRule="auto"/>
            </w:pPr>
            <w:hyperlink r:id="rId71">
              <w:r>
                <w:rPr>
                  <w:rFonts w:ascii="Aptos" w:hAnsi="Aptos" w:eastAsia="Aptos" w:cs="Aptos"/>
                  <w:color w:val="145DA0"/>
                  <w:u w:val="single"/>
                  <w:sz w:val="18"/>
                </w:rPr>
                <w:t>Project Gutenberg Morals — A29-R127</w:t>
              </w:r>
            </w:hyperlink>
            <w:r>
              <w:rPr>
                <w:rFonts w:ascii="Aptos" w:hAnsi="Aptos" w:eastAsia="Aptos" w:cs="Aptos"/>
                <w:b w:val="0"/>
                <w:i w:val="0"/>
                <w:color w:val="22303C"/>
                <w:sz w:val="17"/>
              </w:rPr>
              <w:t xml:space="preserve"> — selected sections, not complete Moralia</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Современный научный вариант</w:t>
            </w:r>
          </w:p>
        </w:tc>
        <w:tc>
          <w:tcPr>
            <w:tcW w:type="dxa" w:w="6860"/>
            <w:vAlign w:val="top"/>
            <w:tcMar>
              <w:top w:w="80" w:type="dxa"/>
              <w:start w:w="90" w:type="dxa"/>
              <w:bottom w:w="80" w:type="dxa"/>
              <w:end w:w="90" w:type="dxa"/>
            </w:tcMar>
            <w:shd w:fill="F4F6F8"/>
          </w:tcPr>
          <w:p>
            <w:pPr>
              <w:spacing w:after="30" w:line="240" w:lineRule="auto"/>
            </w:pPr>
            <w:hyperlink r:id="rId72">
              <w:r>
                <w:rPr>
                  <w:rFonts w:ascii="Aptos" w:hAnsi="Aptos" w:eastAsia="Aptos" w:cs="Aptos"/>
                  <w:color w:val="145DA0"/>
                  <w:u w:val="single"/>
                  <w:sz w:val="18"/>
                </w:rPr>
                <w:t>Loeb Moralia — A29-R128</w:t>
              </w:r>
            </w:hyperlink>
            <w:r>
              <w:rPr>
                <w:rFonts w:ascii="Aptos" w:hAnsi="Aptos" w:eastAsia="Aptos" w:cs="Aptos"/>
                <w:b w:val="0"/>
                <w:i w:val="0"/>
                <w:color w:val="22303C"/>
                <w:sz w:val="17"/>
              </w:rPr>
              <w:t xml:space="preserve"> — broad bilingual series across multiple volumes</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Русский путь</w:t>
            </w:r>
          </w:p>
        </w:tc>
        <w:tc>
          <w:tcPr>
            <w:tcW w:type="dxa" w:w="6860"/>
            <w:vAlign w:val="top"/>
            <w:tcMar>
              <w:top w:w="80" w:type="dxa"/>
              <w:start w:w="90" w:type="dxa"/>
              <w:bottom w:w="80" w:type="dxa"/>
              <w:end w:w="90" w:type="dxa"/>
            </w:tcMar>
          </w:tcPr>
          <w:p>
            <w:pPr>
              <w:spacing w:after="30" w:line="240" w:lineRule="auto"/>
            </w:pPr>
            <w:hyperlink r:id="rId73">
              <w:r>
                <w:rPr>
                  <w:rFonts w:ascii="Aptos" w:hAnsi="Aptos" w:eastAsia="Aptos" w:cs="Aptos"/>
                  <w:color w:val="145DA0"/>
                  <w:u w:val="single"/>
                  <w:sz w:val="18"/>
                </w:rPr>
                <w:t>ЛитРес Table Talk — A29-R129</w:t>
              </w:r>
            </w:hyperlink>
            <w:r>
              <w:rPr>
                <w:rFonts w:ascii="Aptos" w:hAnsi="Aptos" w:eastAsia="Aptos" w:cs="Aptos"/>
                <w:b w:val="0"/>
                <w:i w:val="0"/>
                <w:color w:val="22303C"/>
                <w:sz w:val="17"/>
              </w:rPr>
              <w:t xml:space="preserve"> — modern licensed Russian edition</w:t>
            </w:r>
          </w:p>
        </w:tc>
      </w:tr>
    </w:tbl>
    <w:p>
      <w:pPr>
        <w:spacing w:after="40"/>
      </w:pPr>
    </w:p>
    <w:p>
      <w:pPr>
        <w:pStyle w:val="Heading2"/>
      </w:pPr>
      <w:r>
        <w:t>3.8. Марк Аврелий</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61"/>
        <w:gridCol w:w="4961"/>
      </w:tblGrid>
      <w:tr>
        <w:trPr>
          <w:cantSplit/>
          <w:tblHeader w:val="true"/>
        </w:trPr>
        <w:tc>
          <w:tcPr>
            <w:tcW w:type="dxa" w:w="2381"/>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Задача</w:t>
            </w:r>
          </w:p>
        </w:tc>
        <w:tc>
          <w:tcPr>
            <w:tcW w:type="dxa" w:w="6860"/>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Лучший найденный путь</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Бесплатный оригинал</w:t>
            </w:r>
          </w:p>
        </w:tc>
        <w:tc>
          <w:tcPr>
            <w:tcW w:type="dxa" w:w="6860"/>
            <w:vAlign w:val="top"/>
            <w:tcMar>
              <w:top w:w="80" w:type="dxa"/>
              <w:start w:w="90" w:type="dxa"/>
              <w:bottom w:w="80" w:type="dxa"/>
              <w:end w:w="90" w:type="dxa"/>
            </w:tcMar>
          </w:tcPr>
          <w:p>
            <w:pPr>
              <w:spacing w:after="30" w:line="240" w:lineRule="auto"/>
            </w:pPr>
            <w:hyperlink r:id="rId74">
              <w:r>
                <w:rPr>
                  <w:rFonts w:ascii="Aptos" w:hAnsi="Aptos" w:eastAsia="Aptos" w:cs="Aptos"/>
                  <w:color w:val="145DA0"/>
                  <w:u w:val="single"/>
                  <w:sz w:val="18"/>
                </w:rPr>
                <w:t>Scaife Greek — A29-R131</w:t>
              </w:r>
            </w:hyperlink>
            <w:r>
              <w:rPr>
                <w:rFonts w:ascii="Aptos" w:hAnsi="Aptos" w:eastAsia="Aptos" w:cs="Aptos"/>
                <w:b w:val="0"/>
                <w:i w:val="0"/>
                <w:color w:val="22303C"/>
                <w:sz w:val="17"/>
              </w:rPr>
              <w:t xml:space="preserve"> — complete twelve-book reader</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Скачивание / machine-readable</w:t>
            </w:r>
          </w:p>
        </w:tc>
        <w:tc>
          <w:tcPr>
            <w:tcW w:type="dxa" w:w="6860"/>
            <w:vAlign w:val="top"/>
            <w:tcMar>
              <w:top w:w="80" w:type="dxa"/>
              <w:start w:w="90" w:type="dxa"/>
              <w:bottom w:w="80" w:type="dxa"/>
              <w:end w:w="90" w:type="dxa"/>
            </w:tcMar>
            <w:shd w:fill="F4F6F8"/>
          </w:tcPr>
          <w:p>
            <w:pPr>
              <w:spacing w:after="30" w:line="240" w:lineRule="auto"/>
            </w:pPr>
            <w:hyperlink r:id="rId75">
              <w:r>
                <w:rPr>
                  <w:rFonts w:ascii="Aptos" w:hAnsi="Aptos" w:eastAsia="Aptos" w:cs="Aptos"/>
                  <w:color w:val="145DA0"/>
                  <w:u w:val="single"/>
                  <w:sz w:val="18"/>
                </w:rPr>
                <w:t>canonical-greekLit — A29-R138</w:t>
              </w:r>
            </w:hyperlink>
            <w:r>
              <w:rPr>
                <w:rFonts w:ascii="Aptos" w:hAnsi="Aptos" w:eastAsia="Aptos" w:cs="Aptos"/>
                <w:b w:val="0"/>
                <w:i w:val="0"/>
                <w:color w:val="22303C"/>
                <w:sz w:val="17"/>
              </w:rPr>
              <w:t xml:space="preserve"> — TEI/XML</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Факсимиле</w:t>
            </w:r>
          </w:p>
        </w:tc>
        <w:tc>
          <w:tcPr>
            <w:tcW w:type="dxa" w:w="6860"/>
            <w:vAlign w:val="top"/>
            <w:tcMar>
              <w:top w:w="80" w:type="dxa"/>
              <w:start w:w="90" w:type="dxa"/>
              <w:bottom w:w="80" w:type="dxa"/>
              <w:end w:w="90" w:type="dxa"/>
            </w:tcMar>
          </w:tcPr>
          <w:p>
            <w:pPr>
              <w:spacing w:after="30" w:line="240" w:lineRule="auto"/>
            </w:pPr>
            <w:hyperlink r:id="rId76">
              <w:r>
                <w:rPr>
                  <w:rFonts w:ascii="Aptos" w:hAnsi="Aptos" w:eastAsia="Aptos" w:cs="Aptos"/>
                  <w:color w:val="145DA0"/>
                  <w:u w:val="single"/>
                  <w:sz w:val="18"/>
                </w:rPr>
                <w:t>Vat.gr.1950.pt.2 — A29-R135</w:t>
              </w:r>
            </w:hyperlink>
            <w:r>
              <w:rPr>
                <w:rFonts w:ascii="Aptos" w:hAnsi="Aptos" w:eastAsia="Aptos" w:cs="Aptos"/>
                <w:b w:val="0"/>
                <w:i w:val="0"/>
                <w:color w:val="22303C"/>
                <w:sz w:val="17"/>
              </w:rPr>
              <w:t xml:space="preserve"> — study/download; image publication by permission</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Старый английский перевод</w:t>
            </w:r>
          </w:p>
        </w:tc>
        <w:tc>
          <w:tcPr>
            <w:tcW w:type="dxa" w:w="6860"/>
            <w:vAlign w:val="top"/>
            <w:tcMar>
              <w:top w:w="80" w:type="dxa"/>
              <w:start w:w="90" w:type="dxa"/>
              <w:bottom w:w="80" w:type="dxa"/>
              <w:end w:w="90" w:type="dxa"/>
            </w:tcMar>
            <w:shd w:fill="F4F6F8"/>
          </w:tcPr>
          <w:p>
            <w:pPr>
              <w:spacing w:after="30" w:line="240" w:lineRule="auto"/>
            </w:pPr>
            <w:hyperlink r:id="rId77">
              <w:r>
                <w:rPr>
                  <w:rFonts w:ascii="Aptos" w:hAnsi="Aptos" w:eastAsia="Aptos" w:cs="Aptos"/>
                  <w:color w:val="145DA0"/>
                  <w:u w:val="single"/>
                  <w:sz w:val="18"/>
                </w:rPr>
                <w:t>Standard Ebooks — A29-R132</w:t>
              </w:r>
            </w:hyperlink>
            <w:r>
              <w:rPr>
                <w:rFonts w:ascii="Aptos" w:hAnsi="Aptos" w:eastAsia="Aptos" w:cs="Aptos"/>
                <w:b w:val="0"/>
                <w:i w:val="0"/>
                <w:color w:val="22303C"/>
                <w:sz w:val="17"/>
              </w:rPr>
              <w:t xml:space="preserve"> — free EPUB/HTML</w:t>
            </w:r>
            <w:r>
              <w:rPr>
                <w:rFonts w:ascii="Aptos" w:hAnsi="Aptos" w:eastAsia="Aptos" w:cs="Aptos"/>
                <w:b w:val="0"/>
                <w:i w:val="0"/>
                <w:color w:val="22303C"/>
                <w:sz w:val="17"/>
              </w:rPr>
              <w:t xml:space="preserve">; </w:t>
            </w:r>
            <w:hyperlink r:id="rId78">
              <w:r>
                <w:rPr>
                  <w:rFonts w:ascii="Aptos" w:hAnsi="Aptos" w:eastAsia="Aptos" w:cs="Aptos"/>
                  <w:color w:val="145DA0"/>
                  <w:u w:val="single"/>
                  <w:sz w:val="18"/>
                </w:rPr>
                <w:t>Project Gutenberg — A29-R133</w:t>
              </w:r>
            </w:hyperlink>
            <w:r>
              <w:rPr>
                <w:rFonts w:ascii="Aptos" w:hAnsi="Aptos" w:eastAsia="Aptos" w:cs="Aptos"/>
                <w:b w:val="0"/>
                <w:i w:val="0"/>
                <w:color w:val="22303C"/>
                <w:sz w:val="17"/>
              </w:rPr>
              <w:t xml:space="preserve"> — alternative free package</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Современный научный вариант</w:t>
            </w:r>
          </w:p>
        </w:tc>
        <w:tc>
          <w:tcPr>
            <w:tcW w:type="dxa" w:w="6860"/>
            <w:vAlign w:val="top"/>
            <w:tcMar>
              <w:top w:w="80" w:type="dxa"/>
              <w:start w:w="90" w:type="dxa"/>
              <w:bottom w:w="80" w:type="dxa"/>
              <w:end w:w="90" w:type="dxa"/>
            </w:tcMar>
          </w:tcPr>
          <w:p>
            <w:pPr>
              <w:spacing w:after="30" w:line="240" w:lineRule="auto"/>
            </w:pPr>
            <w:hyperlink r:id="rId79">
              <w:r>
                <w:rPr>
                  <w:rFonts w:ascii="Aptos" w:hAnsi="Aptos" w:eastAsia="Aptos" w:cs="Aptos"/>
                  <w:color w:val="145DA0"/>
                  <w:u w:val="single"/>
                  <w:sz w:val="18"/>
                </w:rPr>
                <w:t>Loeb 58 — A29-R134</w:t>
              </w:r>
            </w:hyperlink>
            <w:r>
              <w:rPr>
                <w:rFonts w:ascii="Aptos" w:hAnsi="Aptos" w:eastAsia="Aptos" w:cs="Aptos"/>
                <w:b w:val="0"/>
                <w:i w:val="0"/>
                <w:color w:val="22303C"/>
                <w:sz w:val="17"/>
              </w:rPr>
              <w:t xml:space="preserve"> — protected facing-page edition</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Русский путь</w:t>
            </w:r>
          </w:p>
        </w:tc>
        <w:tc>
          <w:tcPr>
            <w:tcW w:type="dxa" w:w="6860"/>
            <w:vAlign w:val="top"/>
            <w:tcMar>
              <w:top w:w="80" w:type="dxa"/>
              <w:start w:w="90" w:type="dxa"/>
              <w:bottom w:w="80" w:type="dxa"/>
              <w:end w:w="90" w:type="dxa"/>
            </w:tcMar>
            <w:shd w:fill="F4F6F8"/>
          </w:tcPr>
          <w:p>
            <w:pPr>
              <w:spacing w:after="30" w:line="240" w:lineRule="auto"/>
            </w:pPr>
            <w:hyperlink r:id="rId80">
              <w:r>
                <w:rPr>
                  <w:rFonts w:ascii="Aptos" w:hAnsi="Aptos" w:eastAsia="Aptos" w:cs="Aptos"/>
                  <w:color w:val="145DA0"/>
                  <w:u w:val="single"/>
                  <w:sz w:val="18"/>
                </w:rPr>
                <w:t>Wikisource Роговин — A29-R136</w:t>
              </w:r>
            </w:hyperlink>
            <w:r>
              <w:rPr>
                <w:rFonts w:ascii="Aptos" w:hAnsi="Aptos" w:eastAsia="Aptos" w:cs="Aptos"/>
                <w:b w:val="0"/>
                <w:i w:val="0"/>
                <w:color w:val="22303C"/>
                <w:sz w:val="17"/>
              </w:rPr>
              <w:t xml:space="preserve"> — free but unproofread and jurisdiction-sensitive</w:t>
            </w:r>
            <w:r>
              <w:rPr>
                <w:rFonts w:ascii="Aptos" w:hAnsi="Aptos" w:eastAsia="Aptos" w:cs="Aptos"/>
                <w:b w:val="0"/>
                <w:i w:val="0"/>
                <w:color w:val="22303C"/>
                <w:sz w:val="17"/>
              </w:rPr>
              <w:t xml:space="preserve">; </w:t>
            </w:r>
            <w:hyperlink r:id="rId81">
              <w:r>
                <w:rPr>
                  <w:rFonts w:ascii="Aptos" w:hAnsi="Aptos" w:eastAsia="Aptos" w:cs="Aptos"/>
                  <w:color w:val="145DA0"/>
                  <w:u w:val="single"/>
                  <w:sz w:val="18"/>
                </w:rPr>
                <w:t>ЛитРес — A29-R137</w:t>
              </w:r>
            </w:hyperlink>
            <w:r>
              <w:rPr>
                <w:rFonts w:ascii="Aptos" w:hAnsi="Aptos" w:eastAsia="Aptos" w:cs="Aptos"/>
                <w:b w:val="0"/>
                <w:i w:val="0"/>
                <w:color w:val="22303C"/>
                <w:sz w:val="17"/>
              </w:rPr>
              <w:t xml:space="preserve"> — licensed preview/purchase</w:t>
            </w:r>
          </w:p>
        </w:tc>
      </w:tr>
    </w:tbl>
    <w:p>
      <w:pPr>
        <w:spacing w:after="40"/>
      </w:pPr>
    </w:p>
    <w:p>
      <w:pPr>
        <w:pStyle w:val="Heading2"/>
      </w:pPr>
      <w:r>
        <w:t>3.9. Предшественники и линии передачи</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61"/>
        <w:gridCol w:w="4961"/>
      </w:tblGrid>
      <w:tr>
        <w:trPr>
          <w:cantSplit/>
          <w:tblHeader w:val="true"/>
        </w:trPr>
        <w:tc>
          <w:tcPr>
            <w:tcW w:type="dxa" w:w="2381"/>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Задача</w:t>
            </w:r>
          </w:p>
        </w:tc>
        <w:tc>
          <w:tcPr>
            <w:tcW w:type="dxa" w:w="6860"/>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7"/>
              </w:rPr>
              <w:t>Лучший найденный путь</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Epicurean antecedent</w:t>
            </w:r>
          </w:p>
        </w:tc>
        <w:tc>
          <w:tcPr>
            <w:tcW w:type="dxa" w:w="6860"/>
            <w:vAlign w:val="top"/>
            <w:tcMar>
              <w:top w:w="80" w:type="dxa"/>
              <w:start w:w="90" w:type="dxa"/>
              <w:bottom w:w="80" w:type="dxa"/>
              <w:end w:w="90" w:type="dxa"/>
            </w:tcMar>
          </w:tcPr>
          <w:p>
            <w:pPr>
              <w:spacing w:after="30" w:line="240" w:lineRule="auto"/>
            </w:pPr>
            <w:hyperlink r:id="rId82">
              <w:r>
                <w:rPr>
                  <w:rFonts w:ascii="Aptos" w:hAnsi="Aptos" w:eastAsia="Aptos" w:cs="Aptos"/>
                  <w:color w:val="145DA0"/>
                  <w:u w:val="single"/>
                  <w:sz w:val="18"/>
                </w:rPr>
                <w:t>Epicurus in Scaife — A29-R140</w:t>
              </w:r>
            </w:hyperlink>
            <w:r>
              <w:rPr>
                <w:rFonts w:ascii="Aptos" w:hAnsi="Aptos" w:eastAsia="Aptos" w:cs="Aptos"/>
                <w:b w:val="0"/>
                <w:i w:val="0"/>
                <w:color w:val="22303C"/>
                <w:sz w:val="17"/>
              </w:rPr>
              <w:t xml:space="preserve"> — direct background for Lucretius and Philodemus</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Platonic antecedent</w:t>
            </w:r>
          </w:p>
        </w:tc>
        <w:tc>
          <w:tcPr>
            <w:tcW w:type="dxa" w:w="6860"/>
            <w:vAlign w:val="top"/>
            <w:tcMar>
              <w:top w:w="80" w:type="dxa"/>
              <w:start w:w="90" w:type="dxa"/>
              <w:bottom w:w="80" w:type="dxa"/>
              <w:end w:w="90" w:type="dxa"/>
            </w:tcMar>
            <w:shd w:fill="F4F6F8"/>
          </w:tcPr>
          <w:p>
            <w:pPr>
              <w:spacing w:after="30" w:line="240" w:lineRule="auto"/>
            </w:pPr>
            <w:hyperlink r:id="rId83">
              <w:r>
                <w:rPr>
                  <w:rFonts w:ascii="Aptos" w:hAnsi="Aptos" w:eastAsia="Aptos" w:cs="Aptos"/>
                  <w:color w:val="145DA0"/>
                  <w:u w:val="single"/>
                  <w:sz w:val="18"/>
                </w:rPr>
                <w:t>Plato Timaeus — A29-R141</w:t>
              </w:r>
            </w:hyperlink>
            <w:r>
              <w:rPr>
                <w:rFonts w:ascii="Aptos" w:hAnsi="Aptos" w:eastAsia="Aptos" w:cs="Aptos"/>
                <w:b w:val="0"/>
                <w:i w:val="0"/>
                <w:color w:val="22303C"/>
                <w:sz w:val="17"/>
              </w:rPr>
              <w:t xml:space="preserve"> — source for Cicero and Plutarch</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Stoic antecedents</w:t>
            </w:r>
          </w:p>
        </w:tc>
        <w:tc>
          <w:tcPr>
            <w:tcW w:type="dxa" w:w="6860"/>
            <w:vAlign w:val="top"/>
            <w:tcMar>
              <w:top w:w="80" w:type="dxa"/>
              <w:start w:w="90" w:type="dxa"/>
              <w:bottom w:w="80" w:type="dxa"/>
              <w:end w:w="90" w:type="dxa"/>
            </w:tcMar>
          </w:tcPr>
          <w:p>
            <w:pPr>
              <w:spacing w:after="30" w:line="240" w:lineRule="auto"/>
            </w:pPr>
            <w:hyperlink r:id="rId84">
              <w:r>
                <w:rPr>
                  <w:rFonts w:ascii="Aptos" w:hAnsi="Aptos" w:eastAsia="Aptos" w:cs="Aptos"/>
                  <w:color w:val="145DA0"/>
                  <w:u w:val="single"/>
                  <w:sz w:val="18"/>
                </w:rPr>
                <w:t>SVF — A29-R144</w:t>
              </w:r>
            </w:hyperlink>
            <w:r>
              <w:rPr>
                <w:rFonts w:ascii="Aptos" w:hAnsi="Aptos" w:eastAsia="Aptos" w:cs="Aptos"/>
                <w:b w:val="0"/>
                <w:i w:val="0"/>
                <w:color w:val="22303C"/>
                <w:sz w:val="17"/>
              </w:rPr>
              <w:t xml:space="preserve"> — fragment collection; modern editor term needs review</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Late antique preservation</w:t>
            </w:r>
          </w:p>
        </w:tc>
        <w:tc>
          <w:tcPr>
            <w:tcW w:type="dxa" w:w="6860"/>
            <w:vAlign w:val="top"/>
            <w:tcMar>
              <w:top w:w="80" w:type="dxa"/>
              <w:start w:w="90" w:type="dxa"/>
              <w:bottom w:w="80" w:type="dxa"/>
              <w:end w:w="90" w:type="dxa"/>
            </w:tcMar>
            <w:shd w:fill="F4F6F8"/>
          </w:tcPr>
          <w:p>
            <w:pPr>
              <w:spacing w:after="30" w:line="240" w:lineRule="auto"/>
            </w:pPr>
            <w:hyperlink r:id="rId85">
              <w:r>
                <w:rPr>
                  <w:rFonts w:ascii="Aptos" w:hAnsi="Aptos" w:eastAsia="Aptos" w:cs="Aptos"/>
                  <w:color w:val="145DA0"/>
                  <w:u w:val="single"/>
                  <w:sz w:val="18"/>
                </w:rPr>
                <w:t>Diogenes Laertius — A29-R143</w:t>
              </w:r>
            </w:hyperlink>
            <w:r>
              <w:rPr>
                <w:rFonts w:ascii="Aptos" w:hAnsi="Aptos" w:eastAsia="Aptos" w:cs="Aptos"/>
                <w:b w:val="0"/>
                <w:i w:val="0"/>
                <w:color w:val="22303C"/>
                <w:sz w:val="17"/>
              </w:rPr>
              <w:t xml:space="preserve"> — preserves Epicurus and testimonia</w:t>
            </w:r>
            <w:r>
              <w:rPr>
                <w:rFonts w:ascii="Aptos" w:hAnsi="Aptos" w:eastAsia="Aptos" w:cs="Aptos"/>
                <w:b w:val="0"/>
                <w:i w:val="0"/>
                <w:color w:val="22303C"/>
                <w:sz w:val="17"/>
              </w:rPr>
              <w:t xml:space="preserve">; </w:t>
            </w:r>
            <w:hyperlink r:id="rId86">
              <w:r>
                <w:rPr>
                  <w:rFonts w:ascii="Aptos" w:hAnsi="Aptos" w:eastAsia="Aptos" w:cs="Aptos"/>
                  <w:color w:val="145DA0"/>
                  <w:u w:val="single"/>
                  <w:sz w:val="18"/>
                </w:rPr>
                <w:t>Stobaeus — A29-R145</w:t>
              </w:r>
            </w:hyperlink>
            <w:r>
              <w:rPr>
                <w:rFonts w:ascii="Aptos" w:hAnsi="Aptos" w:eastAsia="Aptos" w:cs="Aptos"/>
                <w:b w:val="0"/>
                <w:i w:val="0"/>
                <w:color w:val="22303C"/>
                <w:sz w:val="17"/>
              </w:rPr>
              <w:t xml:space="preserve"> — preserves Stoic/Musonian/Epictetan material</w:t>
            </w:r>
          </w:p>
        </w:tc>
      </w:tr>
      <w:tr>
        <w:trPr>
          <w:cantSplit/>
        </w:trPr>
        <w:tc>
          <w:tcPr>
            <w:tcW w:type="dxa" w:w="2381"/>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7"/>
              </w:rPr>
              <w:t>Ciceronian reception</w:t>
            </w:r>
          </w:p>
        </w:tc>
        <w:tc>
          <w:tcPr>
            <w:tcW w:type="dxa" w:w="6860"/>
            <w:vAlign w:val="top"/>
            <w:tcMar>
              <w:top w:w="80" w:type="dxa"/>
              <w:start w:w="90" w:type="dxa"/>
              <w:bottom w:w="80" w:type="dxa"/>
              <w:end w:w="90" w:type="dxa"/>
            </w:tcMar>
          </w:tcPr>
          <w:p>
            <w:pPr>
              <w:spacing w:after="30" w:line="240" w:lineRule="auto"/>
            </w:pPr>
            <w:hyperlink r:id="rId87">
              <w:r>
                <w:rPr>
                  <w:rFonts w:ascii="Aptos" w:hAnsi="Aptos" w:eastAsia="Aptos" w:cs="Aptos"/>
                  <w:color w:val="145DA0"/>
                  <w:u w:val="single"/>
                  <w:sz w:val="18"/>
                </w:rPr>
                <w:t>Macrobius 1492 — A29-R146</w:t>
              </w:r>
            </w:hyperlink>
            <w:r>
              <w:rPr>
                <w:rFonts w:ascii="Aptos" w:hAnsi="Aptos" w:eastAsia="Aptos" w:cs="Aptos"/>
                <w:b w:val="0"/>
                <w:i w:val="0"/>
                <w:color w:val="22303C"/>
                <w:sz w:val="17"/>
              </w:rPr>
              <w:t xml:space="preserve"> — Latin facsimile of the commentary on Somnium Scipionis</w:t>
            </w:r>
            <w:r>
              <w:rPr>
                <w:rFonts w:ascii="Aptos" w:hAnsi="Aptos" w:eastAsia="Aptos" w:cs="Aptos"/>
                <w:b w:val="0"/>
                <w:i w:val="0"/>
                <w:color w:val="22303C"/>
                <w:sz w:val="17"/>
              </w:rPr>
              <w:t xml:space="preserve">; </w:t>
            </w:r>
            <w:hyperlink r:id="rId88">
              <w:r>
                <w:rPr>
                  <w:rFonts w:ascii="Aptos" w:hAnsi="Aptos" w:eastAsia="Aptos" w:cs="Aptos"/>
                  <w:color w:val="145DA0"/>
                  <w:u w:val="single"/>
                  <w:sz w:val="18"/>
                </w:rPr>
                <w:t>Ambrose De officiis — A29-R149</w:t>
              </w:r>
            </w:hyperlink>
            <w:r>
              <w:rPr>
                <w:rFonts w:ascii="Aptos" w:hAnsi="Aptos" w:eastAsia="Aptos" w:cs="Aptos"/>
                <w:b w:val="0"/>
                <w:i w:val="0"/>
                <w:color w:val="22303C"/>
                <w:sz w:val="17"/>
              </w:rPr>
              <w:t xml:space="preserve"> — Christian adaptation of Cicero</w:t>
            </w:r>
            <w:r>
              <w:rPr>
                <w:rFonts w:ascii="Aptos" w:hAnsi="Aptos" w:eastAsia="Aptos" w:cs="Aptos"/>
                <w:b w:val="0"/>
                <w:i w:val="0"/>
                <w:color w:val="22303C"/>
                <w:sz w:val="17"/>
              </w:rPr>
              <w:t xml:space="preserve">; </w:t>
            </w:r>
            <w:hyperlink r:id="rId89">
              <w:r>
                <w:rPr>
                  <w:rFonts w:ascii="Aptos" w:hAnsi="Aptos" w:eastAsia="Aptos" w:cs="Aptos"/>
                  <w:color w:val="145DA0"/>
                  <w:u w:val="single"/>
                  <w:sz w:val="18"/>
                </w:rPr>
                <w:t>Augustine Contra Academicos — A29-R150</w:t>
              </w:r>
            </w:hyperlink>
            <w:r>
              <w:rPr>
                <w:rFonts w:ascii="Aptos" w:hAnsi="Aptos" w:eastAsia="Aptos" w:cs="Aptos"/>
                <w:b w:val="0"/>
                <w:i w:val="0"/>
                <w:color w:val="22303C"/>
                <w:sz w:val="17"/>
              </w:rPr>
              <w:t xml:space="preserve"> — continuation of Academic-skeptical debate</w:t>
            </w:r>
          </w:p>
        </w:tc>
      </w:tr>
      <w:tr>
        <w:trPr>
          <w:cantSplit/>
        </w:trPr>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7"/>
              </w:rPr>
              <w:t>Stoic reception</w:t>
            </w:r>
          </w:p>
        </w:tc>
        <w:tc>
          <w:tcPr>
            <w:tcW w:type="dxa" w:w="6860"/>
            <w:vAlign w:val="top"/>
            <w:tcMar>
              <w:top w:w="80" w:type="dxa"/>
              <w:start w:w="90" w:type="dxa"/>
              <w:bottom w:w="80" w:type="dxa"/>
              <w:end w:w="90" w:type="dxa"/>
            </w:tcMar>
            <w:shd w:fill="F4F6F8"/>
          </w:tcPr>
          <w:p>
            <w:pPr>
              <w:spacing w:after="30" w:line="240" w:lineRule="auto"/>
            </w:pPr>
            <w:hyperlink r:id="rId90">
              <w:r>
                <w:rPr>
                  <w:rFonts w:ascii="Aptos" w:hAnsi="Aptos" w:eastAsia="Aptos" w:cs="Aptos"/>
                  <w:color w:val="145DA0"/>
                  <w:u w:val="single"/>
                  <w:sz w:val="18"/>
                </w:rPr>
                <w:t>Paul–Seneca e-Clavis — A29-R151</w:t>
              </w:r>
            </w:hyperlink>
            <w:r>
              <w:rPr>
                <w:rFonts w:ascii="Aptos" w:hAnsi="Aptos" w:eastAsia="Aptos" w:cs="Aptos"/>
                <w:b w:val="0"/>
                <w:i w:val="0"/>
                <w:color w:val="22303C"/>
                <w:sz w:val="17"/>
              </w:rPr>
              <w:t xml:space="preserve"> — identifies the pseudepigraphic reception</w:t>
            </w:r>
            <w:r>
              <w:rPr>
                <w:rFonts w:ascii="Aptos" w:hAnsi="Aptos" w:eastAsia="Aptos" w:cs="Aptos"/>
                <w:b w:val="0"/>
                <w:i w:val="0"/>
                <w:color w:val="22303C"/>
                <w:sz w:val="17"/>
              </w:rPr>
              <w:t xml:space="preserve">; </w:t>
            </w:r>
            <w:hyperlink r:id="rId91">
              <w:r>
                <w:rPr>
                  <w:rFonts w:ascii="Aptos" w:hAnsi="Aptos" w:eastAsia="Aptos" w:cs="Aptos"/>
                  <w:color w:val="145DA0"/>
                  <w:u w:val="single"/>
                  <w:sz w:val="18"/>
                </w:rPr>
                <w:t>Lipsius De constantia — A29-R153</w:t>
              </w:r>
            </w:hyperlink>
            <w:r>
              <w:rPr>
                <w:rFonts w:ascii="Aptos" w:hAnsi="Aptos" w:eastAsia="Aptos" w:cs="Aptos"/>
                <w:b w:val="0"/>
                <w:i w:val="0"/>
                <w:color w:val="22303C"/>
                <w:sz w:val="17"/>
              </w:rPr>
              <w:t xml:space="preserve"> — early modern Neo-Stoicism</w:t>
            </w:r>
          </w:p>
        </w:tc>
      </w:tr>
    </w:tbl>
    <w:p>
      <w:pPr>
        <w:spacing w:after="40"/>
      </w:pPr>
    </w:p>
    <w:p>
      <w:pPr>
        <w:pStyle w:val="Heading1"/>
      </w:pPr>
      <w:r>
        <w:t>4. Карта прав и практического использования</w:t>
      </w:r>
    </w:p>
    <w:p>
      <w:pPr>
        <w:jc w:val="both"/>
      </w:pPr>
      <w:r>
        <w:rPr>
          <w:rFonts w:ascii="Aptos" w:hAnsi="Aptos" w:eastAsia="Aptos" w:cs="Aptos"/>
          <w:b w:val="0"/>
          <w:i w:val="0"/>
          <w:color w:val="22303C"/>
          <w:sz w:val="19"/>
        </w:rPr>
        <w:t>Все рекомендации ниже ограничены полями rights_scope и coverage каждой строки. Наличие тега RIGHTS_REVIEW_REQUIRED в 129 строках означает не бесполезность ссылки, а запрет автоматически расширять локальное или компонентное разрешение на весь корпус, все изображения, переводы и действия ToS.</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2480"/>
        <w:gridCol w:w="2480"/>
        <w:gridCol w:w="2480"/>
        <w:gridCol w:w="2480"/>
      </w:tblGrid>
      <w:tr>
        <w:trPr>
          <w:cantSplit/>
          <w:tblHeader w:val="true"/>
        </w:trPr>
        <w:tc>
          <w:tcPr>
            <w:tcW w:type="dxa" w:w="1927"/>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6"/>
              </w:rPr>
              <w:t>Группа</w:t>
            </w:r>
          </w:p>
        </w:tc>
        <w:tc>
          <w:tcPr>
            <w:tcW w:type="dxa" w:w="2268"/>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6"/>
              </w:rPr>
              <w:t>Правовой слой</w:t>
            </w:r>
          </w:p>
        </w:tc>
        <w:tc>
          <w:tcPr>
            <w:tcW w:type="dxa" w:w="2664"/>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6"/>
              </w:rPr>
              <w:t>Допустимое для ToS</w:t>
            </w:r>
          </w:p>
        </w:tc>
        <w:tc>
          <w:tcPr>
            <w:tcW w:type="dxa" w:w="2381"/>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6"/>
              </w:rPr>
              <w:t>Ключевое ограничение</w:t>
            </w:r>
          </w:p>
        </w:tc>
      </w:tr>
      <w:tr>
        <w:trPr>
          <w:cantSplit/>
        </w:trPr>
        <w:tc>
          <w:tcPr>
            <w:tcW w:type="dxa" w:w="1927"/>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PerseusDL canonical repositories</w:t>
            </w:r>
          </w:p>
        </w:tc>
        <w:tc>
          <w:tcPr>
            <w:tcW w:type="dxa" w:w="226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Default CC BY-SA 4.0 unless otherwise indicated.</w:t>
            </w:r>
          </w:p>
        </w:tc>
        <w:tc>
          <w:tcPr>
            <w:tcW w:type="dxa" w:w="2664"/>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Download, local copy, attributed mirror, full-text index, embeddings, own translation from clean original files.</w:t>
            </w:r>
          </w:p>
        </w:tc>
        <w:tc>
          <w:tcPr>
            <w:tcW w:type="dxa" w:w="2381"/>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File-level exceptions; ShareAlike; modern source edition must be identified.</w:t>
            </w:r>
          </w:p>
        </w:tc>
      </w:tr>
      <w:tr>
        <w:trPr>
          <w:cantSplit/>
        </w:trPr>
        <w:tc>
          <w:tcPr>
            <w:tcW w:type="dxa" w:w="1927"/>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DCLP / Papyri.info data</w:t>
            </w:r>
          </w:p>
        </w:tc>
        <w:tc>
          <w:tcPr>
            <w:tcW w:type="dxa" w:w="226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CC BY 3.0 for IDP/DCLP data.</w:t>
            </w:r>
          </w:p>
        </w:tc>
        <w:tc>
          <w:tcPr>
            <w:tcW w:type="dxa" w:w="2664"/>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Attributed mirror, indexing, embeddings, translation of surviving Greek fragments.</w:t>
            </w:r>
          </w:p>
        </w:tc>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License does not automatically cover manuscript images; modern restorations must be marked.</w:t>
            </w:r>
          </w:p>
        </w:tc>
      </w:tr>
      <w:tr>
        <w:trPr>
          <w:cantSplit/>
        </w:trPr>
        <w:tc>
          <w:tcPr>
            <w:tcW w:type="dxa" w:w="1927"/>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Vesuvius Challenge data</w:t>
            </w:r>
          </w:p>
        </w:tc>
        <w:tc>
          <w:tcPr>
            <w:tcW w:type="dxa" w:w="226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CC BY-NC 4.0 by default; asset exceptions.</w:t>
            </w:r>
          </w:p>
        </w:tc>
        <w:tc>
          <w:tcPr>
            <w:tcW w:type="dxa" w:w="2664"/>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Noncommercial mirror and computation with attribution.</w:t>
            </w:r>
          </w:p>
        </w:tc>
        <w:tc>
          <w:tcPr>
            <w:tcW w:type="dxa" w:w="2381"/>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Only named scan/segmentation assets; some legacy data have EduceLab-specific terms.</w:t>
            </w:r>
          </w:p>
        </w:tc>
      </w:tr>
      <w:tr>
        <w:trPr>
          <w:cantSplit/>
        </w:trPr>
        <w:tc>
          <w:tcPr>
            <w:tcW w:type="dxa" w:w="1927"/>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Leiden manuscript items</w:t>
            </w:r>
          </w:p>
        </w:tc>
        <w:tc>
          <w:tcPr>
            <w:tcW w:type="dxa" w:w="226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Item-level Public Domain statement.</w:t>
            </w:r>
          </w:p>
        </w:tc>
        <w:tc>
          <w:tcPr>
            <w:tcW w:type="dxa" w:w="2664"/>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Mirror, OCR, indexing, embeddings, translation of the single witness.</w:t>
            </w:r>
          </w:p>
        </w:tc>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Coverage is one manuscript; do not infer completeness of the work or corpus.</w:t>
            </w:r>
          </w:p>
        </w:tc>
      </w:tr>
      <w:tr>
        <w:trPr>
          <w:cantSplit/>
        </w:trPr>
        <w:tc>
          <w:tcPr>
            <w:tcW w:type="dxa" w:w="1927"/>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Standard Ebooks</w:t>
            </w:r>
          </w:p>
        </w:tc>
        <w:tc>
          <w:tcPr>
            <w:tcW w:type="dxa" w:w="226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CC0 for project production; underlying source public-domain analysis is U.S.-centred.</w:t>
            </w:r>
          </w:p>
        </w:tc>
        <w:tc>
          <w:tcPr>
            <w:tcW w:type="dxa" w:w="2664"/>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Read, download, index and potentially mirror where the source is public domain locally.</w:t>
            </w:r>
          </w:p>
        </w:tc>
        <w:tc>
          <w:tcPr>
            <w:tcW w:type="dxa" w:w="2381"/>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Recheck translator/editor term in Mexico and other jurisdictions.</w:t>
            </w:r>
          </w:p>
        </w:tc>
      </w:tr>
      <w:tr>
        <w:trPr>
          <w:cantSplit/>
        </w:trPr>
        <w:tc>
          <w:tcPr>
            <w:tcW w:type="dxa" w:w="1927"/>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Project Gutenberg</w:t>
            </w:r>
          </w:p>
        </w:tc>
        <w:tc>
          <w:tcPr>
            <w:tcW w:type="dxa" w:w="226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Project Gutenberg License; U.S. public-domain determination.</w:t>
            </w:r>
          </w:p>
        </w:tc>
        <w:tc>
          <w:tcPr>
            <w:tcW w:type="dxa" w:w="2664"/>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Read/download and conditional redistribution.</w:t>
            </w:r>
          </w:p>
        </w:tc>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Trademark/header terms and local public-domain status.</w:t>
            </w:r>
          </w:p>
        </w:tc>
      </w:tr>
      <w:tr>
        <w:trPr>
          <w:cantSplit/>
        </w:trPr>
        <w:tc>
          <w:tcPr>
            <w:tcW w:type="dxa" w:w="1927"/>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PHI Latin / TLG / LLT</w:t>
            </w:r>
          </w:p>
        </w:tc>
        <w:tc>
          <w:tcPr>
            <w:tcW w:type="dxa" w:w="226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Free or licensed scholarly access without open bulk license.</w:t>
            </w:r>
          </w:p>
        </w:tc>
        <w:tc>
          <w:tcPr>
            <w:tcW w:type="dxa" w:w="2664"/>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Link, read, institutional use, manual research.</w:t>
            </w:r>
          </w:p>
        </w:tc>
        <w:tc>
          <w:tcPr>
            <w:tcW w:type="dxa" w:w="2381"/>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Do not bulk copy, mirror or publish embeddings from the proprietary database layer.</w:t>
            </w:r>
          </w:p>
        </w:tc>
      </w:tr>
      <w:tr>
        <w:trPr>
          <w:cantSplit/>
        </w:trPr>
        <w:tc>
          <w:tcPr>
            <w:tcW w:type="dxa" w:w="1927"/>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Scaife item pages</w:t>
            </w:r>
          </w:p>
        </w:tc>
        <w:tc>
          <w:tcPr>
            <w:tcW w:type="dxa" w:w="226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Open reading; underlying files have mixed rights.</w:t>
            </w:r>
          </w:p>
        </w:tc>
        <w:tc>
          <w:tcPr>
            <w:tcW w:type="dxa" w:w="2664"/>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Link and read; local research; translation only where file-level license is clean.</w:t>
            </w:r>
          </w:p>
        </w:tc>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The portal-level default is not proof for every edition/translation.</w:t>
            </w:r>
          </w:p>
        </w:tc>
      </w:tr>
      <w:tr>
        <w:trPr>
          <w:cantSplit/>
        </w:trPr>
        <w:tc>
          <w:tcPr>
            <w:tcW w:type="dxa" w:w="1927"/>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Vatican, НЭБ, uncertain Internet Archive scans</w:t>
            </w:r>
          </w:p>
        </w:tc>
        <w:tc>
          <w:tcPr>
            <w:tcW w:type="dxa" w:w="226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Free study access or item availability; scan reuse not uniformly licensed.</w:t>
            </w:r>
          </w:p>
        </w:tc>
        <w:tc>
          <w:tcPr>
            <w:tcW w:type="dxa" w:w="2664"/>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Link, read, download/local research where offered.</w:t>
            </w:r>
          </w:p>
        </w:tc>
        <w:tc>
          <w:tcPr>
            <w:tcW w:type="dxa" w:w="2381"/>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Public online republication of images requires permission or manual review.</w:t>
            </w:r>
          </w:p>
        </w:tc>
      </w:tr>
      <w:tr>
        <w:trPr>
          <w:cantSplit/>
        </w:trPr>
        <w:tc>
          <w:tcPr>
            <w:tcW w:type="dxa" w:w="1927"/>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OUP, Loeb, Brill, Yale, Bloomsbury, De Gruyter, LitRes</w:t>
            </w:r>
          </w:p>
        </w:tc>
        <w:tc>
          <w:tcPr>
            <w:tcW w:type="dxa" w:w="226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Modern protected editions and translations.</w:t>
            </w:r>
          </w:p>
        </w:tc>
        <w:tc>
          <w:tcPr>
            <w:tcW w:type="dxa" w:w="2664"/>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Link, preview, buy, borrow, licensed institutional reading.</w:t>
            </w:r>
          </w:p>
        </w:tc>
        <w:tc>
          <w:tcPr>
            <w:tcW w:type="dxa" w:w="2381"/>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No mirroring, public OCR, full-text indexing or derivative redistribution without permission.</w:t>
            </w:r>
          </w:p>
        </w:tc>
      </w:tr>
    </w:tbl>
    <w:p>
      <w:pPr>
        <w:pStyle w:val="Heading2"/>
      </w:pPr>
      <w:r>
        <w:t>4.1. Что потенциально можно зеркалировать</w:t>
      </w:r>
    </w:p>
    <w:p>
      <w:pPr>
        <w:pStyle w:val="ListBullet"/>
        <w:spacing w:after="40"/>
        <w:ind w:left="255" w:hanging="142"/>
      </w:pPr>
      <w:r>
        <w:rPr>
          <w:rFonts w:ascii="Aptos" w:hAnsi="Aptos" w:eastAsia="Aptos" w:cs="Aptos"/>
          <w:b w:val="0"/>
          <w:i w:val="0"/>
          <w:color w:val="22303C"/>
          <w:sz w:val="19"/>
        </w:rPr>
        <w:t>Файлы canonical-latinLit и canonical-greekLit, но только там, где конкретный файл действительно подпадает под default CC BY-SA 4.0: требуется атрибуция, сохранение лицензии и ShareAlike.</w:t>
      </w:r>
    </w:p>
    <w:p>
      <w:pPr>
        <w:pStyle w:val="ListBullet"/>
        <w:spacing w:after="40"/>
        <w:ind w:left="255" w:hanging="142"/>
      </w:pPr>
      <w:r>
        <w:rPr>
          <w:rFonts w:ascii="Aptos" w:hAnsi="Aptos" w:eastAsia="Aptos" w:cs="Aptos"/>
          <w:b w:val="0"/>
          <w:i w:val="0"/>
          <w:color w:val="22303C"/>
          <w:sz w:val="19"/>
        </w:rPr>
        <w:t>DCLP/IDP text-and-metadata data under CC BY 3.0: attribution is required; linked papyrus images remain outside this permission.</w:t>
      </w:r>
    </w:p>
    <w:p>
      <w:pPr>
        <w:pStyle w:val="ListBullet"/>
        <w:spacing w:after="40"/>
        <w:ind w:left="255" w:hanging="142"/>
      </w:pPr>
      <w:r>
        <w:rPr>
          <w:rFonts w:ascii="Aptos" w:hAnsi="Aptos" w:eastAsia="Aptos" w:cs="Aptos"/>
          <w:b w:val="0"/>
          <w:i w:val="0"/>
          <w:color w:val="22303C"/>
          <w:sz w:val="19"/>
        </w:rPr>
        <w:t>Vesuvius Challenge assets under CC BY-NC 4.0: only noncommercially, with attribution, and only after checking the named asset for exceptions.</w:t>
      </w:r>
    </w:p>
    <w:p>
      <w:pPr>
        <w:pStyle w:val="ListBullet"/>
        <w:spacing w:after="40"/>
        <w:ind w:left="255" w:hanging="142"/>
      </w:pPr>
      <w:r>
        <w:rPr>
          <w:rFonts w:ascii="Aptos" w:hAnsi="Aptos" w:eastAsia="Aptos" w:cs="Aptos"/>
          <w:b w:val="0"/>
          <w:i w:val="0"/>
          <w:color w:val="22303C"/>
          <w:sz w:val="19"/>
        </w:rPr>
        <w:t>Leiden public-domain manuscript images for VLF 84, VLF 30 and VLQ 94: strong item-level basis, limited to those witnesses.</w:t>
      </w:r>
    </w:p>
    <w:p>
      <w:pPr>
        <w:pStyle w:val="ListBullet"/>
        <w:spacing w:after="40"/>
        <w:ind w:left="255" w:hanging="142"/>
      </w:pPr>
      <w:r>
        <w:rPr>
          <w:rFonts w:ascii="Aptos" w:hAnsi="Aptos" w:eastAsia="Aptos" w:cs="Aptos"/>
          <w:b w:val="0"/>
          <w:i w:val="0"/>
          <w:color w:val="22303C"/>
          <w:sz w:val="19"/>
        </w:rPr>
        <w:t>Standard Ebooks and Project Gutenberg packages only in jurisdictions where the underlying edition/translation is public domain and with platform conditions retained.</w:t>
      </w:r>
    </w:p>
    <w:p>
      <w:pPr>
        <w:pStyle w:val="Heading2"/>
      </w:pPr>
      <w:r>
        <w:t>4.2. Что остается link-only, borrow, preview или purchase</w:t>
      </w:r>
    </w:p>
    <w:p>
      <w:pPr>
        <w:pStyle w:val="ListBullet"/>
        <w:spacing w:after="40"/>
        <w:ind w:left="255" w:hanging="142"/>
      </w:pPr>
      <w:r>
        <w:rPr>
          <w:rFonts w:ascii="Aptos" w:hAnsi="Aptos" w:eastAsia="Aptos" w:cs="Aptos"/>
          <w:b w:val="0"/>
          <w:i w:val="0"/>
          <w:color w:val="22303C"/>
          <w:sz w:val="19"/>
        </w:rPr>
        <w:t>PHI Latin is free to read but does not license bulk extraction or republication.</w:t>
      </w:r>
    </w:p>
    <w:p>
      <w:pPr>
        <w:pStyle w:val="ListBullet"/>
        <w:spacing w:after="40"/>
        <w:ind w:left="255" w:hanging="142"/>
      </w:pPr>
      <w:r>
        <w:rPr>
          <w:rFonts w:ascii="Aptos" w:hAnsi="Aptos" w:eastAsia="Aptos" w:cs="Aptos"/>
          <w:b w:val="0"/>
          <w:i w:val="0"/>
          <w:color w:val="22303C"/>
          <w:sz w:val="19"/>
        </w:rPr>
        <w:t>TLG and LLT are licensed scholarly databases; Loeb is subscription/print access.</w:t>
      </w:r>
    </w:p>
    <w:p>
      <w:pPr>
        <w:pStyle w:val="ListBullet"/>
        <w:spacing w:after="40"/>
        <w:ind w:left="255" w:hanging="142"/>
      </w:pPr>
      <w:r>
        <w:rPr>
          <w:rFonts w:ascii="Aptos" w:hAnsi="Aptos" w:eastAsia="Aptos" w:cs="Aptos"/>
          <w:b w:val="0"/>
          <w:i w:val="0"/>
          <w:color w:val="22303C"/>
          <w:sz w:val="19"/>
        </w:rPr>
        <w:t>Modern OCT/Teubner/OUP/Brill/Yale/Bloomsbury editions are the strongest scholarly routes for several texts, but are protected.</w:t>
      </w:r>
    </w:p>
    <w:p>
      <w:pPr>
        <w:pStyle w:val="ListBullet"/>
        <w:spacing w:after="40"/>
        <w:ind w:left="255" w:hanging="142"/>
      </w:pPr>
      <w:r>
        <w:rPr>
          <w:rFonts w:ascii="Aptos" w:hAnsi="Aptos" w:eastAsia="Aptos" w:cs="Aptos"/>
          <w:b w:val="0"/>
          <w:i w:val="0"/>
          <w:color w:val="22303C"/>
          <w:sz w:val="19"/>
        </w:rPr>
        <w:t>Vatican and NЭБ scans are excellent research witnesses, yet public image redistribution is not established by free access alone.</w:t>
      </w:r>
    </w:p>
    <w:p>
      <w:pPr>
        <w:pStyle w:val="ListBullet"/>
        <w:spacing w:after="40"/>
        <w:ind w:left="255" w:hanging="142"/>
      </w:pPr>
      <w:r>
        <w:rPr>
          <w:rFonts w:ascii="Aptos" w:hAnsi="Aptos" w:eastAsia="Aptos" w:cs="Aptos"/>
          <w:b w:val="0"/>
          <w:i w:val="0"/>
          <w:color w:val="22303C"/>
          <w:sz w:val="19"/>
        </w:rPr>
        <w:t>LitRes provides legal Russian preview/purchase access; the modern translations and editorial layers are protected.</w:t>
      </w:r>
    </w:p>
    <w:p>
      <w:pPr>
        <w:pStyle w:val="Heading2"/>
      </w:pPr>
      <w:r>
        <w:t>4.3. Основа для собственного перевода ToS</w:t>
      </w:r>
    </w:p>
    <w:p>
      <w:pPr>
        <w:jc w:val="both"/>
      </w:pPr>
      <w:r>
        <w:rPr>
          <w:rFonts w:ascii="Aptos" w:hAnsi="Aptos" w:eastAsia="Aptos" w:cs="Aptos"/>
          <w:b w:val="0"/>
          <w:i w:val="0"/>
          <w:color w:val="22303C"/>
          <w:sz w:val="19"/>
        </w:rPr>
        <w:t>Безусловно обещать OWN_TRANSLATION_POSSIBLE для всего корпуса нельзя. Чистейшие основы в этом пакете — item-level public-domain facsimiles Leiden; открытые original-language TEI files после file-level audit; DCLP Greek transcription data for the surviving fragment; Vesuvius scans for the recovered text under noncommercial terms; old original-language facsimiles where editor/reconstruction rights have expired. PHI, TLG, LLT, Loeb and modern critical editions may be consulted, but не должны становиться единственной защищенной основой распространяемого перевода. Для папирусов перевод должен четко отделять читаемые буквы, lacunae, bracketed supplements и modern reconstruction.</w:t>
      </w:r>
    </w:p>
    <w:p>
      <w:pPr>
        <w:pStyle w:val="Heading1"/>
      </w:pPr>
      <w:r>
        <w:t>5. Характерные правовые тонкости</w:t>
      </w:r>
    </w:p>
    <w:p>
      <w:pPr>
        <w:spacing w:after="80"/>
      </w:pPr>
      <w:r>
        <w:rPr>
          <w:rFonts w:ascii="Aptos" w:hAnsi="Aptos" w:eastAsia="Aptos" w:cs="Aptos"/>
          <w:b/>
          <w:i w:val="0"/>
          <w:color w:val="17324D"/>
          <w:sz w:val="19"/>
        </w:rPr>
        <w:t xml:space="preserve">1. Древний оригинал и современная версия. </w:t>
      </w:r>
      <w:r>
        <w:rPr>
          <w:rFonts w:ascii="Aptos" w:hAnsi="Aptos" w:eastAsia="Aptos" w:cs="Aptos"/>
          <w:b w:val="0"/>
          <w:i w:val="0"/>
          <w:color w:val="22303C"/>
          <w:sz w:val="19"/>
        </w:rPr>
        <w:t>Цицерон, Сенека, Плутарх и Марк Аврелий находятся в общественном достоянии как древние произведения, но modern critical text, translation, apparatus, encoding and scan могут быть самостоятельными охраняемыми объектами.</w:t>
      </w:r>
    </w:p>
    <w:p>
      <w:pPr>
        <w:spacing w:after="80"/>
      </w:pPr>
      <w:r>
        <w:rPr>
          <w:rFonts w:ascii="Aptos" w:hAnsi="Aptos" w:eastAsia="Aptos" w:cs="Aptos"/>
          <w:b/>
          <w:i w:val="0"/>
          <w:color w:val="17324D"/>
          <w:sz w:val="19"/>
        </w:rPr>
        <w:t xml:space="preserve">2. Public Domain Mark не является лицензией. </w:t>
      </w:r>
      <w:r>
        <w:rPr>
          <w:rFonts w:ascii="Aptos" w:hAnsi="Aptos" w:eastAsia="Aptos" w:cs="Aptos"/>
          <w:b w:val="0"/>
          <w:i w:val="0"/>
          <w:color w:val="22303C"/>
          <w:sz w:val="19"/>
        </w:rPr>
        <w:t>Item-level отметка Public Domain — сильное свидетельство статуса объекта, но она не превращает соседние компоненты сайта в свободные. В реестре это особенно важно для Leiden, Internet Archive и библиотечных сканов.</w:t>
      </w:r>
    </w:p>
    <w:p>
      <w:pPr>
        <w:spacing w:after="80"/>
      </w:pPr>
      <w:r>
        <w:rPr>
          <w:rFonts w:ascii="Aptos" w:hAnsi="Aptos" w:eastAsia="Aptos" w:cs="Aptos"/>
          <w:b/>
          <w:i w:val="0"/>
          <w:color w:val="17324D"/>
          <w:sz w:val="19"/>
        </w:rPr>
        <w:t xml:space="preserve">3. Юрисдикция США не равна Мексике. </w:t>
      </w:r>
      <w:r>
        <w:rPr>
          <w:rFonts w:ascii="Aptos" w:hAnsi="Aptos" w:eastAsia="Aptos" w:cs="Aptos"/>
          <w:b w:val="0"/>
          <w:i w:val="0"/>
          <w:color w:val="22303C"/>
          <w:sz w:val="19"/>
        </w:rPr>
        <w:t>Project Gutenberg и Standard Ebooks исходят главным образом из U.S. public-domain analysis. Для ToS из Мексики приходится отдельно учитывать life-plus-100: Otto Hense (ум. 1931) и S. M. Rogovin (ум. 1938) дают наглядные пограничные случаи.</w:t>
      </w:r>
    </w:p>
    <w:p>
      <w:pPr>
        <w:spacing w:after="80"/>
      </w:pPr>
      <w:r>
        <w:rPr>
          <w:rFonts w:ascii="Aptos" w:hAnsi="Aptos" w:eastAsia="Aptos" w:cs="Aptos"/>
          <w:b/>
          <w:i w:val="0"/>
          <w:color w:val="17324D"/>
          <w:sz w:val="19"/>
        </w:rPr>
        <w:t xml:space="preserve">4. Смешанные права Геркуланума. </w:t>
      </w:r>
      <w:r>
        <w:rPr>
          <w:rFonts w:ascii="Aptos" w:hAnsi="Aptos" w:eastAsia="Aptos" w:cs="Aptos"/>
          <w:b w:val="0"/>
          <w:i w:val="0"/>
          <w:color w:val="22303C"/>
          <w:sz w:val="19"/>
        </w:rPr>
        <w:t>Одна запись может соединять древний свиток, музейное изображение, CT volume, segmentation, machine-recovered ink, modern transcription, restoration and commentary. Лицензия DCLP data не переносится на изображения; лицензия Vesuvius scan не переносится на scholarly edition.</w:t>
      </w:r>
    </w:p>
    <w:p>
      <w:pPr>
        <w:spacing w:after="80"/>
      </w:pPr>
      <w:r>
        <w:rPr>
          <w:rFonts w:ascii="Aptos" w:hAnsi="Aptos" w:eastAsia="Aptos" w:cs="Aptos"/>
          <w:b/>
          <w:i w:val="0"/>
          <w:color w:val="17324D"/>
          <w:sz w:val="19"/>
        </w:rPr>
        <w:t xml:space="preserve">5. Свободное чтение не равно зеркалированию. </w:t>
      </w:r>
      <w:r>
        <w:rPr>
          <w:rFonts w:ascii="Aptos" w:hAnsi="Aptos" w:eastAsia="Aptos" w:cs="Aptos"/>
          <w:b w:val="0"/>
          <w:i w:val="0"/>
          <w:color w:val="22303C"/>
          <w:sz w:val="19"/>
        </w:rPr>
        <w:t>PHI, Scaife, Vatican, НЭБ, New Advent и Augustinus.it дают полезный законный вход, но без item-level reuse permission остаются link/read layers.</w:t>
      </w:r>
    </w:p>
    <w:p>
      <w:pPr>
        <w:spacing w:after="80"/>
      </w:pPr>
      <w:r>
        <w:rPr>
          <w:rFonts w:ascii="Aptos" w:hAnsi="Aptos" w:eastAsia="Aptos" w:cs="Aptos"/>
          <w:b/>
          <w:i w:val="0"/>
          <w:color w:val="17324D"/>
          <w:sz w:val="19"/>
        </w:rPr>
        <w:t xml:space="preserve">6. Фрагмент не равен полному корпусу. </w:t>
      </w:r>
      <w:r>
        <w:rPr>
          <w:rFonts w:ascii="Aptos" w:hAnsi="Aptos" w:eastAsia="Aptos" w:cs="Aptos"/>
          <w:b w:val="0"/>
          <w:i w:val="0"/>
          <w:color w:val="22303C"/>
          <w:sz w:val="19"/>
        </w:rPr>
        <w:t>Полностью открытая DCLP-страница одного PHerc-объекта остается fragment coverage. Четыре сохранившиеся книги Epictetus Discourses — substantial part, а не полный исходный восьмикнижный корпус.</w:t>
      </w:r>
    </w:p>
    <w:p>
      <w:pPr>
        <w:spacing w:after="80"/>
      </w:pPr>
      <w:r>
        <w:rPr>
          <w:rFonts w:ascii="Aptos" w:hAnsi="Aptos" w:eastAsia="Aptos" w:cs="Aptos"/>
          <w:b/>
          <w:i w:val="0"/>
          <w:color w:val="17324D"/>
          <w:sz w:val="19"/>
        </w:rPr>
        <w:t xml:space="preserve">7. Protected source edition and own translation. </w:t>
      </w:r>
      <w:r>
        <w:rPr>
          <w:rFonts w:ascii="Aptos" w:hAnsi="Aptos" w:eastAsia="Aptos" w:cs="Aptos"/>
          <w:b w:val="0"/>
          <w:i w:val="0"/>
          <w:color w:val="22303C"/>
          <w:sz w:val="19"/>
        </w:rPr>
        <w:t>Даже если ToS пишет новый русский перевод, его нельзя автоматически основывать на охраняемой современной реконструкции папируса или на защищенном переводе-посреднике. Нужен чистый original/facsimile/transcription layer.</w:t>
      </w:r>
    </w:p>
    <w:p>
      <w:pPr>
        <w:spacing w:after="80"/>
      </w:pPr>
      <w:r>
        <w:rPr>
          <w:rFonts w:ascii="Aptos" w:hAnsi="Aptos" w:eastAsia="Aptos" w:cs="Aptos"/>
          <w:b/>
          <w:i w:val="0"/>
          <w:color w:val="17324D"/>
          <w:sz w:val="19"/>
        </w:rPr>
        <w:t xml:space="preserve">8. Общая лицензия проекта не покрывает third-party material. </w:t>
      </w:r>
      <w:r>
        <w:rPr>
          <w:rFonts w:ascii="Aptos" w:hAnsi="Aptos" w:eastAsia="Aptos" w:cs="Aptos"/>
          <w:b w:val="0"/>
          <w:i w:val="0"/>
          <w:color w:val="22303C"/>
          <w:sz w:val="19"/>
        </w:rPr>
        <w:t>Repository default notices, open-access labels и MIT licenses на код не распространяются автоматически на вложенные тексты, images or datasets. Поэтому RIGHTS_REVIEW_REQUIRED может сосуществовать с положительным тегом для узкого компонента.</w:t>
      </w:r>
    </w:p>
    <w:p>
      <w:pPr>
        <w:pStyle w:val="Heading1"/>
      </w:pPr>
      <w:r>
        <w:t>6. Пробелы и дальнейший поиск</w:t>
      </w:r>
    </w:p>
    <w:p>
      <w:pPr>
        <w:jc w:val="both"/>
      </w:pPr>
      <w:r>
        <w:rPr>
          <w:rFonts w:ascii="Aptos" w:hAnsi="Aptos" w:eastAsia="Aptos" w:cs="Aptos"/>
          <w:b w:val="0"/>
          <w:i w:val="0"/>
          <w:color w:val="22303C"/>
          <w:sz w:val="19"/>
        </w:rPr>
        <w:t>Лист gaps не является списком случайных пожеланий. Он фиксирует объекты, напрямую связанные с A29, но не получившие достаточного item-level доступа, идентификации или rights evidence. Два кандидата оставлены как unverified_candidate, а не повышены до установленного объекта.</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2480"/>
        <w:gridCol w:w="2480"/>
        <w:gridCol w:w="2480"/>
        <w:gridCol w:w="2480"/>
      </w:tblGrid>
      <w:tr>
        <w:trPr>
          <w:cantSplit/>
          <w:tblHeader w:val="true"/>
        </w:trPr>
        <w:tc>
          <w:tcPr>
            <w:tcW w:type="dxa" w:w="1190"/>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6"/>
              </w:rPr>
              <w:t>Gap ID</w:t>
            </w:r>
          </w:p>
        </w:tc>
        <w:tc>
          <w:tcPr>
            <w:tcW w:type="dxa" w:w="2948"/>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6"/>
              </w:rPr>
              <w:t>Кандидат / пробел</w:t>
            </w:r>
          </w:p>
        </w:tc>
        <w:tc>
          <w:tcPr>
            <w:tcW w:type="dxa" w:w="1984"/>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6"/>
              </w:rPr>
              <w:t>Статус</w:t>
            </w:r>
          </w:p>
        </w:tc>
        <w:tc>
          <w:tcPr>
            <w:tcW w:type="dxa" w:w="3118"/>
            <w:vAlign w:val="top"/>
            <w:tcMar>
              <w:top w:w="80" w:type="dxa"/>
              <w:start w:w="90" w:type="dxa"/>
              <w:bottom w:w="80" w:type="dxa"/>
              <w:end w:w="90" w:type="dxa"/>
            </w:tcMar>
            <w:shd w:fill="17324D"/>
          </w:tcPr>
          <w:p>
            <w:pPr>
              <w:spacing w:after="30" w:line="240" w:lineRule="auto"/>
            </w:pPr>
            <w:r>
              <w:rPr>
                <w:rFonts w:ascii="Aptos" w:hAnsi="Aptos" w:eastAsia="Aptos" w:cs="Aptos"/>
                <w:b/>
                <w:color w:val="FFFFFF"/>
                <w:sz w:val="16"/>
              </w:rPr>
              <w:t>Следующий шаг</w:t>
            </w:r>
          </w:p>
        </w:tc>
      </w:tr>
      <w:tr>
        <w:trPr>
          <w:cantSplit/>
        </w:trPr>
        <w:tc>
          <w:tcPr>
            <w:tcW w:type="dxa" w:w="1190"/>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A29-G001</w:t>
            </w:r>
          </w:p>
        </w:tc>
        <w:tc>
          <w:tcPr>
            <w:tcW w:type="dxa" w:w="294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Cicero, Hortensius</w:t>
            </w:r>
          </w:p>
        </w:tc>
        <w:tc>
          <w:tcPr>
            <w:tcW w:type="dxa" w:w="1984"/>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lost_work_fragments_only</w:t>
            </w:r>
          </w:p>
        </w:tc>
        <w:tc>
          <w:tcPr>
            <w:tcW w:type="dxa" w:w="311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Locate a modern critical fragment edition, then find a public-domain predecessor or openly licensed fragment dataset.</w:t>
            </w:r>
          </w:p>
        </w:tc>
      </w:tr>
      <w:tr>
        <w:trPr>
          <w:cantSplit/>
        </w:trPr>
        <w:tc>
          <w:tcPr>
            <w:tcW w:type="dxa" w:w="1190"/>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A29-G002</w:t>
            </w:r>
          </w:p>
        </w:tc>
        <w:tc>
          <w:tcPr>
            <w:tcW w:type="dxa" w:w="294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Panaetius, Περὶ τοῦ καθήκοντος / On Appropriate Action</w:t>
            </w:r>
          </w:p>
        </w:tc>
        <w:tc>
          <w:tcPr>
            <w:tcW w:type="dxa" w:w="1984"/>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lost_work_testimonia_only</w:t>
            </w:r>
          </w:p>
        </w:tc>
        <w:tc>
          <w:tcPr>
            <w:tcW w:type="dxa" w:w="311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Identify the best legally accessible testimonia edition and separate ancient quotations from modern reconstruction.</w:t>
            </w:r>
          </w:p>
        </w:tc>
      </w:tr>
      <w:tr>
        <w:trPr>
          <w:cantSplit/>
        </w:trPr>
        <w:tc>
          <w:tcPr>
            <w:tcW w:type="dxa" w:w="1190"/>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A29-G003</w:t>
            </w:r>
          </w:p>
        </w:tc>
        <w:tc>
          <w:tcPr>
            <w:tcW w:type="dxa" w:w="294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Philodemus, On Gods, Book VIII / PHerc 139</w:t>
            </w:r>
          </w:p>
        </w:tc>
        <w:tc>
          <w:tcPr>
            <w:tcW w:type="dxa" w:w="1984"/>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newly_identified_text_needs_item_level_access</w:t>
            </w:r>
          </w:p>
        </w:tc>
        <w:tc>
          <w:tcPr>
            <w:tcW w:type="dxa" w:w="311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Find the collection record, scan dataset page, released transcription, and official license for each component.</w:t>
            </w:r>
          </w:p>
        </w:tc>
      </w:tr>
      <w:tr>
        <w:trPr>
          <w:cantSplit/>
        </w:trPr>
        <w:tc>
          <w:tcPr>
            <w:tcW w:type="dxa" w:w="1190"/>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A29-G004</w:t>
            </w:r>
          </w:p>
        </w:tc>
        <w:tc>
          <w:tcPr>
            <w:tcW w:type="dxa" w:w="294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PHerc 1667 and other major Philodemus rolls not yet given dedicated rows</w:t>
            </w:r>
          </w:p>
        </w:tc>
        <w:tc>
          <w:tcPr>
            <w:tcW w:type="dxa" w:w="1984"/>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coverage_gap</w:t>
            </w:r>
          </w:p>
        </w:tc>
        <w:tc>
          <w:tcPr>
            <w:tcW w:type="dxa" w:w="311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Run PHerc-number-by-number search and add item-level DCLP, collection, image, and edition rows.</w:t>
            </w:r>
          </w:p>
        </w:tc>
      </w:tr>
      <w:tr>
        <w:trPr>
          <w:cantSplit/>
        </w:trPr>
        <w:tc>
          <w:tcPr>
            <w:tcW w:type="dxa" w:w="1190"/>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A29-G005</w:t>
            </w:r>
          </w:p>
        </w:tc>
        <w:tc>
          <w:tcPr>
            <w:tcW w:type="dxa" w:w="294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PHerc 1508 attribution</w:t>
            </w:r>
          </w:p>
        </w:tc>
        <w:tc>
          <w:tcPr>
            <w:tcW w:type="dxa" w:w="1984"/>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unverified_candidate</w:t>
            </w:r>
          </w:p>
        </w:tc>
        <w:tc>
          <w:tcPr>
            <w:tcW w:type="dxa" w:w="311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Confirm author/title/witness through DCLP, collection catalogue, or peer-reviewed papyrological edition.</w:t>
            </w:r>
          </w:p>
        </w:tc>
      </w:tr>
      <w:tr>
        <w:trPr>
          <w:cantSplit/>
        </w:trPr>
        <w:tc>
          <w:tcPr>
            <w:tcW w:type="dxa" w:w="1190"/>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A29-G006</w:t>
            </w:r>
          </w:p>
        </w:tc>
        <w:tc>
          <w:tcPr>
            <w:tcW w:type="dxa" w:w="294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Complete openly licensed modern critical Greek edition of Plutarch’s Moralia</w:t>
            </w:r>
          </w:p>
        </w:tc>
        <w:tc>
          <w:tcPr>
            <w:tcW w:type="dxa" w:w="1984"/>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not_found_as_single_clean_package</w:t>
            </w:r>
          </w:p>
        </w:tc>
        <w:tc>
          <w:tcPr>
            <w:tcW w:type="dxa" w:w="311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Audit individual TEI files and search institutional edition projects by Moralia work number.</w:t>
            </w:r>
          </w:p>
        </w:tc>
      </w:tr>
      <w:tr>
        <w:trPr>
          <w:cantSplit/>
        </w:trPr>
        <w:tc>
          <w:tcPr>
            <w:tcW w:type="dxa" w:w="1190"/>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A29-G007</w:t>
            </w:r>
          </w:p>
        </w:tc>
        <w:tc>
          <w:tcPr>
            <w:tcW w:type="dxa" w:w="294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Marcus Aurelius manuscript tradition beyond Vat.gr.1950.pt.2</w:t>
            </w:r>
          </w:p>
        </w:tc>
        <w:tc>
          <w:tcPr>
            <w:tcW w:type="dxa" w:w="1984"/>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manuscript_coverage_gap</w:t>
            </w:r>
          </w:p>
        </w:tc>
        <w:tc>
          <w:tcPr>
            <w:tcW w:type="dxa" w:w="311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Build a shelfmark list from a critical edition, then search BnF, BSB, Bodleian, Vatican, and other institutional IIIF catalogues.</w:t>
            </w:r>
          </w:p>
        </w:tc>
      </w:tr>
      <w:tr>
        <w:trPr>
          <w:cantSplit/>
        </w:trPr>
        <w:tc>
          <w:tcPr>
            <w:tcW w:type="dxa" w:w="1190"/>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A29-G008</w:t>
            </w:r>
          </w:p>
        </w:tc>
        <w:tc>
          <w:tcPr>
            <w:tcW w:type="dxa" w:w="294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Authoritative fully open Greek edition of Musonius Rufus</w:t>
            </w:r>
          </w:p>
        </w:tc>
        <w:tc>
          <w:tcPr>
            <w:tcW w:type="dxa" w:w="1984"/>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rights_or_access_gap</w:t>
            </w:r>
          </w:p>
        </w:tc>
        <w:tc>
          <w:tcPr>
            <w:tcW w:type="dxa" w:w="311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Search for an openly licensed new transcription or a pre-1926 editor whose term is clearly expired in relevant jurisdictions.</w:t>
            </w:r>
          </w:p>
        </w:tc>
      </w:tr>
      <w:tr>
        <w:trPr>
          <w:cantSplit/>
        </w:trPr>
        <w:tc>
          <w:tcPr>
            <w:tcW w:type="dxa" w:w="1190"/>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A29-G009</w:t>
            </w:r>
          </w:p>
        </w:tc>
        <w:tc>
          <w:tcPr>
            <w:tcW w:type="dxa" w:w="294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Russian public-domain full texts of Seneca with clean item-level rights</w:t>
            </w:r>
          </w:p>
        </w:tc>
        <w:tc>
          <w:tcPr>
            <w:tcW w:type="dxa" w:w="1984"/>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language_access_gap</w:t>
            </w:r>
          </w:p>
        </w:tc>
        <w:tc>
          <w:tcPr>
            <w:tcW w:type="dxa" w:w="311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Search pre-revolutionary Russian editions in НЭБ, РГБ, Президентской библиотеке, and university repositories.</w:t>
            </w:r>
          </w:p>
        </w:tc>
      </w:tr>
      <w:tr>
        <w:trPr>
          <w:cantSplit/>
        </w:trPr>
        <w:tc>
          <w:tcPr>
            <w:tcW w:type="dxa" w:w="1190"/>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A29-G010</w:t>
            </w:r>
          </w:p>
        </w:tc>
        <w:tc>
          <w:tcPr>
            <w:tcW w:type="dxa" w:w="294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Russian public-domain philosophical selections from Plutarch with clean rights</w:t>
            </w:r>
          </w:p>
        </w:tc>
        <w:tc>
          <w:tcPr>
            <w:tcW w:type="dxa" w:w="1984"/>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language_access_gap</w:t>
            </w:r>
          </w:p>
        </w:tc>
        <w:tc>
          <w:tcPr>
            <w:tcW w:type="dxa" w:w="311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Target pre-1926 Russian translations and item-level scans, then check translator death dates for Mexico.</w:t>
            </w:r>
          </w:p>
        </w:tc>
      </w:tr>
      <w:tr>
        <w:trPr>
          <w:cantSplit/>
        </w:trPr>
        <w:tc>
          <w:tcPr>
            <w:tcW w:type="dxa" w:w="1190"/>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A29-G011</w:t>
            </w:r>
          </w:p>
        </w:tc>
        <w:tc>
          <w:tcPr>
            <w:tcW w:type="dxa" w:w="294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File-level rights audit for all Scaife/Perseus A29 editions</w:t>
            </w:r>
          </w:p>
        </w:tc>
        <w:tc>
          <w:tcPr>
            <w:tcW w:type="dxa" w:w="1984"/>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rights_audit_pending</w:t>
            </w:r>
          </w:p>
        </w:tc>
        <w:tc>
          <w:tcPr>
            <w:tcW w:type="dxa" w:w="311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Parse each TEI header and LICENSE/README notice for the exact CTS edition used in ToS.</w:t>
            </w:r>
          </w:p>
        </w:tc>
      </w:tr>
      <w:tr>
        <w:trPr>
          <w:cantSplit/>
        </w:trPr>
        <w:tc>
          <w:tcPr>
            <w:tcW w:type="dxa" w:w="1190"/>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A29-G012</w:t>
            </w:r>
          </w:p>
        </w:tc>
        <w:tc>
          <w:tcPr>
            <w:tcW w:type="dxa" w:w="294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Item-level image licenses for DCLP-linked Herculaneum papyri</w:t>
            </w:r>
          </w:p>
        </w:tc>
        <w:tc>
          <w:tcPr>
            <w:tcW w:type="dxa" w:w="1984"/>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mixed_rights_gap</w:t>
            </w:r>
          </w:p>
        </w:tc>
        <w:tc>
          <w:tcPr>
            <w:tcW w:type="dxa" w:w="311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Resolve collection-by-collection rights for Naples, Oxford, Paris, and other holders.</w:t>
            </w:r>
          </w:p>
        </w:tc>
      </w:tr>
      <w:tr>
        <w:trPr>
          <w:cantSplit/>
        </w:trPr>
        <w:tc>
          <w:tcPr>
            <w:tcW w:type="dxa" w:w="1190"/>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A29-G013</w:t>
            </w:r>
          </w:p>
        </w:tc>
        <w:tc>
          <w:tcPr>
            <w:tcW w:type="dxa" w:w="294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Early Slavonic Christian adaptation of Epictetus’ Encheiridion</w:t>
            </w:r>
          </w:p>
        </w:tc>
        <w:tc>
          <w:tcPr>
            <w:tcW w:type="dxa" w:w="1984"/>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unverified_candidate</w:t>
            </w:r>
          </w:p>
        </w:tc>
        <w:tc>
          <w:tcPr>
            <w:tcW w:type="dxa" w:w="3118"/>
            <w:vAlign w:val="top"/>
            <w:tcMar>
              <w:top w:w="80" w:type="dxa"/>
              <w:start w:w="90" w:type="dxa"/>
              <w:bottom w:w="80" w:type="dxa"/>
              <w:end w:w="90" w:type="dxa"/>
            </w:tcMar>
          </w:tcPr>
          <w:p>
            <w:pPr>
              <w:spacing w:after="30" w:line="240" w:lineRule="auto"/>
            </w:pPr>
            <w:r>
              <w:rPr>
                <w:rFonts w:ascii="Aptos" w:hAnsi="Aptos" w:eastAsia="Aptos" w:cs="Aptos"/>
                <w:b w:val="0"/>
                <w:color w:val="22303C"/>
                <w:sz w:val="16"/>
              </w:rPr>
              <w:t>Identify title variants, manuscript shelfmarks, critical edition, and institutional facsimile.</w:t>
            </w:r>
          </w:p>
        </w:tc>
      </w:tr>
      <w:tr>
        <w:trPr>
          <w:cantSplit/>
        </w:trPr>
        <w:tc>
          <w:tcPr>
            <w:tcW w:type="dxa" w:w="1190"/>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A29-G014</w:t>
            </w:r>
          </w:p>
        </w:tc>
        <w:tc>
          <w:tcPr>
            <w:tcW w:type="dxa" w:w="294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NЭБ scan-level reuse statements for the 1761 Cicero, 1767 Epictetus, and 1492 Macrobius items</w:t>
            </w:r>
          </w:p>
        </w:tc>
        <w:tc>
          <w:tcPr>
            <w:tcW w:type="dxa" w:w="1984"/>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rights_evidence_gap</w:t>
            </w:r>
          </w:p>
        </w:tc>
        <w:tc>
          <w:tcPr>
            <w:tcW w:type="dxa" w:w="3118"/>
            <w:vAlign w:val="top"/>
            <w:tcMar>
              <w:top w:w="80" w:type="dxa"/>
              <w:start w:w="90" w:type="dxa"/>
              <w:bottom w:w="80" w:type="dxa"/>
              <w:end w:w="90" w:type="dxa"/>
            </w:tcMar>
            <w:shd w:fill="F4F6F8"/>
          </w:tcPr>
          <w:p>
            <w:pPr>
              <w:spacing w:after="30" w:line="240" w:lineRule="auto"/>
            </w:pPr>
            <w:r>
              <w:rPr>
                <w:rFonts w:ascii="Aptos" w:hAnsi="Aptos" w:eastAsia="Aptos" w:cs="Aptos"/>
                <w:b w:val="0"/>
                <w:color w:val="22303C"/>
                <w:sz w:val="16"/>
              </w:rPr>
              <w:t>Request or locate item-level rights statements before mirroring scans.</w:t>
            </w:r>
          </w:p>
        </w:tc>
      </w:tr>
    </w:tbl>
    <w:p>
      <w:pPr>
        <w:pStyle w:val="Heading2"/>
      </w:pPr>
      <w:r>
        <w:t>6.1. Приоритетные targeted follow-up направления</w:t>
      </w:r>
    </w:p>
    <w:p>
      <w:pPr>
        <w:pStyle w:val="ListNumber"/>
        <w:spacing w:after="40"/>
      </w:pPr>
      <w:r>
        <w:rPr>
          <w:rFonts w:ascii="Aptos" w:hAnsi="Aptos" w:eastAsia="Aptos" w:cs="Aptos"/>
          <w:b w:val="0"/>
          <w:i w:val="0"/>
          <w:color w:val="22303C"/>
          <w:sz w:val="19"/>
        </w:rPr>
        <w:t>Провести PHerc-number-by-number audit для Филодема: DCLP item, physical collection record, image/IIIF, modern edition, license — отдельными слоями.</w:t>
      </w:r>
    </w:p>
    <w:p>
      <w:pPr>
        <w:pStyle w:val="ListNumber"/>
        <w:spacing w:after="40"/>
      </w:pPr>
      <w:r>
        <w:rPr>
          <w:rFonts w:ascii="Aptos" w:hAnsi="Aptos" w:eastAsia="Aptos" w:cs="Aptos"/>
          <w:b w:val="0"/>
          <w:i w:val="0"/>
          <w:color w:val="22303C"/>
          <w:sz w:val="19"/>
        </w:rPr>
        <w:t>Найти официальные item pages и released transcription для PHerc 139 / On Gods VIII, а также связать их с 2026 virtual-unwrapping publication.</w:t>
      </w:r>
    </w:p>
    <w:p>
      <w:pPr>
        <w:pStyle w:val="ListNumber"/>
        <w:spacing w:after="40"/>
      </w:pPr>
      <w:r>
        <w:rPr>
          <w:rFonts w:ascii="Aptos" w:hAnsi="Aptos" w:eastAsia="Aptos" w:cs="Aptos"/>
          <w:b w:val="0"/>
          <w:i w:val="0"/>
          <w:color w:val="22303C"/>
          <w:sz w:val="19"/>
        </w:rPr>
        <w:t>Разобрать TEI headers всех A29 files in canonical-latinLit/canonical-greekLit и автоматически построить file-level license matrix.</w:t>
      </w:r>
    </w:p>
    <w:p>
      <w:pPr>
        <w:pStyle w:val="ListNumber"/>
        <w:spacing w:after="40"/>
      </w:pPr>
      <w:r>
        <w:rPr>
          <w:rFonts w:ascii="Aptos" w:hAnsi="Aptos" w:eastAsia="Aptos" w:cs="Aptos"/>
          <w:b w:val="0"/>
          <w:i w:val="0"/>
          <w:color w:val="22303C"/>
          <w:sz w:val="19"/>
        </w:rPr>
        <w:t>Составить census рукописей Meditations и добавить реальные shelfmarks/IIIF entries за пределами Vat.gr.1950.pt.2.</w:t>
      </w:r>
    </w:p>
    <w:p>
      <w:pPr>
        <w:pStyle w:val="ListNumber"/>
        <w:spacing w:after="40"/>
      </w:pPr>
      <w:r>
        <w:rPr>
          <w:rFonts w:ascii="Aptos" w:hAnsi="Aptos" w:eastAsia="Aptos" w:cs="Aptos"/>
          <w:b w:val="0"/>
          <w:i w:val="0"/>
          <w:color w:val="22303C"/>
          <w:sz w:val="19"/>
        </w:rPr>
        <w:t>Найти переиспользуемый original-language Musonius layer, не зависящий от редактора, еще не вышедшего из охраны в Мексике.</w:t>
      </w:r>
    </w:p>
    <w:p>
      <w:pPr>
        <w:pStyle w:val="ListNumber"/>
        <w:spacing w:after="40"/>
      </w:pPr>
      <w:r>
        <w:rPr>
          <w:rFonts w:ascii="Aptos" w:hAnsi="Aptos" w:eastAsia="Aptos" w:cs="Aptos"/>
          <w:b w:val="0"/>
          <w:i w:val="0"/>
          <w:color w:val="22303C"/>
          <w:sz w:val="19"/>
        </w:rPr>
        <w:t>Искать дореволюционные русские переводы Seneca and Plutarch в НЭБ, РГБ, Президентской библиотеке и университетских репозиториях, проверяя даты смерти переводчиков.</w:t>
      </w:r>
    </w:p>
    <w:p>
      <w:pPr>
        <w:pStyle w:val="ListNumber"/>
        <w:spacing w:after="40"/>
      </w:pPr>
      <w:r>
        <w:rPr>
          <w:rFonts w:ascii="Aptos" w:hAnsi="Aptos" w:eastAsia="Aptos" w:cs="Aptos"/>
          <w:b w:val="0"/>
          <w:i w:val="0"/>
          <w:color w:val="22303C"/>
          <w:sz w:val="19"/>
        </w:rPr>
        <w:t>Найти modern open critical Greek package for Plutarch Moralia или подтвердить component-level openness по каждому нужному treatise.</w:t>
      </w:r>
    </w:p>
    <w:p>
      <w:pPr>
        <w:pStyle w:val="ListNumber"/>
        <w:spacing w:after="40"/>
      </w:pPr>
      <w:r>
        <w:rPr>
          <w:rFonts w:ascii="Aptos" w:hAnsi="Aptos" w:eastAsia="Aptos" w:cs="Aptos"/>
          <w:b w:val="0"/>
          <w:i w:val="0"/>
          <w:color w:val="22303C"/>
          <w:sz w:val="19"/>
        </w:rPr>
        <w:t>Идентифицировать раннеславянскую христианскую адаптацию Encheiridion по названию, shelfmark и institutional facsimile; без этого не включать ее в registry.</w:t>
      </w:r>
    </w:p>
    <w:p>
      <w:pPr>
        <w:pStyle w:val="ListNumber"/>
        <w:spacing w:after="40"/>
      </w:pPr>
      <w:r>
        <w:rPr>
          <w:rFonts w:ascii="Aptos" w:hAnsi="Aptos" w:eastAsia="Aptos" w:cs="Aptos"/>
          <w:b w:val="0"/>
          <w:i w:val="0"/>
          <w:color w:val="22303C"/>
          <w:sz w:val="19"/>
        </w:rPr>
        <w:t>Получить item-level reuse statements для НЭБ scans of Cicero 1761, Epictetus 1767 and Macrobius 1492 before any mirroring.</w:t>
      </w:r>
    </w:p>
    <w:p>
      <w:pPr>
        <w:pStyle w:val="Heading1"/>
      </w:pPr>
      <w:r>
        <w:t>7. Итоговая оценка</w:t>
      </w:r>
    </w:p>
    <w:tbl>
      <w:tblPr>
        <w:tblW w:type="auto" w:w="0"/>
        <w:jc w:val="center"/>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61"/>
        <w:gridCol w:w="4961"/>
      </w:tblGrid>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Покрытие корпуса</w:t>
            </w:r>
          </w:p>
        </w:tc>
        <w:tc>
          <w:tcPr>
            <w:tcW w:type="dxa" w:w="6577"/>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8"/>
              </w:rPr>
              <w:t>Высокое для центрального ядра: все восемь основных авторских/корпусных кластеров получили несколько путей доступа; фрагментарность Филодема, Мусония и Эпиктета отражена, а не скрыта.</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Доступность оригиналов</w:t>
            </w:r>
          </w:p>
        </w:tc>
        <w:tc>
          <w:tcPr>
            <w:tcW w:type="dxa" w:w="6577"/>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8"/>
              </w:rPr>
              <w:t>Сильная для латинских и греческих текстов через PHI, Scaife и canonical repositories; особенно сильный материальный слой дают Leiden, Vatican, DCLP and Vesuvius.</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Доступность переводов</w:t>
            </w:r>
          </w:p>
        </w:tc>
        <w:tc>
          <w:tcPr>
            <w:tcW w:type="dxa" w:w="6577"/>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8"/>
              </w:rPr>
              <w:t>Английские старые переводы доступны широко; современные научные переводы в основном защищены. Русский слой полезен, но неравномерен и чаще link-only, purchase or catalogue.</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Наиболее свободный слой</w:t>
            </w:r>
          </w:p>
        </w:tc>
        <w:tc>
          <w:tcPr>
            <w:tcW w:type="dxa" w:w="6577"/>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8"/>
              </w:rPr>
              <w:t>Leiden public-domain witnesses; DCLP CC BY data; component-clean PerseusDL TEI; Vesuvius CC BY-NC datasets; Standard Ebooks CC0 production and Project Gutenberg public-domain packages with jurisdiction review.</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Главные ограничения</w:t>
            </w:r>
          </w:p>
        </w:tc>
        <w:tc>
          <w:tcPr>
            <w:tcW w:type="dxa" w:w="6577"/>
            <w:vAlign w:val="top"/>
            <w:tcMar>
              <w:top w:w="80" w:type="dxa"/>
              <w:start w:w="90" w:type="dxa"/>
              <w:bottom w:w="80" w:type="dxa"/>
              <w:end w:w="90" w:type="dxa"/>
            </w:tcMar>
            <w:shd w:fill="F4F6F8"/>
          </w:tcPr>
          <w:p>
            <w:pPr>
              <w:spacing w:after="30" w:line="240" w:lineRule="auto"/>
            </w:pPr>
            <w:r>
              <w:rPr>
                <w:rFonts w:ascii="Aptos" w:hAnsi="Aptos" w:eastAsia="Aptos" w:cs="Aptos"/>
                <w:b w:val="0"/>
                <w:i w:val="0"/>
                <w:color w:val="22303C"/>
                <w:sz w:val="18"/>
              </w:rPr>
              <w:t>Mixed rights, file-level exceptions, U.S.–Mexico public-domain divergence, protected modern critical reconstructions, image permissions, and incomplete papyrus/manuscript coverage.</w:t>
            </w:r>
          </w:p>
        </w:tc>
      </w:tr>
      <w:tr>
        <w:trPr>
          <w:cantSplit/>
        </w:trPr>
        <w:tc>
          <w:tcPr>
            <w:tcW w:type="dxa" w:w="2664"/>
            <w:vAlign w:val="top"/>
            <w:tcMar>
              <w:top w:w="80" w:type="dxa"/>
              <w:start w:w="90" w:type="dxa"/>
              <w:bottom w:w="80" w:type="dxa"/>
              <w:end w:w="90" w:type="dxa"/>
            </w:tcMar>
            <w:shd w:fill="EAF3F8"/>
          </w:tcPr>
          <w:p>
            <w:pPr>
              <w:spacing w:after="30" w:line="240" w:lineRule="auto"/>
            </w:pPr>
            <w:r>
              <w:rPr>
                <w:rFonts w:ascii="Aptos" w:hAnsi="Aptos" w:eastAsia="Aptos" w:cs="Aptos"/>
                <w:b w:val="0"/>
                <w:i w:val="0"/>
                <w:color w:val="22303C"/>
                <w:sz w:val="18"/>
              </w:rPr>
              <w:t>Готовность к Codex</w:t>
            </w:r>
          </w:p>
        </w:tc>
        <w:tc>
          <w:tcPr>
            <w:tcW w:type="dxa" w:w="6577"/>
            <w:vAlign w:val="top"/>
            <w:tcMar>
              <w:top w:w="80" w:type="dxa"/>
              <w:start w:w="90" w:type="dxa"/>
              <w:bottom w:w="80" w:type="dxa"/>
              <w:end w:w="90" w:type="dxa"/>
            </w:tcMar>
          </w:tcPr>
          <w:p>
            <w:pPr>
              <w:spacing w:after="30" w:line="240" w:lineRule="auto"/>
            </w:pPr>
            <w:r>
              <w:rPr>
                <w:rFonts w:ascii="Aptos" w:hAnsi="Aptos" w:eastAsia="Aptos" w:cs="Aptos"/>
                <w:b w:val="0"/>
                <w:i w:val="0"/>
                <w:color w:val="22303C"/>
                <w:sz w:val="18"/>
              </w:rPr>
              <w:t>Да. XLSX имеет фиксированные 32 поля, уникальные A29-R IDs, item-level access paths, rights evidence, scope-limited ToS tags and a separate gaps queue. Пакет пригоден для последующей дедупликации и нормализации.</w:t>
            </w:r>
          </w:p>
        </w:tc>
      </w:tr>
    </w:tbl>
    <w:p>
      <w:pPr>
        <w:spacing w:after="20"/>
      </w:pPr>
    </w:p>
    <w:p>
      <w:pPr>
        <w:jc w:val="both"/>
      </w:pPr>
      <w:r>
        <w:rPr>
          <w:rFonts w:ascii="Aptos" w:hAnsi="Aptos" w:eastAsia="Aptos" w:cs="Aptos"/>
          <w:b/>
          <w:i w:val="0"/>
          <w:color w:val="17324D"/>
          <w:sz w:val="19"/>
        </w:rPr>
        <w:t xml:space="preserve">Финальный вердикт. </w:t>
      </w:r>
      <w:r>
        <w:rPr>
          <w:rFonts w:ascii="Aptos" w:hAnsi="Aptos" w:eastAsia="Aptos" w:cs="Aptos"/>
          <w:b w:val="0"/>
          <w:i w:val="0"/>
          <w:color w:val="22303C"/>
          <w:sz w:val="19"/>
        </w:rPr>
        <w:t>A29 покрыт как реальный двуязычный письменный экумен, а не как набор популярных стоических цитат. Реестр связывает философский текст с переводом, рукописью, папирусом, критическим изданием, digital corpus и правовым режимом. Центральное ядро завершено достаточно надежно для передачи Codex; дальнейшая работа должна углублять прежде всего Herculaneum item-level coverage, file-level licenses and manuscript census, а не расширять пакет случайной общей библиографией.</w:t>
      </w:r>
    </w:p>
    <w:p>
      <w:pPr>
        <w:spacing w:before="240"/>
        <w:jc w:val="center"/>
      </w:pPr>
      <w:r>
        <w:rPr>
          <w:rFonts w:ascii="Aptos" w:hAnsi="Aptos" w:eastAsia="Aptos" w:cs="Aptos"/>
          <w:b/>
          <w:i w:val="0"/>
          <w:color w:val="0E6F69"/>
          <w:sz w:val="18"/>
        </w:rPr>
        <w:t>Связанный реестр: ToS_Corpus_Rights_A29_registry.xlsx</w:t>
      </w:r>
    </w:p>
    <w:sectPr w:rsidR="00FC693F" w:rsidRPr="0006063C" w:rsidSect="00034616">
      <w:headerReference w:type="default" r:id="rId9"/>
      <w:footerReference w:type="default" r:id="rId10"/>
      <w:pgSz w:w="11906" w:h="16838"/>
      <w:pgMar w:top="935" w:right="992"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s="Aptos"/>
        <w:b w:val="0"/>
        <w:i w:val="0"/>
        <w:color w:val="607080"/>
        <w:sz w:val="16"/>
      </w:rPr>
      <w:t xml:space="preserve">A29 · проверено 2026-09-03 · </w:t>
    </w:r>
    <w:r>
      <w:rPr>
        <w:rFonts w:ascii="Aptos" w:hAnsi="Aptos" w:eastAsia="Aptos" w:cs="Aptos"/>
        <w:color w:val="6070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s="Aptos"/>
        <w:b w:val="0"/>
        <w:i w:val="0"/>
        <w:color w:val="607080"/>
        <w:sz w:val="16"/>
      </w:rPr>
      <w:t>ToS / Древо Софии · A29 · Corpus &amp; Rights Registry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s="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cs="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cs="Aptos Display"/>
      <w:b/>
      <w:bCs/>
      <w:color w:val="0E6F6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cs="Apto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cs="Aptos Display"/>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eastAsia="Aptos" w:cs="Aptos"/>
      <w:b w:val="0"/>
      <w:i/>
      <w:iCs/>
      <w:color w:val="0E6F69"/>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tin.packhum.org/author/474" TargetMode="External"/><Relationship Id="rId12" Type="http://schemas.openxmlformats.org/officeDocument/2006/relationships/hyperlink" Target="https://scaife.perseus.org/library/urn%3Acts%3AlatinLit%3Aphi0474/" TargetMode="External"/><Relationship Id="rId13" Type="http://schemas.openxmlformats.org/officeDocument/2006/relationships/hyperlink" Target="https://github.com/PerseusDL/canonical-latinLit/tree/master/data/phi0474" TargetMode="External"/><Relationship Id="rId14" Type="http://schemas.openxmlformats.org/officeDocument/2006/relationships/hyperlink" Target="https://digitalcollections.universiteitleiden.nl/view/item/4112532" TargetMode="External"/><Relationship Id="rId15" Type="http://schemas.openxmlformats.org/officeDocument/2006/relationships/hyperlink" Target="https://spotlight.vatlib.it/palimpsests/catalog/Vat_lat_5757" TargetMode="External"/><Relationship Id="rId16" Type="http://schemas.openxmlformats.org/officeDocument/2006/relationships/hyperlink" Target="https://www.gutenberg.org/ebooks/29247" TargetMode="External"/><Relationship Id="rId17" Type="http://schemas.openxmlformats.org/officeDocument/2006/relationships/hyperlink" Target="https://standardebooks.org/ebooks/cicero/tusculan-disputations/c-d-yonge" TargetMode="External"/><Relationship Id="rId18" Type="http://schemas.openxmlformats.org/officeDocument/2006/relationships/hyperlink" Target="https://global.oup.com/academic/product/de-finibus-bonorum-et-malorum-9780198146704" TargetMode="External"/><Relationship Id="rId19" Type="http://schemas.openxmlformats.org/officeDocument/2006/relationships/hyperlink" Target="https://www.loebclassics.com/abstract/LCL141/1927/volume.xml" TargetMode="External"/><Relationship Id="rId20" Type="http://schemas.openxmlformats.org/officeDocument/2006/relationships/hyperlink" Target="https://kp.rusneb.ru/item/material/marka-tulliya-cicerona-tri-knigi-o-dolzhnostyah-s-soderzhaniem-kazhdoy-glavy-i-s-primechaniyami-na-dostopamyatnyya-rechi-tri-knigi-o-dolzhnostyah-perevedeny-akademii-nauk-perevodchikom-borisom-volkovym" TargetMode="External"/><Relationship Id="rId21" Type="http://schemas.openxmlformats.org/officeDocument/2006/relationships/hyperlink" Target="https://latin.packhum.org/author/550" TargetMode="External"/><Relationship Id="rId22" Type="http://schemas.openxmlformats.org/officeDocument/2006/relationships/hyperlink" Target="https://scaife.perseus.org/library/urn%3Acts%3AlatinLit%3Aphi0550/" TargetMode="External"/><Relationship Id="rId23" Type="http://schemas.openxmlformats.org/officeDocument/2006/relationships/hyperlink" Target="https://github.com/PerseusDL/canonical-latinLit/tree/master/data/phi0550" TargetMode="External"/><Relationship Id="rId24" Type="http://schemas.openxmlformats.org/officeDocument/2006/relationships/hyperlink" Target="https://digitalcollections.universiteitleiden.nl/view/item/4127827" TargetMode="External"/><Relationship Id="rId25" Type="http://schemas.openxmlformats.org/officeDocument/2006/relationships/hyperlink" Target="https://digitalcollections.universiteitleiden.nl/view/item/4151064" TargetMode="External"/><Relationship Id="rId26" Type="http://schemas.openxmlformats.org/officeDocument/2006/relationships/hyperlink" Target="https://standardebooks.org/ebooks/lucretius/on-the-nature-of-things/h-a-j-munro" TargetMode="External"/><Relationship Id="rId27" Type="http://schemas.openxmlformats.org/officeDocument/2006/relationships/hyperlink" Target="https://www.loebclassics.com/abstract/LCL181/1924/volume.xml" TargetMode="External"/><Relationship Id="rId28" Type="http://schemas.openxmlformats.org/officeDocument/2006/relationships/hyperlink" Target="https://www.degruyter.com/serial/BT-B/html" TargetMode="External"/><Relationship Id="rId29" Type="http://schemas.openxmlformats.org/officeDocument/2006/relationships/hyperlink" Target="https://www.litres.ru/book/tit-kar-lukreciy/o-prirode-veschey-4970934/" TargetMode="External"/><Relationship Id="rId30" Type="http://schemas.openxmlformats.org/officeDocument/2006/relationships/hyperlink" Target="https://rusneb.ru/catalog/000199_000009_006324428/" TargetMode="External"/><Relationship Id="rId31" Type="http://schemas.openxmlformats.org/officeDocument/2006/relationships/hyperlink" Target="https://papyri.info/dclp/63149" TargetMode="External"/><Relationship Id="rId32" Type="http://schemas.openxmlformats.org/officeDocument/2006/relationships/hyperlink" Target="https://papyri.info/dclp/62445" TargetMode="External"/><Relationship Id="rId33" Type="http://schemas.openxmlformats.org/officeDocument/2006/relationships/hyperlink" Target="https://papyri.info/dclp/62509" TargetMode="External"/><Relationship Id="rId34" Type="http://schemas.openxmlformats.org/officeDocument/2006/relationships/hyperlink" Target="https://github.com/papyri/idp.data" TargetMode="External"/><Relationship Id="rId35" Type="http://schemas.openxmlformats.org/officeDocument/2006/relationships/hyperlink" Target="https://scrollprize.org/data_browser/PHercParis4" TargetMode="External"/><Relationship Id="rId36" Type="http://schemas.openxmlformats.org/officeDocument/2006/relationships/hyperlink" Target="https://scrollprize.org/data" TargetMode="External"/><Relationship Id="rId37" Type="http://schemas.openxmlformats.org/officeDocument/2006/relationships/hyperlink" Target="https://global.oup.com/academic/product/philodemus-on-piety-9780198150084" TargetMode="External"/><Relationship Id="rId38" Type="http://schemas.openxmlformats.org/officeDocument/2006/relationships/hyperlink" Target="https://brill.com/display/title/64889" TargetMode="External"/><Relationship Id="rId39" Type="http://schemas.openxmlformats.org/officeDocument/2006/relationships/hyperlink" Target="https://zenodo.org/records/17296966" TargetMode="External"/><Relationship Id="rId40" Type="http://schemas.openxmlformats.org/officeDocument/2006/relationships/hyperlink" Target="https://arxiv.org/abs/2606.29085" TargetMode="External"/><Relationship Id="rId41" Type="http://schemas.openxmlformats.org/officeDocument/2006/relationships/hyperlink" Target="https://greekschools.eu/papyri/" TargetMode="External"/><Relationship Id="rId42" Type="http://schemas.openxmlformats.org/officeDocument/2006/relationships/hyperlink" Target="https://latin.packhum.org/author/1017" TargetMode="External"/><Relationship Id="rId43" Type="http://schemas.openxmlformats.org/officeDocument/2006/relationships/hyperlink" Target="https://scaife.perseus.org/library/urn%3Acts%3AlatinLit%3Aphi1017.phi015/" TargetMode="External"/><Relationship Id="rId44" Type="http://schemas.openxmlformats.org/officeDocument/2006/relationships/hyperlink" Target="https://github.com/PerseusDL/canonical-latinLit/tree/master/data/phi1017" TargetMode="External"/><Relationship Id="rId45" Type="http://schemas.openxmlformats.org/officeDocument/2006/relationships/hyperlink" Target="https://standardebooks.org/ebooks/seneca/dialogues/aubrey-stewart" TargetMode="External"/><Relationship Id="rId46" Type="http://schemas.openxmlformats.org/officeDocument/2006/relationships/hyperlink" Target="https://www.gutenberg.org/ebooks/76392" TargetMode="External"/><Relationship Id="rId47" Type="http://schemas.openxmlformats.org/officeDocument/2006/relationships/hyperlink" Target="https://global.oup.com/academic/product/dialogi-9780198146599" TargetMode="External"/><Relationship Id="rId48" Type="http://schemas.openxmlformats.org/officeDocument/2006/relationships/hyperlink" Target="https://www.loebclassics.com/abstract/LCL075/1917/volume.xml" TargetMode="External"/><Relationship Id="rId49" Type="http://schemas.openxmlformats.org/officeDocument/2006/relationships/hyperlink" Target="https://www.litres.ru/book/luciy-anney-seneka/nravstvennye-pisma-k-luciliu-s-kommentariyami-i-illustr-71413243/chitat-onlayn/" TargetMode="External"/><Relationship Id="rId50" Type="http://schemas.openxmlformats.org/officeDocument/2006/relationships/hyperlink" Target="https://rusneb.ru/catalog/000200_000018_RU_NLR_BIBL_A_012392168/" TargetMode="External"/><Relationship Id="rId51" Type="http://schemas.openxmlformats.org/officeDocument/2006/relationships/hyperlink" Target="https://archive.org/details/cmusoniirufirel00hensgoog" TargetMode="External"/><Relationship Id="rId52" Type="http://schemas.openxmlformats.org/officeDocument/2006/relationships/hyperlink" Target="https://archive.org/details/MUSONIUSRUFUSSTOICFRAGMENTS" TargetMode="External"/><Relationship Id="rId53" Type="http://schemas.openxmlformats.org/officeDocument/2006/relationships/hyperlink" Target="https://archive.org/details/joannisstobaeian04stovuoft" TargetMode="External"/><Relationship Id="rId54" Type="http://schemas.openxmlformats.org/officeDocument/2006/relationships/hyperlink" Target="https://yalebooks.yale.edu/book/9780300261547/that-one-should-disdain-hardships/" TargetMode="External"/><Relationship Id="rId55" Type="http://schemas.openxmlformats.org/officeDocument/2006/relationships/hyperlink" Target="https://search.worldcat.org/title/Musonius-Rufus-%3A-lectures-and-sayings/oclc/781854278" TargetMode="External"/><Relationship Id="rId56" Type="http://schemas.openxmlformats.org/officeDocument/2006/relationships/hyperlink" Target="https://scaife.perseus.org/library/urn%3Acts%3AgreekLit%3Atlg0557.tlg001/" TargetMode="External"/><Relationship Id="rId57" Type="http://schemas.openxmlformats.org/officeDocument/2006/relationships/hyperlink" Target="https://scaife.perseus.org/library/urn%3Acts%3AgreekLit%3Atlg0557.tlg003/" TargetMode="External"/><Relationship Id="rId58" Type="http://schemas.openxmlformats.org/officeDocument/2006/relationships/hyperlink" Target="https://github.com/PerseusDL/canonical-greekLit/tree/master/data/tlg0557" TargetMode="External"/><Relationship Id="rId59" Type="http://schemas.openxmlformats.org/officeDocument/2006/relationships/hyperlink" Target="https://standardebooks.org/ebooks/epictetus/discourses/george-long" TargetMode="External"/><Relationship Id="rId60" Type="http://schemas.openxmlformats.org/officeDocument/2006/relationships/hyperlink" Target="https://www.gutenberg.org/ebooks/10661" TargetMode="External"/><Relationship Id="rId61" Type="http://schemas.openxmlformats.org/officeDocument/2006/relationships/hyperlink" Target="https://kp.rusneb.ru/item/material/epiktita-stoicheskago-filosofa-enhiridion-i-apoffegmy" TargetMode="External"/><Relationship Id="rId62" Type="http://schemas.openxmlformats.org/officeDocument/2006/relationships/hyperlink" Target="https://www.litres.ru/book/epiktet/rukovodstvo-k-zhizni-63713462/" TargetMode="External"/><Relationship Id="rId63" Type="http://schemas.openxmlformats.org/officeDocument/2006/relationships/hyperlink" Target="https://www.loebclassics.com/abstract/LCL131/1925/volume.xml" TargetMode="External"/><Relationship Id="rId64" Type="http://schemas.openxmlformats.org/officeDocument/2006/relationships/hyperlink" Target="https://www.loebclassics.com/abstract/LCL218/1928/volume.xml" TargetMode="External"/><Relationship Id="rId65" Type="http://schemas.openxmlformats.org/officeDocument/2006/relationships/hyperlink" Target="https://archive.org/details/epictetushis00epic" TargetMode="External"/><Relationship Id="rId66" Type="http://schemas.openxmlformats.org/officeDocument/2006/relationships/hyperlink" Target="https://www.bloomsbury.com/uk/simplicius-on-epictetus-handbook-126-9781472501943/" TargetMode="External"/><Relationship Id="rId67" Type="http://schemas.openxmlformats.org/officeDocument/2006/relationships/hyperlink" Target="https://scaife.perseus.org/library/urn%3Acts%3AgreekLit%3Atlg0007/" TargetMode="External"/><Relationship Id="rId68" Type="http://schemas.openxmlformats.org/officeDocument/2006/relationships/hyperlink" Target="https://scaife.perseus.org/library/urn%3Acts%3AgreekLit%3Atlg0007.tlg134/" TargetMode="External"/><Relationship Id="rId69" Type="http://schemas.openxmlformats.org/officeDocument/2006/relationships/hyperlink" Target="https://scaife.perseus.org/library/urn%3Acts%3AgreekLit%3Atlg0007.tlg140/" TargetMode="External"/><Relationship Id="rId70" Type="http://schemas.openxmlformats.org/officeDocument/2006/relationships/hyperlink" Target="https://github.com/PerseusDL/canonical-greekLit/tree/master/data/tlg0007" TargetMode="External"/><Relationship Id="rId71" Type="http://schemas.openxmlformats.org/officeDocument/2006/relationships/hyperlink" Target="https://www.gutenberg.org/ebooks/23639" TargetMode="External"/><Relationship Id="rId72" Type="http://schemas.openxmlformats.org/officeDocument/2006/relationships/hyperlink" Target="https://www.loebclassics.com/search?q=Plutarch+Moralia" TargetMode="External"/><Relationship Id="rId73" Type="http://schemas.openxmlformats.org/officeDocument/2006/relationships/hyperlink" Target="https://www.litres.ru/book/plutarh/zastolnye-besedy-28723390/" TargetMode="External"/><Relationship Id="rId74" Type="http://schemas.openxmlformats.org/officeDocument/2006/relationships/hyperlink" Target="https://scaife.perseus.org/reader/urn%3Acts%3AgreekLit%3Atlg0562.tlg001.perseus-grc2%3A1.1.1-1.17.1/" TargetMode="External"/><Relationship Id="rId75" Type="http://schemas.openxmlformats.org/officeDocument/2006/relationships/hyperlink" Target="https://github.com/PerseusDL/canonical-greekLit/tree/master/data/tlg0562" TargetMode="External"/><Relationship Id="rId76" Type="http://schemas.openxmlformats.org/officeDocument/2006/relationships/hyperlink" Target="https://digi.vatlib.it/view/MSS_Vat.gr.1950.pt.2" TargetMode="External"/><Relationship Id="rId77" Type="http://schemas.openxmlformats.org/officeDocument/2006/relationships/hyperlink" Target="https://standardebooks.org/ebooks/marcus-aurelius/meditations/george-long" TargetMode="External"/><Relationship Id="rId78" Type="http://schemas.openxmlformats.org/officeDocument/2006/relationships/hyperlink" Target="https://www.gutenberg.org/ebooks/2680" TargetMode="External"/><Relationship Id="rId79" Type="http://schemas.openxmlformats.org/officeDocument/2006/relationships/hyperlink" Target="https://www.loebclassics.com/abstract/LCL058/1916/volume.xml" TargetMode="External"/><Relationship Id="rId80" Type="http://schemas.openxmlformats.org/officeDocument/2006/relationships/hyperlink" Target="https://ru.wikisource.org/wiki/&#1053;&#1072;&#1077;&#1076;&#1080;&#1085;&#1077;_&#1089;_&#1089;&#1086;&#1073;&#1086;&#1081;_(&#1052;&#1072;&#1088;&#1082;_&#1040;&#1074;&#1088;&#1077;&#1083;&#1080;&#1081;;_&#1056;&#1086;&#1075;&#1086;&#1074;&#1080;&#1085;)" TargetMode="External"/><Relationship Id="rId81" Type="http://schemas.openxmlformats.org/officeDocument/2006/relationships/hyperlink" Target="https://www.litres.ru/book/mark-avreliy-antonin/naedine-s-soboy-razmyshleniya-29685325/chitat-onlayn/" TargetMode="External"/><Relationship Id="rId82" Type="http://schemas.openxmlformats.org/officeDocument/2006/relationships/hyperlink" Target="https://scaife.perseus.org/library/urn%3Acts%3AgreekLit%3Atlg0537/" TargetMode="External"/><Relationship Id="rId83" Type="http://schemas.openxmlformats.org/officeDocument/2006/relationships/hyperlink" Target="https://scaife.perseus.org/library/urn%3Acts%3AgreekLit%3Atlg0059.tlg031/" TargetMode="External"/><Relationship Id="rId84" Type="http://schemas.openxmlformats.org/officeDocument/2006/relationships/hyperlink" Target="https://archive.org/details/stoicorumveterum0001arni" TargetMode="External"/><Relationship Id="rId85" Type="http://schemas.openxmlformats.org/officeDocument/2006/relationships/hyperlink" Target="https://standardebooks.org/ebooks/diogenes-laertius/the-lives-and-opinions-of-eminent-philosophers/c-d-yonge" TargetMode="External"/><Relationship Id="rId86" Type="http://schemas.openxmlformats.org/officeDocument/2006/relationships/hyperlink" Target="https://archive.org/details/adw8682.0005.001.umich.edu" TargetMode="External"/><Relationship Id="rId87" Type="http://schemas.openxmlformats.org/officeDocument/2006/relationships/hyperlink" Target="https://kp.rusneb.ru/item/material/633fdae011c426732be2955a" TargetMode="External"/><Relationship Id="rId88" Type="http://schemas.openxmlformats.org/officeDocument/2006/relationships/hyperlink" Target="https://www.newadvent.org/fathers/34011.htm" TargetMode="External"/><Relationship Id="rId89" Type="http://schemas.openxmlformats.org/officeDocument/2006/relationships/hyperlink" Target="https://www.augustinus.it/latino/contr_acc/index2.htm" TargetMode="External"/><Relationship Id="rId90" Type="http://schemas.openxmlformats.org/officeDocument/2006/relationships/hyperlink" Target="https://www.nasscal.com/e-clavis-christian-apocrypha/epistles-of-paul-and-seneca/" TargetMode="External"/><Relationship Id="rId91" Type="http://schemas.openxmlformats.org/officeDocument/2006/relationships/hyperlink" Target="https://archive.org/details/bub_gb_OgY6AAAAcAA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A29</dc:title>
  <dc:subject>Legal access routes, editions, manuscripts, datasets, and rights for A29</dc:subject>
  <dc:creator>ToS / Древо Софии</dc:creator>
  <cp:keywords>ToS, A29, Cicero, Lucretius, Philodemus, Seneca, Epictetus, Plutarch, Marcus Aurelius, rights</cp:keywords>
  <dc:description>generated by python-docx</dc:description>
  <cp:lastModifiedBy/>
  <cp:revision>1</cp:revision>
  <dcterms:created xsi:type="dcterms:W3CDTF">2013-12-23T23:15:00Z</dcterms:created>
  <dcterms:modified xsi:type="dcterms:W3CDTF">2013-12-23T23:15:00Z</dcterms:modified>
  <cp:category/>
</cp:coreProperties>
</file>