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174A5B"/>
          <w:left w:val="single" w:sz="1" w:space="0" w:color="174A5B"/>
          <w:bottom w:val="single" w:sz="1" w:space="0" w:color="174A5B"/>
          <w:right w:val="single" w:sz="1" w:space="0" w:color="174A5B"/>
          <w:insideH w:val="single" w:sz="1" w:space="0" w:color="174A5B"/>
          <w:insideV w:val="single" w:sz="1" w:space="0" w:color="174A5B"/>
        </w:tblBorders>
      </w:tblPr>
      <w:tblGrid>
        <w:gridCol w:w="9751"/>
      </w:tblGrid>
      <w:tr>
        <w:tc>
          <w:tcPr>
            <w:tcW w:type="dxa" w:w="9979"/>
            <w:shd w:fill="174A5B"/>
            <w:tcMar>
              <w:top w:w="260" w:type="dxa"/>
              <w:start w:w="250" w:type="dxa"/>
              <w:bottom w:w="245" w:type="dxa"/>
              <w:end w:w="25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Noto Sans" w:hAnsi="Noto Sans"/>
                <w:b/>
                <w:caps/>
                <w:color w:val="FFFFFF"/>
                <w:sz w:val="23"/>
              </w:rPr>
              <w:t>ToS CORPUS &amp; RIGHTS REGISTRY</w:t>
            </w:r>
          </w:p>
          <w:p>
            <w:pPr>
              <w:spacing w:after="40"/>
              <w:jc w:val="center"/>
            </w:pPr>
            <w:r>
              <w:rPr>
                <w:rFonts w:ascii="Noto Serif" w:hAnsi="Noto Serif"/>
                <w:b/>
                <w:color w:val="FFFFFF"/>
                <w:sz w:val="68"/>
              </w:rPr>
              <w:t>A26</w:t>
            </w:r>
          </w:p>
          <w:p>
            <w:pPr>
              <w:spacing w:after="100"/>
              <w:jc w:val="center"/>
            </w:pPr>
            <w:r>
              <w:rPr>
                <w:rFonts w:ascii="Noto Serif" w:hAnsi="Noto Serif"/>
                <w:b/>
                <w:color w:val="FFFFFF"/>
                <w:sz w:val="40"/>
              </w:rPr>
              <w:t>Европа — Эллинистические школы</w:t>
              <w:br/>
              <w:t>и библиотечная экосистема</w:t>
            </w:r>
          </w:p>
          <w:p>
            <w:pPr>
              <w:jc w:val="center"/>
            </w:pPr>
            <w:r>
              <w:rPr>
                <w:rFonts w:ascii="Noto Sans" w:hAnsi="Noto Sans"/>
                <w:color w:val="E7F2F5"/>
                <w:sz w:val="21"/>
              </w:rPr>
              <w:t>Статус A  ·  историческое ядро ок. 323–30 гг. до н. э.</w:t>
            </w:r>
          </w:p>
        </w:tc>
      </w:tr>
    </w:tbl>
    <w:p/>
    <w:p>
      <w:pPr>
        <w:pStyle w:val="Lead"/>
        <w:jc w:val="center"/>
      </w:pPr>
      <w:r>
        <w:t>Исследовательский пакет законных путей доступа к текстам, корпусам, свидетелям, переводам, изданиям и цифровой инфраструктуре строки A26.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E0E4"/>
          <w:left w:val="single" w:sz="5" w:space="0" w:color="D5E0E4"/>
          <w:bottom w:val="single" w:sz="5" w:space="0" w:color="D5E0E4"/>
          <w:right w:val="single" w:sz="5" w:space="0" w:color="D5E0E4"/>
          <w:insideH w:val="single" w:sz="5" w:space="0" w:color="D5E0E4"/>
          <w:insideV w:val="single" w:sz="5" w:space="0" w:color="D5E0E4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296"/>
            <w:shd w:fill="F4F8FA"/>
            <w:tcMar>
              <w:top w:w="165" w:type="dxa"/>
              <w:start w:w="100" w:type="dxa"/>
              <w:bottom w:w="155" w:type="dxa"/>
              <w:end w:w="10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Noto Serif" w:hAnsi="Noto Serif"/>
                <w:b/>
                <w:color w:val="103A47"/>
                <w:sz w:val="44"/>
              </w:rPr>
              <w:t>124</w:t>
            </w:r>
          </w:p>
          <w:p>
            <w:pPr>
              <w:spacing w:after="0"/>
              <w:jc w:val="center"/>
            </w:pPr>
            <w:r>
              <w:rPr>
                <w:color w:val="5D6B75"/>
                <w:sz w:val="16"/>
              </w:rPr>
              <w:t>записи registry</w:t>
            </w:r>
          </w:p>
        </w:tc>
        <w:tc>
          <w:tcPr>
            <w:tcW w:type="dxa" w:w="2296"/>
            <w:shd w:fill="E8F1F4"/>
            <w:tcMar>
              <w:top w:w="165" w:type="dxa"/>
              <w:start w:w="100" w:type="dxa"/>
              <w:bottom w:w="155" w:type="dxa"/>
              <w:end w:w="10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Noto Serif" w:hAnsi="Noto Serif"/>
                <w:b/>
                <w:color w:val="103A47"/>
                <w:sz w:val="44"/>
              </w:rPr>
              <w:t>19</w:t>
            </w:r>
          </w:p>
          <w:p>
            <w:pPr>
              <w:spacing w:after="0"/>
              <w:jc w:val="center"/>
            </w:pPr>
            <w:r>
              <w:rPr>
                <w:color w:val="5D6B75"/>
                <w:sz w:val="16"/>
              </w:rPr>
              <w:t>зафиксированных gaps</w:t>
            </w:r>
          </w:p>
        </w:tc>
        <w:tc>
          <w:tcPr>
            <w:tcW w:type="dxa" w:w="2296"/>
            <w:shd w:fill="F4F8FA"/>
            <w:tcMar>
              <w:top w:w="165" w:type="dxa"/>
              <w:start w:w="100" w:type="dxa"/>
              <w:bottom w:w="155" w:type="dxa"/>
              <w:end w:w="10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Noto Serif" w:hAnsi="Noto Serif"/>
                <w:b/>
                <w:color w:val="103A47"/>
                <w:sz w:val="44"/>
              </w:rPr>
              <w:t>84</w:t>
            </w:r>
          </w:p>
          <w:p>
            <w:pPr>
              <w:spacing w:after="0"/>
              <w:jc w:val="center"/>
            </w:pPr>
            <w:r>
              <w:rPr>
                <w:color w:val="5D6B75"/>
                <w:sz w:val="16"/>
              </w:rPr>
              <w:t>правовых оценок high</w:t>
            </w:r>
          </w:p>
        </w:tc>
        <w:tc>
          <w:tcPr>
            <w:tcW w:type="dxa" w:w="2296"/>
            <w:shd w:fill="E8F1F4"/>
            <w:tcMar>
              <w:top w:w="165" w:type="dxa"/>
              <w:start w:w="100" w:type="dxa"/>
              <w:bottom w:w="155" w:type="dxa"/>
              <w:end w:w="10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Noto Serif" w:hAnsi="Noto Serif"/>
                <w:b/>
                <w:color w:val="103A47"/>
                <w:sz w:val="44"/>
              </w:rPr>
              <w:t>32</w:t>
            </w:r>
          </w:p>
          <w:p>
            <w:pPr>
              <w:spacing w:after="0"/>
              <w:jc w:val="center"/>
            </w:pPr>
            <w:r>
              <w:rPr>
                <w:color w:val="5D6B75"/>
                <w:sz w:val="16"/>
              </w:rPr>
              <w:t>поля в каждой записи</w:t>
            </w:r>
          </w:p>
        </w:tc>
      </w:tr>
    </w:tbl>
    <w:p/>
    <w:p>
      <w:pPr>
        <w:pStyle w:val="Smallnote"/>
        <w:jc w:val="center"/>
      </w:pPr>
      <w:r>
        <w:t xml:space="preserve">Дата проверки: 3 сентября 2026 года. </w:t>
      </w:r>
      <w:r>
        <w:rPr>
          <w:i/>
        </w:rPr>
        <w:t>Правовые пометки — исследовательская оценка, а не юридическое заключение.</w:t>
      </w:r>
    </w:p>
    <w:p>
      <w:r>
        <w:br w:type="page"/>
      </w:r>
    </w:p>
    <w:p>
      <w:pPr>
        <w:pStyle w:val="Heading1"/>
        <w:pBdr>
          <w:bottom w:val="single" w:sz="8" w:space="3" w:color="B78A3A"/>
        </w:pBdr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0E4"/>
          <w:left w:val="single" w:sz="4" w:space="0" w:color="D5E0E4"/>
          <w:bottom w:val="single" w:sz="4" w:space="0" w:color="D5E0E4"/>
          <w:right w:val="single" w:sz="4" w:space="0" w:color="D5E0E4"/>
          <w:insideH w:val="single" w:sz="4" w:space="0" w:color="D5E0E4"/>
          <w:insideV w:val="single" w:sz="4" w:space="0" w:color="D5E0E4"/>
        </w:tblBorders>
      </w:tblPr>
      <w:tblGrid>
        <w:gridCol w:w="4989"/>
        <w:gridCol w:w="4989"/>
      </w:tblGrid>
      <w:tr>
        <w:tc>
          <w:tcPr>
            <w:tcW w:type="dxa" w:w="2353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ID строки ToS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A26</w:t>
            </w:r>
          </w:p>
        </w:tc>
      </w:tr>
      <w:tr>
        <w:tc>
          <w:tcPr>
            <w:tcW w:type="dxa" w:w="2353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Название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Европа — Эллинистические школы и библиотечная экосистема</w:t>
            </w:r>
          </w:p>
        </w:tc>
      </w:tr>
      <w:tr>
        <w:tc>
          <w:tcPr>
            <w:tcW w:type="dxa" w:w="2353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Исходный статус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A — сохранён без изменений</w:t>
            </w:r>
          </w:p>
        </w:tc>
      </w:tr>
      <w:tr>
        <w:tc>
          <w:tcPr>
            <w:tcW w:type="dxa" w:w="2353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Историческое ядро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Ок. 323–30 гг. до н. э.; хронологический ореол расширен назад и вперёд только по документируемым корпусным, трансмиссионным и рецепционным связям.</w:t>
            </w:r>
          </w:p>
        </w:tc>
      </w:tr>
      <w:tr>
        <w:tc>
          <w:tcPr>
            <w:tcW w:type="dxa" w:w="2353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Исходный DR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ToS Deep Research_ A26 — Европа — Эллинистические школы и библиотечная экосистема(1).docx</w:t>
            </w:r>
          </w:p>
        </w:tc>
      </w:tr>
      <w:tr>
        <w:tc>
          <w:tcPr>
            <w:tcW w:type="dxa" w:w="2353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Дата проверки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2026-09-03</w:t>
            </w:r>
          </w:p>
        </w:tc>
      </w:tr>
      <w:tr>
        <w:tc>
          <w:tcPr>
            <w:tcW w:type="dxa" w:w="2353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Языки поиска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Русский и английский; древнегреческие и латинские оригинальные названия и CTS-подобные идентификаторы; отдельные немецкие, французские, итальянские и испанские библиографические формы.</w:t>
            </w:r>
          </w:p>
        </w:tc>
      </w:tr>
      <w:tr>
        <w:tc>
          <w:tcPr>
            <w:tcW w:type="dxa" w:w="2353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Ядро корпуса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Эпикурейцы и Геркуланум; ранние стоики; Академия и Пирронизм; киники и перипатетическая линия; доксографическая передача; Каллимах и эллинистическая библиотечная инфраструктура.</w:t>
            </w:r>
          </w:p>
        </w:tc>
      </w:tr>
      <w:tr>
        <w:tc>
          <w:tcPr>
            <w:tcW w:type="dxa" w:w="2353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Искались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Произведения, корпуса, физические свидетели, переводы и издания, цифровые тексты и факсимиле, datasets/API, каталоги, item-level музейные и библиотечные записи.</w:t>
            </w:r>
          </w:p>
        </w:tc>
      </w:tr>
      <w:tr>
        <w:tc>
          <w:tcPr>
            <w:tcW w:type="dxa" w:w="2353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Источники доступа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Официальные цифровые корпуса; национальные и университетские библиотеки; музеи; научные репозитории; издательства; Project Gutenberg; Internet Archive; HathiTrust; специализированные папирологические и эпиграфические проекты.</w:t>
            </w:r>
          </w:p>
        </w:tc>
      </w:tr>
      <w:tr>
        <w:tc>
          <w:tcPr>
            <w:tcW w:type="dxa" w:w="2353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Источники идентификации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Критические и академические издания; библиотечные и музейные каталоги; CTS/DCLP/inventory identifiers; издательские страницы; официальные проектные описания.</w:t>
            </w:r>
          </w:p>
        </w:tc>
      </w:tr>
      <w:tr>
        <w:tc>
          <w:tcPr>
            <w:tcW w:type="dxa" w:w="2353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Источники прав</w:t>
            </w:r>
          </w:p>
        </w:tc>
        <w:tc>
          <w:tcPr>
            <w:tcW w:type="dxa" w:w="694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Item-level rights statements; LICENSE/README цифровых корпусов; Terms of Use библиотек и музеев; права издателей; осторожные выводы по сроку охраны, помеченные как вывод, а не как разрешение.</w:t>
            </w:r>
          </w:p>
        </w:tc>
      </w:tr>
    </w:tbl>
    <w:p/>
    <w:p>
      <w:r>
        <w:rPr>
          <w:b/>
        </w:rPr>
        <w:t xml:space="preserve">Единица учёта. </w:t>
      </w:r>
      <w:r>
        <w:t>Одна строка XLSX соответствует одному практически отличимому пути доступа к конкретному произведению, версии, переводу, свидетелю или цифровому объекту. Поэтому 124 строки нельзя читать как 124 разных произведения: один и тот же текст может иметь открытый оригинал, старый перевод, современное издание, рукописное факсимиле и библиотечный маршрут.</w:t>
      </w:r>
    </w:p>
    <w:p>
      <w:r>
        <w:rPr>
          <w:b/>
        </w:rPr>
        <w:t xml:space="preserve">Слабые навигационные источники. </w:t>
      </w:r>
      <w:r>
        <w:t>Они использовались только как поисковые подсказки. Ни одна ссылка на Wikipedia не вошла в поля доступа, метаданных или прав. Неподтверждённые или юридически неясные кандидаты вынесены в лист gaps; слабый русскоязычный HTML-путь к Сексту Эмпирику сохранён только как link-only с низкой уверенностью и отдельным заданием на замену.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7F0E0"/>
          <w:left w:val="single" w:sz="1" w:space="0" w:color="F7F0E0"/>
          <w:bottom w:val="single" w:sz="1" w:space="0" w:color="F7F0E0"/>
          <w:right w:val="single" w:sz="1" w:space="0" w:color="F7F0E0"/>
          <w:insideH w:val="single" w:sz="1" w:space="0" w:color="F7F0E0"/>
          <w:insideV w:val="single" w:sz="1" w:space="0" w:color="F7F0E0"/>
        </w:tblBorders>
      </w:tblPr>
      <w:tblGrid>
        <w:gridCol w:w="9411"/>
      </w:tblGrid>
      <w:tr>
        <w:tc>
          <w:tcPr>
            <w:tcW w:type="dxa" w:w="9979"/>
            <w:shd w:fill="F7F0E0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b/>
                <w:color w:val="7A3E1D"/>
                <w:sz w:val="22"/>
              </w:rPr>
              <w:t>Что пакет доказывает — и чего он не обещает</w:t>
            </w:r>
          </w:p>
          <w:p>
            <w:pPr>
              <w:spacing w:after="30" w:line="245" w:lineRule="auto"/>
              <w:ind w:left="85" w:hanging="85"/>
            </w:pPr>
            <w:r>
              <w:rPr>
                <w:b/>
                <w:color w:val="B78A3A"/>
              </w:rPr>
              <w:t xml:space="preserve">• </w:t>
            </w:r>
            <w:r>
              <w:rPr>
                <w:color w:val="1E293B"/>
                <w:sz w:val="18"/>
              </w:rPr>
              <w:t>Пакет фиксирует законный маршрут к объекту и отдельно оценивает возможность копирования, OCR, индексации, embeddings, собственного перевода и распространения.</w:t>
            </w:r>
          </w:p>
          <w:p>
            <w:pPr>
              <w:spacing w:after="30" w:line="245" w:lineRule="auto"/>
              <w:ind w:left="85" w:hanging="85"/>
            </w:pPr>
            <w:r>
              <w:rPr>
                <w:b/>
                <w:color w:val="B78A3A"/>
              </w:rPr>
              <w:t xml:space="preserve">• </w:t>
            </w:r>
            <w:r>
              <w:rPr>
                <w:color w:val="1E293B"/>
                <w:sz w:val="18"/>
              </w:rPr>
              <w:t>Бесплатное чтение или кнопка Download не трактуются как автоматическое право зеркалирования.</w:t>
            </w:r>
          </w:p>
          <w:p>
            <w:pPr>
              <w:spacing w:after="30" w:line="245" w:lineRule="auto"/>
              <w:ind w:left="85" w:hanging="85"/>
            </w:pPr>
            <w:r>
              <w:rPr>
                <w:b/>
                <w:color w:val="B78A3A"/>
              </w:rPr>
              <w:t xml:space="preserve">• </w:t>
            </w:r>
            <w:r>
              <w:rPr>
                <w:color w:val="1E293B"/>
                <w:sz w:val="18"/>
              </w:rPr>
              <w:t>Положительные теги действуют только в пределах rights_scope и coverage каждой строки.</w:t>
            </w:r>
          </w:p>
          <w:p>
            <w:pPr>
              <w:spacing w:after="30" w:line="245" w:lineRule="auto"/>
              <w:ind w:left="85" w:hanging="85"/>
            </w:pPr>
            <w:r>
              <w:rPr>
                <w:b/>
                <w:color w:val="B78A3A"/>
              </w:rPr>
              <w:t xml:space="preserve">• </w:t>
            </w:r>
            <w:r>
              <w:rPr>
                <w:color w:val="1E293B"/>
                <w:sz w:val="18"/>
              </w:rPr>
              <w:t>Для динамических проектов виртуального разворачивания папирусов сохраняются версия, дата проверки и требование повторной правовой верификации.</w:t>
            </w:r>
          </w:p>
        </w:tc>
      </w:tr>
    </w:tbl>
    <w:p>
      <w:pPr>
        <w:pStyle w:val="Heading1"/>
        <w:pBdr>
          <w:bottom w:val="single" w:sz="8" w:space="3" w:color="B78A3A"/>
        </w:pBdr>
      </w:pPr>
      <w:r>
        <w:t>2. Охват корпуса</w:t>
      </w:r>
    </w:p>
    <w:p>
      <w:pPr>
        <w:pStyle w:val="Heading2"/>
      </w:pPr>
      <w:r>
        <w:t>2.1. Центральные слои, извлечённые из исходного DR</w:t>
      </w:r>
    </w:p>
    <w:p>
      <w:pPr>
        <w:spacing w:after="80"/>
        <w:ind w:left="283" w:hanging="283"/>
      </w:pPr>
      <w:r>
        <w:rPr>
          <w:b/>
          <w:color w:val="B78A3A"/>
        </w:rPr>
        <w:t xml:space="preserve">◆ </w:t>
      </w:r>
      <w:r>
        <w:rPr>
          <w:b/>
          <w:color w:val="103A47"/>
        </w:rPr>
        <w:t xml:space="preserve">Эпикурейская линия. </w:t>
      </w:r>
      <w:r>
        <w:t>Эпикур, книга X Диогена Лаэртского, «Главные мысли», три письма, «Ватиканское собрание изречений», Лукреций, Филодем, Геркуланумские папирусы и надпись Диогена из Ойноанды.</w:t>
      </w:r>
    </w:p>
    <w:p>
      <w:pPr>
        <w:spacing w:after="80"/>
        <w:ind w:left="283" w:hanging="283"/>
      </w:pPr>
      <w:r>
        <w:rPr>
          <w:b/>
          <w:color w:val="B78A3A"/>
        </w:rPr>
        <w:t xml:space="preserve">◆ </w:t>
      </w:r>
      <w:r>
        <w:rPr>
          <w:b/>
          <w:color w:val="103A47"/>
        </w:rPr>
        <w:t xml:space="preserve">Ранний стоицизм. </w:t>
      </w:r>
      <w:r>
        <w:t>Зенон, Клеанф, Хрисипп и ранняя школа через Диогена Лаэртского, SVF, Стобея, Цицерона, Плутарха, Галена и позднейшие эпитомы.</w:t>
      </w:r>
    </w:p>
    <w:p>
      <w:pPr>
        <w:spacing w:after="80"/>
        <w:ind w:left="283" w:hanging="283"/>
      </w:pPr>
      <w:r>
        <w:rPr>
          <w:b/>
          <w:color w:val="B78A3A"/>
        </w:rPr>
        <w:t xml:space="preserve">◆ </w:t>
      </w:r>
      <w:r>
        <w:rPr>
          <w:b/>
          <w:color w:val="103A47"/>
        </w:rPr>
        <w:t xml:space="preserve">Академический и пирронический скептицизм. </w:t>
      </w:r>
      <w:r>
        <w:t>Аркесилай и Карнеад через Цицерона; Пиррон и Энесидем через Диогена Лаэртского, Фотия и Секста Эмпирика.</w:t>
      </w:r>
    </w:p>
    <w:p>
      <w:pPr>
        <w:spacing w:after="80"/>
        <w:ind w:left="283" w:hanging="283"/>
      </w:pPr>
      <w:r>
        <w:rPr>
          <w:b/>
          <w:color w:val="B78A3A"/>
        </w:rPr>
        <w:t xml:space="preserve">◆ </w:t>
      </w:r>
      <w:r>
        <w:rPr>
          <w:b/>
          <w:color w:val="103A47"/>
        </w:rPr>
        <w:t xml:space="preserve">Киники и перипатетики. </w:t>
      </w:r>
      <w:r>
        <w:t>Антисфен, Диоген, Кратет и сократическая генеалогия; Теофраст и перипатетическая преемственность; связанные доксографические компиляции.</w:t>
      </w:r>
    </w:p>
    <w:p>
      <w:pPr>
        <w:spacing w:after="80"/>
        <w:ind w:left="283" w:hanging="283"/>
      </w:pPr>
      <w:r>
        <w:rPr>
          <w:b/>
          <w:color w:val="B78A3A"/>
        </w:rPr>
        <w:t xml:space="preserve">◆ </w:t>
      </w:r>
      <w:r>
        <w:rPr>
          <w:b/>
          <w:color w:val="103A47"/>
        </w:rPr>
        <w:t xml:space="preserve">Библиотечная экосистема. </w:t>
      </w:r>
      <w:r>
        <w:t>Каллимах и утраченные «Πίνακες», александрийская филология, папирусная материальность, институциональная передача текста и пергамская граница.</w:t>
      </w:r>
    </w:p>
    <w:p>
      <w:pPr>
        <w:pStyle w:val="Heading2"/>
      </w:pPr>
      <w:r>
        <w:t>2.2. Что добавил живой веб-поиск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item-level DCLP/EpiDoc-записи десяти философских папирусов Филодема, а не только общая ссылка на papyri.info;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открытые оксфордские рисунки отдельных PHerc-свитков, Digital Bodleian и современные Vesuvius Challenge datasets с раздельными лицензиями данных и кода;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конкретные лейденские рукописи Цицерона и Лукреция, ватиканский свидетель Sententiae Vaticanae и музейный гомеровский папирус как материал библиотечной экосистемы;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цифровые маршруты к надписи Диогена из Ойноанды: DCLP, TU Berlin, CSIC, PHI и открытая статья с CC BY-NC-ND;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современные научные издательские маршруты, включая Loeb, Cambridge, OUP, Hackett и De Gruyter, даже когда доступ ограничен preview, библиотекой или покупкой;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актуальные 2025–2026 официальные сообщения и preprints о PHerc. 172 и PHerc. 1667, отделённые от ещё не опубликованных полных datasets и критических текстов.</w:t>
      </w:r>
    </w:p>
    <w:p>
      <w:pPr>
        <w:pStyle w:val="Heading2"/>
      </w:pPr>
      <w:r>
        <w:t>2.3. Открытый хронологический контур</w:t>
      </w:r>
    </w:p>
    <w:p>
      <w:r>
        <w:rPr>
          <w:b/>
        </w:rPr>
        <w:t xml:space="preserve">Поиск назад. </w:t>
      </w:r>
      <w:r>
        <w:t>В реестр вошли Платон («Тимей»), Аристотель («Никомахова этика»), Ксенофонт («Воспоминания о Сократе»), доксографические сообщения о Демокрите, Анаксархе и Пирроне, а также киническая линия книги VI Диогена Лаэртского. Их связь не сводится к сходной теме: это входящие концептуальные и генеалогические источники эллинистических школ.</w:t>
      </w:r>
    </w:p>
    <w:p>
      <w:r>
        <w:rPr>
          <w:b/>
        </w:rPr>
        <w:t xml:space="preserve">Поиск вперёд. </w:t>
      </w:r>
      <w:r>
        <w:t>Включены Сенека, Эпиктет, Марк Аврелий и Иерокл как продолжение стоической традиции; Плутарх, Гален, Евсевий, Фотий и Стобей как линии полемики, компиляции и сохранения; современные критические издания и цифровые реконструкции как практические носители доступа. Александр Афродисийский и несколько поздних линий оставлены в gaps для следующего прохода.</w:t>
      </w:r>
    </w:p>
    <w:p>
      <w:pPr>
        <w:pStyle w:val="Heading2"/>
      </w:pPr>
      <w:r>
        <w:t>2.4. Количественная картина</w:t>
      </w:r>
    </w:p>
    <w:p>
      <w:pPr>
        <w:pStyle w:val="Smallnote"/>
      </w:pPr>
      <w:r>
        <w:t>Ниже считаются именно записи-пути доступа. Один текст может учитываться несколько раз, если различаются язык, перевод, репозиторий, свидетель, полнота или права.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0E4"/>
          <w:left w:val="single" w:sz="4" w:space="0" w:color="D5E0E4"/>
          <w:bottom w:val="single" w:sz="4" w:space="0" w:color="D5E0E4"/>
          <w:right w:val="single" w:sz="4" w:space="0" w:color="D5E0E4"/>
          <w:insideH w:val="single" w:sz="4" w:space="0" w:color="D5E0E4"/>
          <w:insideV w:val="single" w:sz="4" w:space="0" w:color="D5E0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326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Число записей</w:t>
            </w:r>
          </w:p>
        </w:tc>
        <w:tc>
          <w:tcPr>
            <w:tcW w:type="dxa" w:w="3326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Как читать показатель</w:t>
            </w:r>
          </w:p>
        </w:tc>
      </w:tr>
      <w:tr>
        <w:tc>
          <w:tcPr>
            <w:tcW w:type="dxa" w:w="3005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core</w:t>
            </w:r>
          </w:p>
        </w:tc>
        <w:tc>
          <w:tcPr>
            <w:tcW w:type="dxa" w:w="1474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35</w:t>
            </w:r>
          </w:p>
        </w:tc>
        <w:tc>
          <w:tcPr>
            <w:tcW w:type="dxa" w:w="4819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центральные тексты, свидетели и их прямые издания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same_corpus_or_tradition</w:t>
            </w:r>
          </w:p>
        </w:tc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8</w:t>
            </w:r>
          </w:p>
        </w:tc>
        <w:tc>
          <w:tcPr>
            <w:tcW w:type="dxa" w:w="4819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прямые члены тех же школ, серий и жанровых линий</w:t>
            </w:r>
          </w:p>
        </w:tc>
      </w:tr>
      <w:tr>
        <w:tc>
          <w:tcPr>
            <w:tcW w:type="dxa" w:w="3005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antecedent</w:t>
            </w:r>
          </w:p>
        </w:tc>
        <w:tc>
          <w:tcPr>
            <w:tcW w:type="dxa" w:w="1474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4</w:t>
            </w:r>
          </w:p>
        </w:tc>
        <w:tc>
          <w:tcPr>
            <w:tcW w:type="dxa" w:w="4819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входящие ранние источники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continuation</w:t>
            </w:r>
          </w:p>
        </w:tc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16</w:t>
            </w:r>
          </w:p>
        </w:tc>
        <w:tc>
          <w:tcPr>
            <w:tcW w:type="dxa" w:w="4819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позднейшая фаза той же традиции</w:t>
            </w:r>
          </w:p>
        </w:tc>
      </w:tr>
      <w:tr>
        <w:tc>
          <w:tcPr>
            <w:tcW w:type="dxa" w:w="3005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commentary_or_reception</w:t>
            </w:r>
          </w:p>
        </w:tc>
        <w:tc>
          <w:tcPr>
            <w:tcW w:type="dxa" w:w="1474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4</w:t>
            </w:r>
          </w:p>
        </w:tc>
        <w:tc>
          <w:tcPr>
            <w:tcW w:type="dxa" w:w="4819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полемика и содержательная рецепция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transmission_or_preservation</w:t>
            </w:r>
          </w:p>
        </w:tc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37</w:t>
            </w:r>
          </w:p>
        </w:tc>
        <w:tc>
          <w:tcPr>
            <w:tcW w:type="dxa" w:w="4819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компиляции, переводы, testimonia и носители сохранения</w:t>
            </w:r>
          </w:p>
        </w:tc>
      </w:tr>
      <w:tr>
        <w:tc>
          <w:tcPr>
            <w:tcW w:type="dxa" w:w="3005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supporting</w:t>
            </w:r>
          </w:p>
        </w:tc>
        <w:tc>
          <w:tcPr>
            <w:tcW w:type="dxa" w:w="1474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3</w:t>
            </w:r>
          </w:p>
        </w:tc>
        <w:tc>
          <w:tcPr>
            <w:tcW w:type="dxa" w:w="4819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вспомогательные исследовательские объекты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boundary</w:t>
            </w:r>
          </w:p>
        </w:tc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0</w:t>
            </w:r>
          </w:p>
        </w:tc>
        <w:tc>
          <w:tcPr>
            <w:tcW w:type="dxa" w:w="4819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пограничный объект соседнего институционального поля</w:t>
            </w:r>
          </w:p>
        </w:tc>
      </w:tr>
      <w:tr>
        <w:tc>
          <w:tcPr>
            <w:tcW w:type="dxa" w:w="3005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infrastructure</w:t>
            </w:r>
          </w:p>
        </w:tc>
        <w:tc>
          <w:tcPr>
            <w:tcW w:type="dxa" w:w="1474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17</w:t>
            </w:r>
          </w:p>
        </w:tc>
        <w:tc>
          <w:tcPr>
            <w:tcW w:type="dxa" w:w="4819"/>
            <w:shd w:fill="F5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корпус, API, каталог или репозиторий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secondary_navigation</w:t>
            </w:r>
          </w:p>
        </w:tc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B78A3A"/>
                <w:sz w:val="19"/>
              </w:rPr>
              <w:t>0</w:t>
            </w:r>
          </w:p>
        </w:tc>
        <w:tc>
          <w:tcPr>
            <w:tcW w:type="dxa" w:w="4819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поисковая и библиографическая навигация</w:t>
            </w:r>
          </w:p>
        </w:tc>
      </w:tr>
    </w:tbl>
    <w:p>
      <w:r>
        <w:rPr>
          <w:b/>
        </w:rPr>
        <w:t xml:space="preserve">Разделение произведений и ссылок. </w:t>
      </w:r>
      <w:r>
        <w:t>124 записи консервативно сводятся примерно к 50–60 именованным произведениям и корпусам, плюс более двух десятков отдельно идентифицированных рукописных, папирусных, эпиграфических и dataset-свидетелей. Диапазон указан намеренно: границы фрагментарных трактатов Филодема, томов SVF/Стобея и составных книг Секста зависят от редакционной модели.</w:t>
      </w:r>
    </w:p>
    <w:p>
      <w:r>
        <w:br w:type="page"/>
      </w:r>
    </w:p>
    <w:p>
      <w:pPr>
        <w:pStyle w:val="Heading1"/>
        <w:pBdr>
          <w:bottom w:val="single" w:sz="8" w:space="3" w:color="B78A3A"/>
        </w:pBdr>
      </w:pPr>
      <w:r>
        <w:t>3. Лучшие пути доступа</w:t>
      </w:r>
    </w:p>
    <w:p>
      <w:pPr>
        <w:pStyle w:val="Lead"/>
      </w:pPr>
      <w:r>
        <w:t>Ниже — не полный повтор XLSX, а практическая карта лучших входов. Record ID позволяет сразу найти точную строку, права и прямую ссылку в registry.</w:t>
      </w:r>
    </w:p>
    <w:p>
      <w:pPr>
        <w:pStyle w:val="Heading2"/>
      </w:pPr>
      <w:r>
        <w:t>3.1. Диоген Лаэртский и Эпикур</w:t>
      </w:r>
    </w:p>
    <w:p>
      <w:r>
        <w:t>Этот узел лучше всего закрывается сочетанием открытого греческого текста, старых переводов и современных научных изданий.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Свободное чтение оригинала: </w:t>
      </w:r>
      <w:r>
        <w:t xml:space="preserve">Scaife/Perseus: греческий текст «Жизней философов», включая книги VI–X. </w:t>
      </w:r>
      <w:r>
        <w:rPr>
          <w:b/>
          <w:color w:val="B78A3A"/>
        </w:rPr>
        <w:t>[A26-R001]</w:t>
      </w:r>
      <w:r>
        <w:t xml:space="preserve">  </w:t>
      </w:r>
      <w:hyperlink r:id="rId13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Свободный английский перевод: </w:t>
      </w:r>
      <w:r>
        <w:t xml:space="preserve">Project Gutenberg: перевод C. D. Yonge целиком; полезен как публичнодоменный навигационный слой в США. </w:t>
      </w:r>
      <w:r>
        <w:rPr>
          <w:b/>
          <w:color w:val="B78A3A"/>
        </w:rPr>
        <w:t>[A26-R003]</w:t>
      </w:r>
      <w:r>
        <w:t xml:space="preserve">  </w:t>
      </w:r>
      <w:hyperlink r:id="rId14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Эпикур в первичном носителе: </w:t>
      </w:r>
      <w:r>
        <w:t xml:space="preserve">Книга X Диогена: три письма, «Главные мысли» и биографический контекст на древнегреческом. </w:t>
      </w:r>
      <w:r>
        <w:rPr>
          <w:b/>
          <w:color w:val="B78A3A"/>
        </w:rPr>
        <w:t>[A26-R008]</w:t>
      </w:r>
      <w:r>
        <w:t xml:space="preserve">  </w:t>
      </w:r>
      <w:hyperlink r:id="rId15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Старое научное издание: </w:t>
      </w:r>
      <w:r>
        <w:t xml:space="preserve">Cyril Bailey, Epicurus (1926), скан Internet Archive; свободное чтение/скачивание не означает автоматически мировой public domain. </w:t>
      </w:r>
      <w:r>
        <w:rPr>
          <w:b/>
          <w:color w:val="B78A3A"/>
        </w:rPr>
        <w:t>[A26-R009]</w:t>
      </w:r>
      <w:r>
        <w:t xml:space="preserve">  </w:t>
      </w:r>
      <w:hyperlink r:id="rId16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Факсимиле Sententiae Vaticanae: </w:t>
      </w:r>
      <w:r>
        <w:t xml:space="preserve">DigiVatLib, Vat. gr. 1950, pt. 2; чистый свидетель, но повторное использование изображений требует проверки условий Ватикана. </w:t>
      </w:r>
      <w:r>
        <w:rPr>
          <w:b/>
          <w:color w:val="B78A3A"/>
        </w:rPr>
        <w:t>[A26-R011]</w:t>
      </w:r>
      <w:r>
        <w:t xml:space="preserve">  </w:t>
      </w:r>
      <w:hyperlink r:id="rId17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Современный научный вход: </w:t>
      </w:r>
      <w:r>
        <w:t xml:space="preserve">Hackett, The Epicurus Reader: компактный современный перевод и аппарат; purchase/link-only. </w:t>
      </w:r>
      <w:r>
        <w:rPr>
          <w:b/>
          <w:color w:val="B78A3A"/>
        </w:rPr>
        <w:t>[A26-R012]</w:t>
      </w:r>
      <w:r>
        <w:t xml:space="preserve">  </w:t>
      </w:r>
      <w:hyperlink r:id="rId18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pStyle w:val="Heading2"/>
      </w:pPr>
      <w:r>
        <w:t>3.2. Ранний стоицизм и фрагменты</w:t>
      </w:r>
    </w:p>
    <w:p>
      <w:r>
        <w:t>Поскольку произведения Зенона, Клеанфа и Хрисиппа в основном утрачены, доступ строится вокруг testimonia и фрагментарных сборок.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Открытая древнегреческая передача: </w:t>
      </w:r>
      <w:r>
        <w:t xml:space="preserve">Книга VII Диогена Лаэртского через Perseus/Scaife; машиночитаемая основа для цитат и собственного перевода в пределах текста. </w:t>
      </w:r>
      <w:r>
        <w:rPr>
          <w:b/>
          <w:color w:val="B78A3A"/>
        </w:rPr>
        <w:t>[A26-R014]</w:t>
      </w:r>
      <w:r>
        <w:t xml:space="preserve">  </w:t>
      </w:r>
      <w:hyperlink r:id="rId19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Классический фрагментарный корпус: </w:t>
      </w:r>
      <w:r>
        <w:t xml:space="preserve">SVF, том I, публичнодоменный скан Internet Archive; тома II–III вынесены в соседние строки registry. </w:t>
      </w:r>
      <w:r>
        <w:rPr>
          <w:b/>
          <w:color w:val="B78A3A"/>
        </w:rPr>
        <w:t>[A26-R015]</w:t>
      </w:r>
      <w:r>
        <w:t xml:space="preserve">  </w:t>
      </w:r>
      <w:hyperlink r:id="rId20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Лучший современный синоптический корпус: </w:t>
      </w:r>
      <w:r>
        <w:t xml:space="preserve">Long &amp; Sedley, The Hellenistic Philosophers: стандартный двуязычный научный инструмент, доступ через Cambridge/библиотеку/покупку. </w:t>
      </w:r>
      <w:r>
        <w:rPr>
          <w:b/>
          <w:color w:val="B78A3A"/>
        </w:rPr>
        <w:t>[A26-R020]</w:t>
      </w:r>
      <w:r>
        <w:t xml:space="preserve">  </w:t>
      </w:r>
      <w:hyperlink r:id="rId21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Современная критическая преемственность: </w:t>
      </w:r>
      <w:r>
        <w:t xml:space="preserve">De Gruyter, Stoicorum Veterum Fragmenta 4.1; права издателя, только link/preview/purchase. </w:t>
      </w:r>
      <w:r>
        <w:rPr>
          <w:b/>
          <w:color w:val="B78A3A"/>
        </w:rPr>
        <w:t>[A26-R019]</w:t>
      </w:r>
      <w:r>
        <w:t xml:space="preserve">  </w:t>
      </w:r>
      <w:hyperlink r:id="rId22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Открытый пробел: </w:t>
      </w:r>
      <w:r>
        <w:t xml:space="preserve">Клеанфов «Гимн к Зевсу» пока не получил отдельный, проверенный, лицензированный item-level маршрут. </w:t>
      </w:r>
      <w:r>
        <w:rPr>
          <w:b/>
          <w:color w:val="B78A3A"/>
        </w:rPr>
        <w:t>[A26-G003]</w:t>
      </w:r>
    </w:p>
    <w:p>
      <w:pPr>
        <w:pStyle w:val="Heading2"/>
      </w:pPr>
      <w:r>
        <w:t>3.3. Академия, Цицерон и Лукреций</w:t>
      </w:r>
    </w:p>
    <w:p>
      <w:r>
        <w:t>Латинская линия одновременно хранит философские аргументы эллинистических школ и предоставляет один из самых чистых цифровых слоёв.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Цицерон, оригиналы: </w:t>
      </w:r>
      <w:r>
        <w:t xml:space="preserve">«Academica» в canonical Latin/Perseus; те же открытые маршруты найдены для De finibus, De natura deorum и De officiis. </w:t>
      </w:r>
      <w:r>
        <w:rPr>
          <w:b/>
          <w:color w:val="B78A3A"/>
        </w:rPr>
        <w:t>[A26-R023]</w:t>
      </w:r>
      <w:r>
        <w:t xml:space="preserve">  </w:t>
      </w:r>
      <w:hyperlink r:id="rId23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Старый перевод De officiis: </w:t>
      </w:r>
      <w:r>
        <w:t xml:space="preserve">Project Gutenberg, полный текст/скачивание; public-domain status ограничен оговорками платформы и юрисдикции. </w:t>
      </w:r>
      <w:r>
        <w:rPr>
          <w:b/>
          <w:color w:val="B78A3A"/>
        </w:rPr>
        <w:t>[A26-R027]</w:t>
      </w:r>
      <w:r>
        <w:t xml:space="preserve">  </w:t>
      </w:r>
      <w:hyperlink r:id="rId24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Лейденские рукописи: </w:t>
      </w:r>
      <w:r>
        <w:t xml:space="preserve">VLF 84 — факсимиле Цицерона; для изображений оставлен RIGHTS_REVIEW_REQUIRED до извлечения item-level IIIF rights. </w:t>
      </w:r>
      <w:r>
        <w:rPr>
          <w:b/>
          <w:color w:val="B78A3A"/>
        </w:rPr>
        <w:t>[A26-R029]</w:t>
      </w:r>
      <w:r>
        <w:t xml:space="preserve">  </w:t>
      </w:r>
      <w:hyperlink r:id="rId25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Лукреций, открытый оригинал: </w:t>
      </w:r>
      <w:r>
        <w:t xml:space="preserve">Perseus/Scaife, латинский De rerum natura, пригодный для полнотекстового поиска и собственного перевода по CC BY-SA. </w:t>
      </w:r>
      <w:r>
        <w:rPr>
          <w:b/>
          <w:color w:val="B78A3A"/>
        </w:rPr>
        <w:t>[A26-R034]</w:t>
      </w:r>
      <w:r>
        <w:t xml:space="preserve">  </w:t>
      </w:r>
      <w:hyperlink r:id="rId26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Лукреций, публичнодоменный перевод: </w:t>
      </w:r>
      <w:r>
        <w:t xml:space="preserve">Project Gutenberg: William Ellery Leonard; полный английский текст. </w:t>
      </w:r>
      <w:r>
        <w:rPr>
          <w:b/>
          <w:color w:val="B78A3A"/>
        </w:rPr>
        <w:t>[A26-R035]</w:t>
      </w:r>
      <w:r>
        <w:t xml:space="preserve">  </w:t>
      </w:r>
      <w:hyperlink r:id="rId27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Современный научный перевод: </w:t>
      </w:r>
      <w:r>
        <w:t xml:space="preserve">Hackett, перевод Martin Ferguson Smith; защищённое издание, link/purchase only. </w:t>
      </w:r>
      <w:r>
        <w:rPr>
          <w:b/>
          <w:color w:val="B78A3A"/>
        </w:rPr>
        <w:t>[A26-R039]</w:t>
      </w:r>
      <w:r>
        <w:t xml:space="preserve">  </w:t>
      </w:r>
      <w:hyperlink r:id="rId28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pStyle w:val="Heading2"/>
      </w:pPr>
      <w:r>
        <w:t>3.4. Секст Эмпирик и пирронизм</w:t>
      </w:r>
    </w:p>
    <w:p>
      <w:r>
        <w:t>Здесь особенно важно не смешивать открытый греческий текст, старые переводы и современные философские реконструкции.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Греческий «Пирронизм»: </w:t>
      </w:r>
      <w:r>
        <w:t xml:space="preserve">First1KGreek/Scaife, Outlines of Pyrrhonism; XML-слой CC BY-SA. </w:t>
      </w:r>
      <w:r>
        <w:rPr>
          <w:b/>
          <w:color w:val="B78A3A"/>
        </w:rPr>
        <w:t>[A26-R041]</w:t>
      </w:r>
      <w:r>
        <w:t xml:space="preserve">  </w:t>
      </w:r>
      <w:hyperlink r:id="rId29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Старый английский перевод: </w:t>
      </w:r>
      <w:r>
        <w:t xml:space="preserve">R. G. Bury/Patrick-era public-domain route через Project Gutenberg; полный текст. </w:t>
      </w:r>
      <w:r>
        <w:rPr>
          <w:b/>
          <w:color w:val="B78A3A"/>
        </w:rPr>
        <w:t>[A26-R043]</w:t>
      </w:r>
      <w:r>
        <w:t xml:space="preserve">  </w:t>
      </w:r>
      <w:hyperlink r:id="rId30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Критический греческий скан: </w:t>
      </w:r>
      <w:r>
        <w:t xml:space="preserve">Bekker, Sexti Empirici Opera (1842), Internet Archive; историческое издание, пригодное для исследовательского OCR с юрисдикционной оговоркой. </w:t>
      </w:r>
      <w:r>
        <w:rPr>
          <w:b/>
          <w:color w:val="B78A3A"/>
        </w:rPr>
        <w:t>[A26-R045]</w:t>
      </w:r>
      <w:r>
        <w:t xml:space="preserve">  </w:t>
      </w:r>
      <w:hyperlink r:id="rId31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Современная философская версия: </w:t>
      </w:r>
      <w:r>
        <w:t xml:space="preserve">Cambridge, Against the Logicians; purchase/institutional access, без права зеркалирования. </w:t>
      </w:r>
      <w:r>
        <w:rPr>
          <w:b/>
          <w:color w:val="B78A3A"/>
        </w:rPr>
        <w:t>[A26-R048]</w:t>
      </w:r>
      <w:r>
        <w:t xml:space="preserve">  </w:t>
      </w:r>
      <w:hyperlink r:id="rId32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Русский путь: </w:t>
      </w:r>
      <w:r>
        <w:t xml:space="preserve">Бесплатный HTML обнаружен, но библиография и права неясны; строка намеренно low-confidence и link-only. </w:t>
      </w:r>
      <w:r>
        <w:rPr>
          <w:b/>
          <w:color w:val="B78A3A"/>
        </w:rPr>
        <w:t>[A26-R050]</w:t>
      </w:r>
      <w:r>
        <w:t xml:space="preserve">  </w:t>
      </w:r>
      <w:hyperlink r:id="rId33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pStyle w:val="Heading2"/>
      </w:pPr>
      <w:r>
        <w:t>3.5. Перипатетики и доксографическая передача</w:t>
      </w:r>
    </w:p>
    <w:p>
      <w:r>
        <w:t>Этот слой не является второстепенным приложением: именно через него восстанавливаются утраченные эллинистические позиции.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Теофраст: </w:t>
      </w:r>
      <w:r>
        <w:t xml:space="preserve">«Характеры» в First1KGreek/Scaife; открытый оригинал и XML. </w:t>
      </w:r>
      <w:r>
        <w:rPr>
          <w:b/>
          <w:color w:val="B78A3A"/>
        </w:rPr>
        <w:t>[A26-R051]</w:t>
      </w:r>
      <w:r>
        <w:t xml:space="preserve">  </w:t>
      </w:r>
      <w:hyperlink r:id="rId34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Aëtius / Placita: </w:t>
      </w:r>
      <w:r>
        <w:t xml:space="preserve">Pseudo-Plutarch, Placita philosophorum в First1KGreek; ключевой доксографический маршрут. </w:t>
      </w:r>
      <w:r>
        <w:rPr>
          <w:b/>
          <w:color w:val="B78A3A"/>
        </w:rPr>
        <w:t>[A26-R054]</w:t>
      </w:r>
      <w:r>
        <w:t xml:space="preserve">  </w:t>
      </w:r>
      <w:hyperlink r:id="rId35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Doxographi Graeci: </w:t>
      </w:r>
      <w:r>
        <w:t xml:space="preserve">Diels (1879), Internet Archive; классическая публичнодоменная сборка, но научно устаревшая в деталях. </w:t>
      </w:r>
      <w:r>
        <w:rPr>
          <w:b/>
          <w:color w:val="B78A3A"/>
        </w:rPr>
        <w:t>[A26-R056]</w:t>
      </w:r>
      <w:r>
        <w:t xml:space="preserve">  </w:t>
      </w:r>
      <w:hyperlink r:id="rId36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Стобей: </w:t>
      </w:r>
      <w:r>
        <w:t xml:space="preserve">Anthologium, том IV, Internet Archive; ещё требуется полный комплект всех томов. </w:t>
      </w:r>
      <w:r>
        <w:rPr>
          <w:b/>
          <w:color w:val="B78A3A"/>
        </w:rPr>
        <w:t>[A26-R057]</w:t>
      </w:r>
      <w:r>
        <w:t xml:space="preserve">  </w:t>
      </w:r>
      <w:hyperlink r:id="rId37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Плутарховская полемика: </w:t>
      </w:r>
      <w:r>
        <w:t xml:space="preserve">De Stoicorum repugnantiis в First1KGreek; другие антистоические и антиэпикурейские трактаты — соседние строки. </w:t>
      </w:r>
      <w:r>
        <w:rPr>
          <w:b/>
          <w:color w:val="B78A3A"/>
        </w:rPr>
        <w:t>[A26-R059]</w:t>
      </w:r>
      <w:r>
        <w:t xml:space="preserve">  </w:t>
      </w:r>
      <w:hyperlink r:id="rId38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Гален, Евсевий, Фотий: </w:t>
      </w:r>
      <w:r>
        <w:t xml:space="preserve">Галенов De placitis в First1KGreek; Евсевий и Фотий дополнительно фиксируют школы и утраченные сочинения. </w:t>
      </w:r>
      <w:r>
        <w:rPr>
          <w:b/>
          <w:color w:val="B78A3A"/>
        </w:rPr>
        <w:t>[A26-R063]</w:t>
      </w:r>
      <w:r>
        <w:t xml:space="preserve">  </w:t>
      </w:r>
      <w:hyperlink r:id="rId39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pStyle w:val="Heading2"/>
      </w:pPr>
      <w:r>
        <w:t>3.6. Филодем и Геркуланум</w:t>
      </w:r>
    </w:p>
    <w:p>
      <w:r>
        <w:t>Это наиболее богатый и одновременно наиболее динамический сегмент пакета: текст, факсимиле, томография и реконструкция имеют разные права.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Открытая транскрипция папирусов: </w:t>
      </w:r>
      <w:r>
        <w:t xml:space="preserve">DCLP 62505 / P.Herc. 1088, «О благочестии»: EpiDoc XML по CC BY 3.0; ещё девять трактатов представлены отдельными строками. </w:t>
      </w:r>
      <w:r>
        <w:rPr>
          <w:b/>
          <w:color w:val="B78A3A"/>
        </w:rPr>
        <w:t>[A26-R066]</w:t>
      </w:r>
      <w:r>
        <w:t xml:space="preserve">  </w:t>
      </w:r>
      <w:hyperlink r:id="rId40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Машиночитаемый файл: </w:t>
      </w:r>
      <w:r>
        <w:t xml:space="preserve">GitHub idp.data, конкретный XML; атрибуция обязательна, фотографии третьих лиц не включены. </w:t>
      </w:r>
      <w:r>
        <w:rPr>
          <w:b/>
          <w:color w:val="B78A3A"/>
        </w:rPr>
        <w:t>[A26-R066]</w:t>
      </w:r>
      <w:r>
        <w:t xml:space="preserve">  </w:t>
      </w:r>
      <w:hyperlink r:id="rId41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Оксфордские рисунки: </w:t>
      </w:r>
      <w:r>
        <w:t xml:space="preserve">P.Herc. 1021, «История Академии», Figshare; CC BY-NC 4.0, некоммерческое зеркалирование с атрибуцией. </w:t>
      </w:r>
      <w:r>
        <w:rPr>
          <w:b/>
          <w:color w:val="B78A3A"/>
        </w:rPr>
        <w:t>[A26-R074]</w:t>
      </w:r>
      <w:r>
        <w:t xml:space="preserve">  </w:t>
      </w:r>
      <w:hyperlink r:id="rId42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Digital Bodleian: </w:t>
      </w:r>
      <w:r>
        <w:t xml:space="preserve">Item-level объект Геркуланума; общие условия CC BY-NC для большинства изображений, но исключения проверяются на уровне объекта. </w:t>
      </w:r>
      <w:r>
        <w:rPr>
          <w:b/>
          <w:color w:val="B78A3A"/>
        </w:rPr>
        <w:t>[A26-R078]</w:t>
      </w:r>
      <w:r>
        <w:t xml:space="preserve">  </w:t>
      </w:r>
      <w:hyperlink r:id="rId43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Vesuvius dataset: </w:t>
      </w:r>
      <w:r>
        <w:t xml:space="preserve">Официальный open-data репозиторий: scans/data CC BY-NC 4.0, код отдельно MIT. </w:t>
      </w:r>
      <w:r>
        <w:rPr>
          <w:b/>
          <w:color w:val="B78A3A"/>
        </w:rPr>
        <w:t>[A26-R083]</w:t>
      </w:r>
      <w:r>
        <w:t xml:space="preserve">  </w:t>
      </w:r>
      <w:hyperlink r:id="rId44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Текущая граница чтения: </w:t>
      </w:r>
      <w:r>
        <w:t xml:space="preserve">PHerc. 172: официальный оксфордский отчёт о виртуальном разворачивании; полного публичного текста/dataset ещё нет. </w:t>
      </w:r>
      <w:r>
        <w:rPr>
          <w:b/>
          <w:color w:val="B78A3A"/>
        </w:rPr>
        <w:t>[A26-R087]</w:t>
      </w:r>
      <w:r>
        <w:t xml:space="preserve">  </w:t>
      </w:r>
      <w:hyperlink r:id="rId45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pStyle w:val="Heading2"/>
      </w:pPr>
      <w:r>
        <w:t>3.7. Диоген из Ойноанды</w:t>
      </w:r>
    </w:p>
    <w:p>
      <w:r>
        <w:t>Надпись — редкий случай, где философский текст, физический памятник, эпиграфическая база и цифровая реконструкция образуют единый доступный узел.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Открытая запись и транскрипция: </w:t>
      </w:r>
      <w:r>
        <w:t xml:space="preserve">DCLP 865216; EpiDoc XML по CC BY 3.0. </w:t>
      </w:r>
      <w:r>
        <w:rPr>
          <w:b/>
          <w:color w:val="B78A3A"/>
        </w:rPr>
        <w:t>[A26-R091]</w:t>
      </w:r>
      <w:r>
        <w:t xml:space="preserve">  </w:t>
      </w:r>
      <w:hyperlink r:id="rId46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Проектное чтение: </w:t>
      </w:r>
      <w:r>
        <w:t xml:space="preserve">TU Berlin: цифровой проект по надписи и фрагментам. </w:t>
      </w:r>
      <w:r>
        <w:rPr>
          <w:b/>
          <w:color w:val="B78A3A"/>
        </w:rPr>
        <w:t>[A26-R092]</w:t>
      </w:r>
      <w:r>
        <w:t xml:space="preserve">  </w:t>
      </w:r>
      <w:hyperlink r:id="rId47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Цифровое издание: </w:t>
      </w:r>
      <w:r>
        <w:t xml:space="preserve">CSIC Digital Edition of Diogenes of Oinoanda; чтение/навигация, права требуют item-level проверки. </w:t>
      </w:r>
      <w:r>
        <w:rPr>
          <w:b/>
          <w:color w:val="B78A3A"/>
        </w:rPr>
        <w:t>[A26-R093]</w:t>
      </w:r>
      <w:r>
        <w:t xml:space="preserve">  </w:t>
      </w:r>
      <w:hyperlink r:id="rId48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Наиболее явная современная лицензия: </w:t>
      </w:r>
      <w:r>
        <w:t xml:space="preserve">Urbi et Orbi, PDF CC BY-NC-ND 4.0: можно скачивать и распространять только неизменённо, некоммерчески и с атрибуцией. </w:t>
      </w:r>
      <w:r>
        <w:rPr>
          <w:b/>
          <w:color w:val="B78A3A"/>
        </w:rPr>
        <w:t>[A26-R095]</w:t>
      </w:r>
      <w:r>
        <w:t xml:space="preserve">  </w:t>
      </w:r>
      <w:hyperlink r:id="rId49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pStyle w:val="Heading2"/>
      </w:pPr>
      <w:r>
        <w:t>3.8. Каллимах и библиотечная экосистема</w:t>
      </w:r>
    </w:p>
    <w:p>
      <w:r>
        <w:t>Здесь цифровая доступность неравномерна: сохранившаяся поэзия доступна лучше, чем сам утраченный каталог «Πίνακες».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Утраченный каталог: </w:t>
      </w:r>
      <w:r>
        <w:t xml:space="preserve">«Πίνακες» зафиксированы как metadata-only: полного текста не существует; нельзя подменять его популярной историей Александрийской библиотеки. </w:t>
      </w:r>
      <w:r>
        <w:rPr>
          <w:b/>
          <w:color w:val="B78A3A"/>
        </w:rPr>
        <w:t>[A26-R096]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Старые фрагменты Каллимаха: </w:t>
      </w:r>
      <w:r>
        <w:t xml:space="preserve">Schneider, Callimachea, том II, Internet Archive; публичнодоменный исторический корпус. </w:t>
      </w:r>
      <w:r>
        <w:rPr>
          <w:b/>
          <w:color w:val="B78A3A"/>
        </w:rPr>
        <w:t>[A26-R097]</w:t>
      </w:r>
      <w:r>
        <w:t xml:space="preserve">  </w:t>
      </w:r>
      <w:hyperlink r:id="rId50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Открытая Aetia: </w:t>
      </w:r>
      <w:r>
        <w:t xml:space="preserve">Dickinson College Commentaries: Prologue to the Aetia, Greek text и комментарий; CC BY-SA 4.0. </w:t>
      </w:r>
      <w:r>
        <w:rPr>
          <w:b/>
          <w:color w:val="B78A3A"/>
        </w:rPr>
        <w:t>[A26-R098]</w:t>
      </w:r>
      <w:r>
        <w:t xml:space="preserve">  </w:t>
      </w:r>
      <w:hyperlink r:id="rId51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Факсимильный музейный слой: </w:t>
      </w:r>
      <w:r>
        <w:t xml:space="preserve">The Met, гомеровский папирус, item-level Open Access/CC0; один свидетель, не общий корпус. </w:t>
      </w:r>
      <w:r>
        <w:rPr>
          <w:b/>
          <w:color w:val="B78A3A"/>
        </w:rPr>
        <w:t>[A26-R099]</w:t>
      </w:r>
      <w:r>
        <w:t xml:space="preserve">  </w:t>
      </w:r>
      <w:hyperlink r:id="rId52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Навигация по институциональным свидетельствам: </w:t>
      </w:r>
      <w:r>
        <w:t xml:space="preserve">Trismegistos: идентификаторы и библиография Александрии/Мусейона; link-only, без bulk-прав. </w:t>
      </w:r>
      <w:r>
        <w:rPr>
          <w:b/>
          <w:color w:val="B78A3A"/>
        </w:rPr>
        <w:t>[A26-R100]</w:t>
      </w:r>
      <w:r>
        <w:t xml:space="preserve">  </w:t>
      </w:r>
      <w:hyperlink r:id="rId53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pStyle w:val="Heading2"/>
      </w:pPr>
      <w:r>
        <w:t>3.9. Поздняя стоическая преемственность</w:t>
      </w:r>
    </w:p>
    <w:p>
      <w:r>
        <w:t>Эти произведения лежат вне ядра 323–30 гг. до н. э., но являются прямым продолжением стоической традиции и ключевыми каналами её рецепции.</w:t>
      </w:r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Сенека: </w:t>
      </w:r>
      <w:r>
        <w:t xml:space="preserve">Moral Letters в Project Gutenberg; старый английский перевод и загрузка. </w:t>
      </w:r>
      <w:r>
        <w:rPr>
          <w:b/>
          <w:color w:val="B78A3A"/>
        </w:rPr>
        <w:t>[A26-R101]</w:t>
      </w:r>
      <w:r>
        <w:t xml:space="preserve">  </w:t>
      </w:r>
      <w:hyperlink r:id="rId54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Эпиктет: </w:t>
      </w:r>
      <w:r>
        <w:t xml:space="preserve">George Long, Discourses, Project Gutenberg; полный публичнодоменный перевод в США. </w:t>
      </w:r>
      <w:r>
        <w:rPr>
          <w:b/>
          <w:color w:val="B78A3A"/>
        </w:rPr>
        <w:t>[A26-R103]</w:t>
      </w:r>
      <w:r>
        <w:t xml:space="preserve">  </w:t>
      </w:r>
      <w:hyperlink r:id="rId55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Марк Аврелий: </w:t>
      </w:r>
      <w:r>
        <w:t xml:space="preserve">Meditations, George Long, Project Gutenberg. </w:t>
      </w:r>
      <w:r>
        <w:rPr>
          <w:b/>
          <w:color w:val="B78A3A"/>
        </w:rPr>
        <w:t>[A26-R106]</w:t>
      </w:r>
      <w:r>
        <w:t xml:space="preserve">  </w:t>
      </w:r>
      <w:hyperlink r:id="rId56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Иерокл: </w:t>
      </w:r>
      <w:r>
        <w:t xml:space="preserve">Фрагменты через Стобея; отдельного полного произведения не предполагается. </w:t>
      </w:r>
      <w:r>
        <w:rPr>
          <w:b/>
          <w:color w:val="B78A3A"/>
        </w:rPr>
        <w:t>[A26-R108]</w:t>
      </w:r>
      <w:r>
        <w:t xml:space="preserve">  </w:t>
      </w:r>
      <w:hyperlink r:id="rId37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pPr>
        <w:spacing w:after="70"/>
        <w:ind w:left="312" w:hanging="312"/>
      </w:pPr>
      <w:r>
        <w:rPr>
          <w:b/>
          <w:color w:val="B78A3A"/>
        </w:rPr>
        <w:t xml:space="preserve">• </w:t>
      </w:r>
      <w:r>
        <w:rPr>
          <w:b/>
          <w:color w:val="103A47"/>
        </w:rPr>
        <w:t xml:space="preserve">Современная научная проверка: </w:t>
      </w:r>
      <w:r>
        <w:t xml:space="preserve">Loeb Seneca; аналогичные Loeb-маршруты даны для Эпиктета и Марка Аврелия. </w:t>
      </w:r>
      <w:r>
        <w:rPr>
          <w:b/>
          <w:color w:val="B78A3A"/>
        </w:rPr>
        <w:t>[A26-R102]</w:t>
      </w:r>
      <w:r>
        <w:t xml:space="preserve">  </w:t>
      </w:r>
      <w:hyperlink r:id="rId57">
        <w:r>
          <w:rPr>
            <w:rFonts w:ascii="Noto Sans" w:hAnsi="Noto Sans" w:eastAsia="Noto Sans"/>
            <w:color w:val="174A5B"/>
            <w:u w:val="single"/>
          </w:rPr>
          <w:t xml:space="preserve">открыть</w:t>
        </w:r>
      </w:hyperlink>
    </w:p>
    <w:p>
      <w:r>
        <w:br w:type="page"/>
      </w:r>
    </w:p>
    <w:p>
      <w:pPr>
        <w:pStyle w:val="Heading1"/>
        <w:pBdr>
          <w:bottom w:val="single" w:sz="8" w:space="3" w:color="B78A3A"/>
        </w:pBdr>
      </w:pPr>
      <w:r>
        <w:t>4. Карта прав и практического использования</w:t>
      </w:r>
    </w:p>
    <w:p>
      <w:pPr>
        <w:pStyle w:val="Lead"/>
      </w:pPr>
      <w:r>
        <w:t>Самый свободный слой A26 образуют открытые греческие/латинские XML-корпуса и папирологические данные; самые сильные ограничения сосредоточены в современных переводах, критических реконструкциях и изображениях.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0E4"/>
          <w:left w:val="single" w:sz="4" w:space="0" w:color="D5E0E4"/>
          <w:bottom w:val="single" w:sz="4" w:space="0" w:color="D5E0E4"/>
          <w:right w:val="single" w:sz="4" w:space="0" w:color="D5E0E4"/>
          <w:insideH w:val="single" w:sz="4" w:space="0" w:color="D5E0E4"/>
          <w:insideV w:val="single" w:sz="4" w:space="0" w:color="D5E0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3326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Права/условия</w:t>
            </w:r>
          </w:p>
        </w:tc>
        <w:tc>
          <w:tcPr>
            <w:tcW w:type="dxa" w:w="3326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Практический вывод для ToS</w:t>
            </w:r>
          </w:p>
        </w:tc>
      </w:tr>
      <w:tr>
        <w:tc>
          <w:tcPr>
            <w:tcW w:type="dxa" w:w="2211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Perseus / Open Greek &amp; Latin</w:t>
            </w:r>
          </w:p>
        </w:tc>
        <w:tc>
          <w:tcPr>
            <w:tcW w:type="dxa" w:w="2920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CC BY-SA 4.0 на репозитории canonical Greek/Latin и First1KGreek.</w:t>
            </w:r>
          </w:p>
        </w:tc>
        <w:tc>
          <w:tcPr>
            <w:tcW w:type="dxa" w:w="4167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LINK_OK; FREE_READ; FREE_DOWNLOAD; MIRROR_WITH_ATTRIBUTION; SHAREALIKE_REQUIRED; FULLTEXT_INDEX_OK; EMBEDDINGS_OK; OWN_TRANSLATION_POSSIBLE — только для открытого текстового слоя.</w:t>
            </w:r>
          </w:p>
        </w:tc>
      </w:tr>
      <w:tr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papyri.info / idp.data</w:t>
            </w:r>
          </w:p>
        </w:tc>
        <w:tc>
          <w:tcPr>
            <w:tcW w:type="dxa" w:w="29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CC BY 3.0 на EpiDoc XML и связанных данных.</w:t>
            </w:r>
          </w:p>
        </w:tc>
        <w:tc>
          <w:tcPr>
            <w:tcW w:type="dxa" w:w="4167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Зеркалирование и индексация с атрибуцией; изображения третьих лиц вне лицензии.</w:t>
            </w:r>
          </w:p>
        </w:tc>
      </w:tr>
      <w:tr>
        <w:tc>
          <w:tcPr>
            <w:tcW w:type="dxa" w:w="2211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Vesuvius Challenge</w:t>
            </w:r>
          </w:p>
        </w:tc>
        <w:tc>
          <w:tcPr>
            <w:tcW w:type="dxa" w:w="2920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Scans/data CC BY-NC 4.0; код репозитория может быть MIT.</w:t>
            </w:r>
          </w:p>
        </w:tc>
        <w:tc>
          <w:tcPr>
            <w:tcW w:type="dxa" w:w="4167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Некоммерческое хранение/индексация и исследовательские производные в пределах лицензии; код и данные учитывать раздельно.</w:t>
            </w:r>
          </w:p>
        </w:tc>
      </w:tr>
      <w:tr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Oxford Figshare / Digital Bodleian</w:t>
            </w:r>
          </w:p>
        </w:tc>
        <w:tc>
          <w:tcPr>
            <w:tcW w:type="dxa" w:w="29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Найденные datasets — CC BY-NC 4.0; Digital Bodleian применяет общие условия с item-level исключениями.</w:t>
            </w:r>
          </w:p>
        </w:tc>
        <w:tc>
          <w:tcPr>
            <w:tcW w:type="dxa" w:w="4167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MIRROR_NONCOMMERCIAL только там, где item-level/collection-level statement применим; изображения проверять по объекту.</w:t>
            </w:r>
          </w:p>
        </w:tc>
      </w:tr>
      <w:tr>
        <w:tc>
          <w:tcPr>
            <w:tcW w:type="dxa" w:w="2211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The Metropolitan Museum of Art</w:t>
            </w:r>
          </w:p>
        </w:tc>
        <w:tc>
          <w:tcPr>
            <w:tcW w:type="dxa" w:w="2920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Item Open Access — CC0.</w:t>
            </w:r>
          </w:p>
        </w:tc>
        <w:tc>
          <w:tcPr>
            <w:tcW w:type="dxa" w:w="4167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Наиболее свободный музейный слой: MIRROR_OK, OCR/индексация/embeddings; coverage — один свидетель.</w:t>
            </w:r>
          </w:p>
        </w:tc>
      </w:tr>
      <w:tr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tab edizioni, Urbi et Orbi</w:t>
            </w:r>
          </w:p>
        </w:tc>
        <w:tc>
          <w:tcPr>
            <w:tcW w:type="dxa" w:w="29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CC BY-NC-ND 4.0.</w:t>
            </w:r>
          </w:p>
        </w:tc>
        <w:tc>
          <w:tcPr>
            <w:tcW w:type="dxa" w:w="4167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Скачивание и неизменённое некоммерческое распространение с атрибуцией; переработка и адаптация запрещены.</w:t>
            </w:r>
          </w:p>
        </w:tc>
      </w:tr>
      <w:tr>
        <w:tc>
          <w:tcPr>
            <w:tcW w:type="dxa" w:w="2211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Project Gutenberg</w:t>
            </w:r>
          </w:p>
        </w:tc>
        <w:tc>
          <w:tcPr>
            <w:tcW w:type="dxa" w:w="2920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Лицензия проекта и public-domain determination преимущественно для США.</w:t>
            </w:r>
          </w:p>
        </w:tc>
        <w:tc>
          <w:tcPr>
            <w:tcW w:type="dxa" w:w="4167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Свободное чтение/скачивание; перед зеркалированием вне США нужна юрисдикционная проверка и сохранение notice.</w:t>
            </w:r>
          </w:p>
        </w:tc>
      </w:tr>
      <w:tr>
        <w:tc>
          <w:tcPr>
            <w:tcW w:type="dxa" w:w="221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Internet Archive / HathiTrust</w:t>
            </w:r>
          </w:p>
        </w:tc>
        <w:tc>
          <w:tcPr>
            <w:tcW w:type="dxa" w:w="29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Статус варьирует по item: public domain, not in copyright, CDL, restricted, metadata-only.</w:t>
            </w:r>
          </w:p>
        </w:tc>
        <w:tc>
          <w:tcPr>
            <w:tcW w:type="dxa" w:w="4167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Не переносить права одного item на другой; download не равен разрешению на перераспространение.</w:t>
            </w:r>
          </w:p>
        </w:tc>
      </w:tr>
      <w:tr>
        <w:tc>
          <w:tcPr>
            <w:tcW w:type="dxa" w:w="2211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Современные издатели</w:t>
            </w:r>
          </w:p>
        </w:tc>
        <w:tc>
          <w:tcPr>
            <w:tcW w:type="dxa" w:w="2920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In Copyright; access по подписке, preview, библиотеке или покупке.</w:t>
            </w:r>
          </w:p>
        </w:tc>
        <w:tc>
          <w:tcPr>
            <w:tcW w:type="dxa" w:w="4167"/>
            <w:shd w:fill="F6F9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6"/>
              </w:rPr>
              <w:t>LINK_ONLY / LIBRARY_BORROW / PREVIEW_ONLY / PURCHASE; OCR, зеркалирование и публичный полнотекстовый индекс без разрешения не рекомендуются.</w:t>
            </w:r>
          </w:p>
        </w:tc>
      </w:tr>
    </w:tbl>
    <w:p>
      <w:pPr>
        <w:pStyle w:val="Heading2"/>
      </w:pPr>
      <w:r>
        <w:t>4.1. Практические числа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0E4"/>
          <w:left w:val="single" w:sz="4" w:space="0" w:color="D5E0E4"/>
          <w:bottom w:val="single" w:sz="4" w:space="0" w:color="D5E0E4"/>
          <w:right w:val="single" w:sz="4" w:space="0" w:color="D5E0E4"/>
          <w:insideH w:val="single" w:sz="4" w:space="0" w:color="D5E0E4"/>
          <w:insideV w:val="single" w:sz="4" w:space="0" w:color="D5E0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4989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Что зафиксировано в registry</w:t>
            </w:r>
          </w:p>
        </w:tc>
      </w:tr>
      <w:tr>
        <w:tc>
          <w:tcPr>
            <w:tcW w:type="dxa" w:w="2608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Свободное чтение</w:t>
            </w:r>
          </w:p>
        </w:tc>
        <w:tc>
          <w:tcPr>
            <w:tcW w:type="dxa" w:w="669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93 записей. Включает полные тексты, фрагменты и некоторые project-level layers; всегда читать вместе с coverage.</w:t>
            </w:r>
          </w:p>
        </w:tc>
      </w:tr>
      <w:tr>
        <w:tc>
          <w:tcPr>
            <w:tcW w:type="dxa" w:w="2608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Свободное скачивание</w:t>
            </w:r>
          </w:p>
        </w:tc>
        <w:tc>
          <w:tcPr>
            <w:tcW w:type="dxa" w:w="669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80 записей. Наличие файла не означает автоматического зеркалирования.</w:t>
            </w:r>
          </w:p>
        </w:tc>
      </w:tr>
      <w:tr>
        <w:tc>
          <w:tcPr>
            <w:tcW w:type="dxa" w:w="2608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Зеркалирование с атрибуцией</w:t>
            </w:r>
          </w:p>
        </w:tc>
        <w:tc>
          <w:tcPr>
            <w:tcW w:type="dxa" w:w="669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50 записей. Главным образом CC BY/CC BY-SA и явно свободные компоненты.</w:t>
            </w:r>
          </w:p>
        </w:tc>
      </w:tr>
      <w:tr>
        <w:tc>
          <w:tcPr>
            <w:tcW w:type="dxa" w:w="2608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Некоммерческое зеркалирование</w:t>
            </w:r>
          </w:p>
        </w:tc>
        <w:tc>
          <w:tcPr>
            <w:tcW w:type="dxa" w:w="669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11 записей. Данные/изображения CC BY-NC; ToS должен оставаться в пределах NC и сохранять атрибуцию.</w:t>
            </w:r>
          </w:p>
        </w:tc>
      </w:tr>
      <w:tr>
        <w:tc>
          <w:tcPr>
            <w:tcW w:type="dxa" w:w="2608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Только неизменённо</w:t>
            </w:r>
          </w:p>
        </w:tc>
        <w:tc>
          <w:tcPr>
            <w:tcW w:type="dxa" w:w="669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1 запись. CC BY-NC-ND: no derivatives.</w:t>
            </w:r>
          </w:p>
        </w:tc>
      </w:tr>
      <w:tr>
        <w:tc>
          <w:tcPr>
            <w:tcW w:type="dxa" w:w="2608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Собственный перевод</w:t>
            </w:r>
          </w:p>
        </w:tc>
        <w:tc>
          <w:tcPr>
            <w:tcW w:type="dxa" w:w="669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33 запись. Только из конкретной открытой транскрипции, оригинального текста или исторического факсимиле; не из защищённого перевода.</w:t>
            </w:r>
          </w:p>
        </w:tc>
      </w:tr>
      <w:tr>
        <w:tc>
          <w:tcPr>
            <w:tcW w:type="dxa" w:w="2608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Ручная проверка</w:t>
            </w:r>
          </w:p>
        </w:tc>
        <w:tc>
          <w:tcPr>
            <w:tcW w:type="dxa" w:w="669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52 записи. Положительные теги в таких строках ограничены явно доказанным компонентом.</w:t>
            </w:r>
          </w:p>
        </w:tc>
      </w:tr>
      <w:tr>
        <w:tc>
          <w:tcPr>
            <w:tcW w:type="dxa" w:w="2608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Link-only</w:t>
            </w:r>
          </w:p>
        </w:tc>
        <w:tc>
          <w:tcPr>
            <w:tcW w:type="dxa" w:w="669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46 запись. Современные издания, каталоги и объекты с неясными правами.</w:t>
            </w:r>
          </w:p>
        </w:tc>
      </w:tr>
    </w:tbl>
    <w:p>
      <w:pPr>
        <w:pStyle w:val="Heading2"/>
      </w:pPr>
      <w:r>
        <w:t>4.2. Где возможен собственный перевод ToS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1. </w:t>
      </w:r>
      <w:r>
        <w:rPr>
          <w:b/>
          <w:color w:val="103A47"/>
        </w:rPr>
        <w:t>Открытый критико-текстовый слой</w:t>
      </w:r>
      <w:r>
        <w:t xml:space="preserve"> — Perseus/OpenGreekAndLatin и First1KGreek дают древнегреческие и латинские XML-тексты по CC BY-SA 4.0. Перевод возможен в пределах конкретной редакции и требует атрибуции; производный открытый текст должен учитывать ShareAlike там, где он юридически применим.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2. </w:t>
      </w:r>
      <w:r>
        <w:rPr>
          <w:b/>
          <w:color w:val="103A47"/>
        </w:rPr>
        <w:t>Папирологическая транскрипция</w:t>
      </w:r>
      <w:r>
        <w:t xml:space="preserve"> — DCLP/idp.data даёт EpiDoc по CC BY 3.0. Перевод возможен лишь в пределах реально прочитанного фрагмента; нельзя превращать одну DCLP-запись в обещание полного трактата.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3. </w:t>
      </w:r>
      <w:r>
        <w:rPr>
          <w:b/>
          <w:color w:val="103A47"/>
        </w:rPr>
        <w:t>Исторические факсимиле и сканы</w:t>
      </w:r>
      <w:r>
        <w:t xml:space="preserve"> — Публичнодоменный оригинал или старый скан может быть чистой основой, если статус конкретного item и юрисдикция проверены. Современная фотография древней рукописи может иметь отдельные ограничения.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4. </w:t>
      </w:r>
      <w:r>
        <w:rPr>
          <w:b/>
          <w:color w:val="103A47"/>
        </w:rPr>
        <w:t>Нечистые основания</w:t>
      </w:r>
      <w:r>
        <w:t xml:space="preserve"> — Loeb, Hackett, Cambridge, OUP, De Gruyter и современные реконструкции нельзя использовать как свободный перевод-посредник. Их можно цитировать и сверять в пределах закона, но публичный перевод ToS должен опираться на открытый оригинальный слой.</w:t>
      </w:r>
    </w:p>
    <w:p>
      <w:pPr>
        <w:pStyle w:val="Heading2"/>
      </w:pPr>
      <w:r>
        <w:t>4.3. Опорные страницы прав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58">
        <w:r>
          <w:rPr>
            <w:rFonts w:ascii="Noto Sans" w:hAnsi="Noto Sans" w:eastAsia="Noto Sans"/>
            <w:color w:val="174A5B"/>
            <w:u w:val="single"/>
            <w:b/>
          </w:rPr>
          <w:t xml:space="preserve">Perseus canonical Greek licence</w:t>
        </w:r>
      </w:hyperlink>
      <w:r>
        <w:t xml:space="preserve"> — CC BY-SA 4.0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59">
        <w:r>
          <w:rPr>
            <w:rFonts w:ascii="Noto Sans" w:hAnsi="Noto Sans" w:eastAsia="Noto Sans"/>
            <w:color w:val="174A5B"/>
            <w:u w:val="single"/>
            <w:b/>
          </w:rPr>
          <w:t xml:space="preserve">Perseus canonical Latin licence</w:t>
        </w:r>
      </w:hyperlink>
      <w:r>
        <w:t xml:space="preserve"> — CC BY-SA 4.0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0">
        <w:r>
          <w:rPr>
            <w:rFonts w:ascii="Noto Sans" w:hAnsi="Noto Sans" w:eastAsia="Noto Sans"/>
            <w:color w:val="174A5B"/>
            <w:u w:val="single"/>
            <w:b/>
          </w:rPr>
          <w:t xml:space="preserve">OpenGreekAndLatin First1KGreek licence</w:t>
        </w:r>
      </w:hyperlink>
      <w:r>
        <w:t xml:space="preserve"> — CC BY-SA 4.0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1">
        <w:r>
          <w:rPr>
            <w:rFonts w:ascii="Noto Sans" w:hAnsi="Noto Sans" w:eastAsia="Noto Sans"/>
            <w:color w:val="174A5B"/>
            <w:u w:val="single"/>
            <w:b/>
          </w:rPr>
          <w:t xml:space="preserve">papyri.info idp.data licence</w:t>
        </w:r>
      </w:hyperlink>
      <w:r>
        <w:t xml:space="preserve"> — CC BY 3.0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2">
        <w:r>
          <w:rPr>
            <w:rFonts w:ascii="Noto Sans" w:hAnsi="Noto Sans" w:eastAsia="Noto Sans"/>
            <w:color w:val="174A5B"/>
            <w:u w:val="single"/>
            <w:b/>
          </w:rPr>
          <w:t xml:space="preserve">Vesuvius open-data licence</w:t>
        </w:r>
      </w:hyperlink>
      <w:r>
        <w:t xml:space="preserve"> — CC BY-NC 4.0 для scans/data; код отдельно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3">
        <w:r>
          <w:rPr>
            <w:rFonts w:ascii="Noto Sans" w:hAnsi="Noto Sans" w:eastAsia="Noto Sans"/>
            <w:color w:val="174A5B"/>
            <w:u w:val="single"/>
            <w:b/>
          </w:rPr>
          <w:t xml:space="preserve">Digital Bodleian terms</w:t>
        </w:r>
      </w:hyperlink>
      <w:r>
        <w:t xml:space="preserve"> — общие условия и item-level исключения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4">
        <w:r>
          <w:rPr>
            <w:rFonts w:ascii="Noto Sans" w:hAnsi="Noto Sans" w:eastAsia="Noto Sans"/>
            <w:color w:val="174A5B"/>
            <w:u w:val="single"/>
            <w:b/>
          </w:rPr>
          <w:t xml:space="preserve">The Met Open Access</w:t>
        </w:r>
      </w:hyperlink>
      <w:r>
        <w:t xml:space="preserve"> — CC0 для Open Access items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5">
        <w:r>
          <w:rPr>
            <w:rFonts w:ascii="Noto Sans" w:hAnsi="Noto Sans" w:eastAsia="Noto Sans"/>
            <w:color w:val="174A5B"/>
            <w:u w:val="single"/>
            <w:b/>
          </w:rPr>
          <w:t xml:space="preserve">Project Gutenberg licence</w:t>
        </w:r>
      </w:hyperlink>
      <w:r>
        <w:t xml:space="preserve"> — условия проекта и территориальная оговорка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6">
        <w:r>
          <w:rPr>
            <w:rFonts w:ascii="Noto Sans" w:hAnsi="Noto Sans" w:eastAsia="Noto Sans"/>
            <w:color w:val="174A5B"/>
            <w:u w:val="single"/>
            <w:b/>
          </w:rPr>
          <w:t xml:space="preserve">Internet Archive Terms</w:t>
        </w:r>
      </w:hyperlink>
      <w:r>
        <w:t xml:space="preserve"> — платформенные условия; item rights отдельно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7">
        <w:r>
          <w:rPr>
            <w:rFonts w:ascii="Noto Sans" w:hAnsi="Noto Sans" w:eastAsia="Noto Sans"/>
            <w:color w:val="174A5B"/>
            <w:u w:val="single"/>
            <w:b/>
          </w:rPr>
          <w:t xml:space="preserve">HathiTrust Access &amp; Use Policy</w:t>
        </w:r>
      </w:hyperlink>
      <w:r>
        <w:t xml:space="preserve"> — доступ и использование по item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8">
        <w:r>
          <w:rPr>
            <w:rFonts w:ascii="Noto Sans" w:hAnsi="Noto Sans" w:eastAsia="Noto Sans"/>
            <w:color w:val="174A5B"/>
            <w:u w:val="single"/>
            <w:b/>
          </w:rPr>
          <w:t xml:space="preserve">Trismegistos Terms of Use</w:t>
        </w:r>
      </w:hyperlink>
      <w:r>
        <w:t xml:space="preserve"> — интерактивная навигация; bulk требует проверки</w:t>
      </w:r>
    </w:p>
    <w:p>
      <w:pPr>
        <w:spacing w:after="50"/>
        <w:ind w:left="369" w:hanging="198"/>
      </w:pPr>
      <w:r>
        <w:rPr>
          <w:b/>
        </w:rPr>
        <w:t xml:space="preserve">• </w:t>
      </w:r>
      <w:hyperlink r:id="rId69">
        <w:r>
          <w:rPr>
            <w:rFonts w:ascii="Noto Sans" w:hAnsi="Noto Sans" w:eastAsia="Noto Sans"/>
            <w:color w:val="174A5B"/>
            <w:u w:val="single"/>
            <w:b/>
          </w:rPr>
          <w:t xml:space="preserve">TLG copyright/terms</w:t>
        </w:r>
      </w:hyperlink>
      <w:r>
        <w:t xml:space="preserve"> — подписной корпус, без свободного bulk reuse</w:t>
      </w:r>
    </w:p>
    <w:p>
      <w:pPr>
        <w:pStyle w:val="Heading1"/>
        <w:pBdr>
          <w:bottom w:val="single" w:sz="8" w:space="3" w:color="B78A3A"/>
        </w:pBdr>
      </w:pPr>
      <w:r>
        <w:t>5. Характерные правовые тонкости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1. </w:t>
      </w:r>
      <w:r>
        <w:rPr>
          <w:b/>
          <w:color w:val="103A47"/>
        </w:rPr>
        <w:t>Древний текст и современная редакция — разные объекты</w:t>
      </w:r>
      <w:r>
        <w:t xml:space="preserve"> — Эпикур, Хрисипп, Лукреций или Секст как древние произведения не охраняются авторским правом, но современная пунктуация, реконструкция лакун, apparatus criticus, перевод и комментарий могут быть защищены.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2. </w:t>
      </w:r>
      <w:r>
        <w:rPr>
          <w:b/>
          <w:color w:val="103A47"/>
        </w:rPr>
        <w:t>Текст, скан и фотография не делят автоматически одну лицензию</w:t>
      </w:r>
      <w:r>
        <w:t xml:space="preserve"> — Открытая EpiDoc-транскрипция PHerc может быть CC BY, тогда как фотография того же папируса принадлежит музею или проекту с отдельными условиями.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3. </w:t>
      </w:r>
      <w:r>
        <w:rPr>
          <w:b/>
          <w:color w:val="103A47"/>
        </w:rPr>
        <w:t>Public domain зависит от item и юрисдикции</w:t>
      </w:r>
      <w:r>
        <w:t xml:space="preserve"> — Project Gutenberg делает вывод преимущественно для США; старое издание может оставаться охраняемым где-либо из-за срока жизни переводчика или редактора.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4. </w:t>
      </w:r>
      <w:r>
        <w:rPr>
          <w:b/>
          <w:color w:val="103A47"/>
        </w:rPr>
        <w:t>Фрагмент не равен целому корпусу</w:t>
      </w:r>
      <w:r>
        <w:t xml:space="preserve"> — Открытый XML одного PHerc, одного тома SVF или одной рукописи разрешает действия только с этим слоем. Coverage в XLSX не позволяет расширить разрешение на весь трактат.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5. </w:t>
      </w:r>
      <w:r>
        <w:rPr>
          <w:b/>
          <w:color w:val="103A47"/>
        </w:rPr>
        <w:t>Download не равен redistribution</w:t>
      </w:r>
      <w:r>
        <w:t xml:space="preserve"> — Internet Archive, HathiTrust, Vatican Library и университетские коллекции могут позволять чтение или загрузку без права публичного зеркалирования.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6. </w:t>
      </w:r>
      <w:r>
        <w:rPr>
          <w:b/>
          <w:color w:val="103A47"/>
        </w:rPr>
        <w:t>NC и ND требуют разных действий</w:t>
      </w:r>
      <w:r>
        <w:t xml:space="preserve"> — CC BY-NC допускает некоммерческие производные при соблюдении условий; CC BY-NC-ND запрещает распространять переработанную версию. Собственный перевод защищённого ND-издания как основы не рекомендуется.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7. </w:t>
      </w:r>
      <w:r>
        <w:rPr>
          <w:b/>
          <w:color w:val="103A47"/>
        </w:rPr>
        <w:t>Виртуально развёрнутые свитки — версионный объект</w:t>
      </w:r>
      <w:r>
        <w:t xml:space="preserve"> — Для PHerc. Paris 4, PHerc. 172 и PHerc. 1667 чтения, сегментация и авторская атрибуция меняются. ToS следует хранить версию dataset/DOI и дату доступа, а не только название свитка.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8. </w:t>
      </w:r>
      <w:r>
        <w:rPr>
          <w:b/>
          <w:color w:val="103A47"/>
        </w:rPr>
        <w:t>Общая лицензия портала может иметь исключения</w:t>
      </w:r>
      <w:r>
        <w:t xml:space="preserve"> — Digital Bodleian, музеи и агрегаторы часто показывают разные rights statements для метаданных, изображений и материалов третьих лиц. Registry поэтому сохраняет rights_scope и ставит RIGHTS_REVIEW_REQUIRED при недостатке item-level доказательства.</w:t>
      </w:r>
    </w:p>
    <w:p>
      <w:r>
        <w:br w:type="page"/>
      </w:r>
    </w:p>
    <w:p>
      <w:pPr>
        <w:pStyle w:val="Heading1"/>
        <w:pBdr>
          <w:bottom w:val="single" w:sz="8" w:space="3" w:color="B78A3A"/>
        </w:pBdr>
      </w:pPr>
      <w:r>
        <w:t>6. Пробелы и дальнейший поиск</w:t>
      </w:r>
    </w:p>
    <w:p>
      <w:pPr>
        <w:pStyle w:val="Lead"/>
      </w:pPr>
      <w:r>
        <w:t>Лист gaps содержит 19 направлений. Они не удалены из исследования: каждый кандидат либо лишён пригодного item-level входа, либо требует отдельной правовой/библиографической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0E4"/>
          <w:left w:val="single" w:sz="4" w:space="0" w:color="D5E0E4"/>
          <w:bottom w:val="single" w:sz="4" w:space="0" w:color="D5E0E4"/>
          <w:right w:val="single" w:sz="4" w:space="0" w:color="D5E0E4"/>
          <w:insideH w:val="single" w:sz="4" w:space="0" w:color="D5E0E4"/>
          <w:insideV w:val="single" w:sz="4" w:space="0" w:color="D5E0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7A3E1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Кандидат</w:t>
            </w:r>
          </w:p>
        </w:tc>
        <w:tc>
          <w:tcPr>
            <w:tcW w:type="dxa" w:w="3326"/>
            <w:shd w:fill="7A3E1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Статус / роль</w:t>
            </w:r>
          </w:p>
        </w:tc>
        <w:tc>
          <w:tcPr>
            <w:tcW w:type="dxa" w:w="3326"/>
            <w:shd w:fill="7A3E1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Почему остался пробел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A26-G001 — Каллимах, «Πίνακες» / Pinakes — полный корпус testimonia и фрагментов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not_found</w:t>
              <w:br/>
              <w:t>core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Сам каталог утрачен; найден только вторичный описательный вход и старые издания Каллимаха, но не единая item-level цифровая сборка свидетельств о Pinakes.</w:t>
            </w:r>
          </w:p>
        </w:tc>
      </w:tr>
      <w:tr>
        <w:tc>
          <w:tcPr>
            <w:tcW w:type="dxa" w:w="30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A26-G002 — Rudolf Pfeiffer, Callimachus, vols. I–II — современное/стандартное критическое издание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item_level_missing</w:t>
              <w:br/>
              <w:t>same_corpus_or_tradition</w:t>
            </w:r>
          </w:p>
        </w:tc>
        <w:tc>
          <w:tcPr>
            <w:tcW w:type="dxa" w:w="447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Библиографически известно, но в реестре не найден надёжный publisher/library item с законным preview/borrow для обоих томов.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A26-G003 — Клеанф, «Гимн к Зевсу» — отдельный открытый критический оригинал и перевод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item_level_missing</w:t>
              <w:br/>
              <w:t>core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Текст представлен внутри фрагментарных/антологических корпусов, но не найден сильный отдельный item-level маршрут с проверенной открытой лицензией.</w:t>
            </w:r>
          </w:p>
        </w:tc>
      </w:tr>
      <w:tr>
        <w:tc>
          <w:tcPr>
            <w:tcW w:type="dxa" w:w="30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A26-G004 — Ариус Дидим — самостоятельное открытое издание стоической и перипатетической эпитомы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not_found</w:t>
              <w:br/>
              <w:t>transmission_or_preservation</w:t>
            </w:r>
          </w:p>
        </w:tc>
        <w:tc>
          <w:tcPr>
            <w:tcW w:type="dxa" w:w="447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Материал доступен через Стобея и современную вторичную литературу, но не найден отдельный открытый item-level текст с устойчивой нумерацией.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A26-G005 — Энесидем, «Пирроновы речи» — точный цифровой якорь к Фотию, cod. 212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item_level_missing</w:t>
              <w:br/>
              <w:t>transmission_or_preservation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Найден общий HTML-путь к cod. 212, но не проверены современная критическая нумерация, греческий оригинал и права транскрипции.</w:t>
            </w:r>
          </w:p>
        </w:tc>
      </w:tr>
      <w:tr>
        <w:tc>
          <w:tcPr>
            <w:tcW w:type="dxa" w:w="30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A26-G006 — Стобей — полный многотомный открытый комплект Wachsmuth–Hense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item_level_missing</w:t>
              <w:br/>
              <w:t>transmission_or_preservation</w:t>
            </w:r>
          </w:p>
        </w:tc>
        <w:tc>
          <w:tcPr>
            <w:tcW w:type="dxa" w:w="447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Найдены отдельные тома/копии, но не собран полный проверенный комплект всех Eclogae/Anthologium с устойчивыми ссылками и единообразными rights statements.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A26-G007 — Филодем, «О знаках» / De signis — современное открытое критическое издание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not_found</w:t>
              <w:br/>
              <w:t>core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DCLP/PHerc записи корпуса не заменяют полную современную реконструкцию трактата; открытый OA item с лицензией не установлен.</w:t>
            </w:r>
          </w:p>
        </w:tc>
      </w:tr>
      <w:tr>
        <w:tc>
          <w:tcPr>
            <w:tcW w:type="dxa" w:w="30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A26-G008 — Филодем, «О свободной речи» / Περὶ παρρησίας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not_found</w:t>
              <w:br/>
              <w:t>core</w:t>
            </w:r>
          </w:p>
        </w:tc>
        <w:tc>
          <w:tcPr>
            <w:tcW w:type="dxa" w:w="447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Не найден полный легальный открытый текст/перевод с item-level rights; современные издания защищены.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A26-G009 — PHerc. 172 — полный item-level dataset, IIIF и научная транскрипция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temporarily_unavailable</w:t>
              <w:br/>
              <w:t>core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Официальные новости 2025–2026 сообщают о чтении, но публичный полный dataset/транскрипция не найден.</w:t>
            </w:r>
          </w:p>
        </w:tc>
      </w:tr>
      <w:tr>
        <w:tc>
          <w:tcPr>
            <w:tcW w:type="dxa" w:w="30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A26-G010 — PHerc. 1667 — item-level открытые томографические данные и полный текст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temporarily_unavailable</w:t>
              <w:br/>
              <w:t>core</w:t>
            </w:r>
          </w:p>
        </w:tc>
        <w:tc>
          <w:tcPr>
            <w:tcW w:type="dxa" w:w="447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Есть открытый preprint о virtual unwrapping, но не установлена отдельная публичная лицензия на данные, изображения и окончательную транскрипцию.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A26-G011 — PHerc. Paris 4 — финальная научная публикация первого виртуально развёрнутого свитка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temporarily_unavailable</w:t>
              <w:br/>
              <w:t>core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ScrollPrize публикует результат и данные, но финальное критическое издание/авторство текста остаются развивающимися.</w:t>
            </w:r>
          </w:p>
        </w:tc>
      </w:tr>
      <w:tr>
        <w:tc>
          <w:tcPr>
            <w:tcW w:type="dxa" w:w="30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A26-G012 — Кратет, Антисфен и ранние киники — отдельный открытый корпус фрагментов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not_found</w:t>
              <w:br/>
              <w:t>antecedent</w:t>
            </w:r>
          </w:p>
        </w:tc>
        <w:tc>
          <w:tcPr>
            <w:tcW w:type="dxa" w:w="447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Основной материал доступен через Диогена Лаэртского и старые фрагментарные сборники, но не найден надёжный открытый item-level корпус с современной атрибуцией.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A26-G013 — Тимон из Флиунта, «Силлы» и фрагменты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not_found</w:t>
              <w:br/>
              <w:t>same_corpus_or_tradition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Пирронистская поэтическая традиция важна, но не найден полноценный открытый корпус оригинальных фрагментов с современной идентификацией.</w:t>
            </w:r>
          </w:p>
        </w:tc>
      </w:tr>
      <w:tr>
        <w:tc>
          <w:tcPr>
            <w:tcW w:type="dxa" w:w="30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A26-G014 — Александр Афродисийский, «О судьбе» и «О смешении» — открытый оригинальный текст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not_found</w:t>
              <w:br/>
              <w:t>commentary_or_reception</w:t>
            </w:r>
          </w:p>
        </w:tc>
        <w:tc>
          <w:tcPr>
            <w:tcW w:type="dxa" w:w="447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Это важная перипатетическая полемика со стоическим детерминизмом и физикой, но item-level открытый оригинал/издание не завершён в текущем проходе.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A26-G015 — Русский полный научный перевод Секста Эмпирика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item_level_missing</w:t>
              <w:br/>
              <w:t>transmission_or_preservation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Найден бесплатный HTML с неясной библиографией, но не подтверждён официальный/библиотечный полный русский доступ к двухтомному изданию.</w:t>
            </w:r>
          </w:p>
        </w:tc>
      </w:tr>
      <w:tr>
        <w:tc>
          <w:tcPr>
            <w:tcW w:type="dxa" w:w="30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A26-G016 — Лейденские рукописи Лукреция и Цицерона — точные item-level лицензии на изображения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rights_unclear</w:t>
              <w:br/>
              <w:t>transmission_or_preservation</w:t>
            </w:r>
          </w:p>
        </w:tc>
        <w:tc>
          <w:tcPr>
            <w:tcW w:type="dxa" w:w="447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Факсимиле доступны, но на открытых item pages не извлечены ясные component-level rights statements.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A26-G017 — Бодлианские объекты Геркуланума — проверка item-level исключений к CC BY-NC 4.0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rights_unclear</w:t>
              <w:br/>
              <w:t>infrastructure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Общие условия Digital Bodleian указывают CC BY-NC для большинства изображений, но component-level исключения должны проверяться на каждом объекте.</w:t>
            </w:r>
          </w:p>
        </w:tc>
      </w:tr>
      <w:tr>
        <w:tc>
          <w:tcPr>
            <w:tcW w:type="dxa" w:w="30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A26-G018 — Пергамская библиотека — item-level testimonia и каталожные свидетельства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not_found</w:t>
              <w:br/>
              <w:t>boundary</w:t>
            </w:r>
          </w:p>
        </w:tc>
        <w:tc>
          <w:tcPr>
            <w:tcW w:type="dxa" w:w="447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DR фиксирует библиотечную экосистему Пергама, но не найден конкретный сохранившийся каталог, сравнимый с Pinakes, или единый открытый корпус testimonia.</w:t>
            </w:r>
          </w:p>
        </w:tc>
      </w:tr>
      <w:tr>
        <w:tc>
          <w:tcPr>
            <w:tcW w:type="dxa" w:w="3033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6"/>
              </w:rPr>
              <w:t>A26-G019 — Зенодот, Аристофан Византийский и Аристарх — открытые корпуса testimonia и схолий</w:t>
            </w:r>
          </w:p>
        </w:tc>
        <w:tc>
          <w:tcPr>
            <w:tcW w:type="dxa" w:w="1814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7A3E1D"/>
                <w:sz w:val="15"/>
              </w:rPr>
              <w:t>not_found</w:t>
              <w:br/>
              <w:t>same_corpus_or_tradition</w:t>
            </w:r>
          </w:p>
        </w:tc>
        <w:tc>
          <w:tcPr>
            <w:tcW w:type="dxa" w:w="4479"/>
            <w:shd w:fill="FCF8F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5"/>
              </w:rPr>
              <w:t>Роль александрийской филологии центральна для библиотечной экосистемы, но полноценные item-level open texts/editions не были собраны.</w:t>
            </w:r>
          </w:p>
        </w:tc>
      </w:tr>
    </w:tbl>
    <w:p>
      <w:pPr>
        <w:pStyle w:val="Heading2"/>
      </w:pPr>
      <w:r>
        <w:t>6.1. Targeted follow-up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1. </w:t>
      </w:r>
      <w:r>
        <w:rPr>
          <w:b/>
          <w:color w:val="103A47"/>
        </w:rPr>
        <w:t>Pinakes как фрагментарный объект</w:t>
      </w:r>
      <w:r>
        <w:t xml:space="preserve"> — Собрать testimonia и фрагменты по современной нумерации, найти publisher/library item для Pfeiffer и проверить, какие части доступны в публичнодоменных предшественниках.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2. </w:t>
      </w:r>
      <w:r>
        <w:rPr>
          <w:b/>
          <w:color w:val="103A47"/>
        </w:rPr>
        <w:t>Клеанфов «Гимн к Зевсу»</w:t>
      </w:r>
      <w:r>
        <w:t xml:space="preserve"> — Найти точный CTS/рукописный источник и отдельный открытый критический оригинал; связать его с SVF и Стобеем, не дублируя корпус.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3. </w:t>
      </w:r>
      <w:r>
        <w:rPr>
          <w:b/>
          <w:color w:val="103A47"/>
        </w:rPr>
        <w:t>Стобей и Ариус Дидим</w:t>
      </w:r>
      <w:r>
        <w:t xml:space="preserve"> — Собрать полный комплект Wachsmuth–Hense и построить passage map фрагментов Ариуса, не создавая фиктивного самостоятельного полного трактата.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4. </w:t>
      </w:r>
      <w:r>
        <w:rPr>
          <w:b/>
          <w:color w:val="103A47"/>
        </w:rPr>
        <w:t>Энесидем у Фотия</w:t>
      </w:r>
      <w:r>
        <w:t xml:space="preserve"> — Найти греческий cod. 212 с устойчивой нумерацией и правами; английский HTML оставить только навигационным переводом.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5. </w:t>
      </w:r>
      <w:r>
        <w:rPr>
          <w:b/>
          <w:color w:val="103A47"/>
        </w:rPr>
        <w:t>PHerc. 172 / 1667 / Paris 4</w:t>
      </w:r>
      <w:r>
        <w:t xml:space="preserve"> — Отслеживать item-level dataset release, DOI, license и финальные версии транскрипций; записывать версии, а не перезаписывать историю чтения.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6. </w:t>
      </w:r>
      <w:r>
        <w:rPr>
          <w:b/>
          <w:color w:val="103A47"/>
        </w:rPr>
        <w:t>Philodemus De signis и De libertate dicendi</w:t>
      </w:r>
      <w:r>
        <w:t xml:space="preserve"> — Найти конкретные PHerc IDs, OA-реконструкции или lawful library/purchase routes к современным изданиям.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7. </w:t>
      </w:r>
      <w:r>
        <w:rPr>
          <w:b/>
          <w:color w:val="103A47"/>
        </w:rPr>
        <w:t>Leiden и Digital Bodleian</w:t>
      </w:r>
      <w:r>
        <w:t xml:space="preserve"> — Извлечь license/rights из IIIF manifest каждого объекта, проверить attribution и bulk download.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8. </w:t>
      </w:r>
      <w:r>
        <w:rPr>
          <w:b/>
          <w:color w:val="103A47"/>
        </w:rPr>
        <w:t>Ойноанда</w:t>
      </w:r>
      <w:r>
        <w:t xml:space="preserve"> — Сверить DCLP с TU Berlin, CSIC и новыми фрагментами; найти полный versioned export и item-level права проекта.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9. </w:t>
      </w:r>
      <w:r>
        <w:rPr>
          <w:b/>
          <w:color w:val="103A47"/>
        </w:rPr>
        <w:t>Русский Секст</w:t>
      </w:r>
      <w:r>
        <w:t xml:space="preserve"> — Заменить слабый HTML/файл официальным издательским, НЭБ/РГБ или библиотечным маршрутом с точным переводчиком и ISBN.</w:t>
      </w:r>
    </w:p>
    <w:p>
      <w:pPr>
        <w:spacing w:after="80" w:line="259" w:lineRule="auto"/>
        <w:ind w:left="482" w:hanging="482"/>
      </w:pPr>
      <w:r>
        <w:rPr>
          <w:b/>
          <w:color w:val="B78A3A"/>
        </w:rPr>
        <w:t xml:space="preserve">10. </w:t>
      </w:r>
      <w:r>
        <w:rPr>
          <w:b/>
          <w:color w:val="103A47"/>
        </w:rPr>
        <w:t>Александрийские редакторы и Пергам</w:t>
      </w:r>
      <w:r>
        <w:t xml:space="preserve"> — Собрать конкретные scholia, фрагменты и эпиграфические testimonia Зенодота, Аристофана Византийского, Аристарха и пергамской библиотечной линии.</w:t>
      </w:r>
    </w:p>
    <w:p>
      <w:pPr>
        <w:pStyle w:val="Heading2"/>
      </w:pPr>
      <w:r>
        <w:t>6.2. Ссылки и проверки, которые не завершены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Papyri.info в отдельных автоматизированных проверках блокировал landing page, но соответствующий GitHub EpiDoc-файл idp.data оставался доступным; verification_status это различает.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Для PHerc. 172 и PHerc. 1667 найдены официальная новость и научный preprint, но не полный публичный dataset/транскрипция с component-level rights.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Лейденские факсимиле и часть Bodleian item pages доступны для просмотра, однако точная лицензия изображений требует чтения IIIF manifest и возможных исключений.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Некоторые современные издания доступны только через publisher landing page, библиотечную подписку, Controlled Digital Lending, preview или покупку; они сохранены, а не исключены.</w:t>
      </w:r>
    </w:p>
    <w:p>
      <w:pPr>
        <w:spacing w:after="50" w:line="254" w:lineRule="auto"/>
        <w:ind w:left="369" w:hanging="198"/>
      </w:pPr>
      <w:r>
        <w:rPr>
          <w:b/>
          <w:color w:val="174A5B"/>
        </w:rPr>
        <w:t xml:space="preserve">• </w:t>
      </w:r>
      <w:r>
        <w:rPr>
          <w:color w:val="1E293B"/>
          <w:sz w:val="20"/>
        </w:rPr>
        <w:t>Ни один кандидат, поддержанный только Wikipedia, блогом или поисковым сниппетом, не был повышен до установленного item-level объекта.</w:t>
      </w:r>
    </w:p>
    <w:p>
      <w:pPr>
        <w:pStyle w:val="Heading1"/>
        <w:pBdr>
          <w:bottom w:val="single" w:sz="8" w:space="3" w:color="B78A3A"/>
        </w:pBdr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0E4"/>
          <w:left w:val="single" w:sz="4" w:space="0" w:color="D5E0E4"/>
          <w:bottom w:val="single" w:sz="4" w:space="0" w:color="D5E0E4"/>
          <w:right w:val="single" w:sz="4" w:space="0" w:color="D5E0E4"/>
          <w:insideH w:val="single" w:sz="4" w:space="0" w:color="D5E0E4"/>
          <w:insideV w:val="single" w:sz="4" w:space="0" w:color="D5E0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4989"/>
            <w:shd w:fill="174A5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7"/>
              </w:rPr>
              <w:t>Оценка</w:t>
            </w:r>
          </w:p>
        </w:tc>
      </w:tr>
      <w:tr>
        <w:tc>
          <w:tcPr>
            <w:tcW w:type="dxa" w:w="2466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Покрытие корпуса</w:t>
            </w:r>
          </w:p>
        </w:tc>
        <w:tc>
          <w:tcPr>
            <w:tcW w:type="dxa" w:w="683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Высокое для центральных переданных текстов и современных маршрутов доступа; среднее для утраченных библиотечных инструментов, полного стоического фрагментария и быстро меняющейся Herculaneum frontier.</w:t>
            </w:r>
          </w:p>
        </w:tc>
      </w:tr>
      <w:tr>
        <w:tc>
          <w:tcPr>
            <w:tcW w:type="dxa" w:w="2466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Доступность оригиналов</w:t>
            </w:r>
          </w:p>
        </w:tc>
        <w:tc>
          <w:tcPr>
            <w:tcW w:type="dxa" w:w="683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Сильная: греческие и латинские тексты широко представлены в Perseus/OpenGreekAndLatin/First1KGreek; папирусы — в DCLP; старые издания — в IA/Hathi/PG.</w:t>
            </w:r>
          </w:p>
        </w:tc>
      </w:tr>
      <w:tr>
        <w:tc>
          <w:tcPr>
            <w:tcW w:type="dxa" w:w="2466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Доступность переводов</w:t>
            </w:r>
          </w:p>
        </w:tc>
        <w:tc>
          <w:tcPr>
            <w:tcW w:type="dxa" w:w="683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Очень хорошая на английском благодаря старым public-domain переводам и современным издателям; русская выборка заметно уже и чаще ограничена покупкой или неясным веб-доступом.</w:t>
            </w:r>
          </w:p>
        </w:tc>
      </w:tr>
      <w:tr>
        <w:tc>
          <w:tcPr>
            <w:tcW w:type="dxa" w:w="2466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Наиболее свободный слой</w:t>
            </w:r>
          </w:p>
        </w:tc>
        <w:tc>
          <w:tcPr>
            <w:tcW w:type="dxa" w:w="683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CC BY-SA XML Perseus/OGL; CC BY EpiDoc idp.data; отдельные CC0 museum items. Это лучший фундамент для ToS-поиска, embeddings и собственного перевода.</w:t>
            </w:r>
          </w:p>
        </w:tc>
      </w:tr>
      <w:tr>
        <w:tc>
          <w:tcPr>
            <w:tcW w:type="dxa" w:w="2466"/>
            <w:shd w:fill="E8F1F4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Главные ограничения</w:t>
            </w:r>
          </w:p>
        </w:tc>
        <w:tc>
          <w:tcPr>
            <w:tcW w:type="dxa" w:w="683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Современные critical editions/переводы, права на музейные и библиотечные изображения, неполные папирусы, NC/ND-компоненты и территориальные public-domain различия.</w:t>
            </w:r>
          </w:p>
        </w:tc>
      </w:tr>
      <w:tr>
        <w:tc>
          <w:tcPr>
            <w:tcW w:type="dxa" w:w="2466"/>
            <w:shd w:fill="F4F8FA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/>
                <w:color w:val="103A47"/>
                <w:sz w:val="17"/>
              </w:rPr>
              <w:t>Готовность к Codex</w:t>
            </w:r>
          </w:p>
        </w:tc>
        <w:tc>
          <w:tcPr>
            <w:tcW w:type="dxa" w:w="6831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Noto Sans" w:hAnsi="Noto Sans"/>
                <w:b w:val="0"/>
                <w:color w:val="1E293B"/>
                <w:sz w:val="17"/>
              </w:rPr>
              <w:t>Да. Registry нормализован в 32 обязательных полях, имеет scoped rights, coverage, confidence, stable identifiers и отдельный gaps-лист. Пакет пригоден для последующей дедупликации, graph-building и автоматической проверки ссылок.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6F4EA"/>
          <w:left w:val="single" w:sz="1" w:space="0" w:color="E6F4EA"/>
          <w:bottom w:val="single" w:sz="1" w:space="0" w:color="E6F4EA"/>
          <w:right w:val="single" w:sz="1" w:space="0" w:color="E6F4EA"/>
          <w:insideH w:val="single" w:sz="1" w:space="0" w:color="E6F4EA"/>
          <w:insideV w:val="single" w:sz="1" w:space="0" w:color="E6F4EA"/>
        </w:tblBorders>
      </w:tblPr>
      <w:tblGrid>
        <w:gridCol w:w="9411"/>
      </w:tblGrid>
      <w:tr>
        <w:tc>
          <w:tcPr>
            <w:tcW w:type="dxa" w:w="9979"/>
            <w:shd w:fill="E6F4EA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b/>
                <w:color w:val="185C37"/>
                <w:sz w:val="22"/>
              </w:rPr>
              <w:t>Итог</w:t>
            </w:r>
          </w:p>
          <w:p>
            <w:pPr>
              <w:spacing w:after="30" w:line="245" w:lineRule="auto"/>
              <w:ind w:left="85" w:hanging="85"/>
            </w:pPr>
            <w:r>
              <w:rPr>
                <w:b/>
                <w:color w:val="B78A3A"/>
              </w:rPr>
              <w:t xml:space="preserve">• </w:t>
            </w:r>
            <w:r>
              <w:rPr>
                <w:color w:val="1E293B"/>
                <w:sz w:val="18"/>
              </w:rPr>
              <w:t>Собрано 124 практически отличимых путей доступа и 19 честно обозначенных пробелов.</w:t>
            </w:r>
          </w:p>
          <w:p>
            <w:pPr>
              <w:spacing w:after="30" w:line="245" w:lineRule="auto"/>
              <w:ind w:left="85" w:hanging="85"/>
            </w:pPr>
            <w:r>
              <w:rPr>
                <w:b/>
                <w:color w:val="B78A3A"/>
              </w:rPr>
              <w:t xml:space="preserve">• </w:t>
            </w:r>
            <w:r>
              <w:rPr>
                <w:color w:val="1E293B"/>
                <w:sz w:val="18"/>
              </w:rPr>
              <w:t>84 записей имеют high rights confidence, 25 — medium, 15 — low.</w:t>
            </w:r>
          </w:p>
          <w:p>
            <w:pPr>
              <w:spacing w:after="30" w:line="245" w:lineRule="auto"/>
              <w:ind w:left="85" w:hanging="85"/>
            </w:pPr>
            <w:r>
              <w:rPr>
                <w:b/>
                <w:color w:val="B78A3A"/>
              </w:rPr>
              <w:t xml:space="preserve">• </w:t>
            </w:r>
            <w:r>
              <w:rPr>
                <w:color w:val="1E293B"/>
                <w:sz w:val="18"/>
              </w:rPr>
              <w:t>Результат покрывает ядро, обратный и прямой хронологический проходы и не превращает A26 в общую библиографию античной философии.</w:t>
            </w:r>
          </w:p>
          <w:p>
            <w:pPr>
              <w:spacing w:after="30" w:line="245" w:lineRule="auto"/>
              <w:ind w:left="85" w:hanging="85"/>
            </w:pPr>
            <w:r>
              <w:rPr>
                <w:b/>
                <w:color w:val="B78A3A"/>
              </w:rPr>
              <w:t xml:space="preserve">• </w:t>
            </w:r>
            <w:r>
              <w:rPr>
                <w:color w:val="1E293B"/>
                <w:sz w:val="18"/>
              </w:rPr>
              <w:t>Основной принцип соблюдён: сохраняется каждый полезный законный путь — чтение, скачивание, библиотека, preview, покупка, каталог или dataset — без ложного расширения прав.</w:t>
            </w:r>
          </w:p>
        </w:tc>
      </w:tr>
    </w:tbl>
    <w:p>
      <w:pPr>
        <w:pStyle w:val="Smallnote"/>
        <w:jc w:val="center"/>
      </w:pPr>
      <w:r>
        <w:t>Связанный файл: ToS_Corpus_Rights_A26_registry.xlsx. Источник DR не редактировался; ID A26 и статус A сохранены.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64" w:right="935" w:bottom="935" w:left="992" w:header="397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" w:hAnsi="Noto Sans"/>
        <w:color w:val="5D6B75"/>
        <w:sz w:val="16"/>
      </w:rPr>
      <w:t xml:space="preserve">A26  ·  ToS Corpus &amp; Rights Registry  ·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" w:hAnsi="Noto Sans"/>
        <w:color w:val="5D6B75"/>
        <w:sz w:val="16"/>
      </w:rPr>
      <w:t>ToS • A26 • Corpus &amp; Rights Registry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Noto Sans" w:hAnsi="Noto Sans" w:eastAsia="Noto San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103A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74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7A3E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" w:hAnsi="Noto Serif" w:eastAsia="Noto Serif"/>
      <w:b/>
      <w:color w:val="103A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" w:hAnsi="Noto Sans" w:eastAsia="Noto Sans"/>
      <w:b w:val="0"/>
      <w:i/>
      <w:iCs/>
      <w:color w:val="5D6B7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269" w:lineRule="auto" w:after="160"/>
    </w:pPr>
    <w:rPr>
      <w:rFonts w:ascii="Noto Sans" w:hAnsi="Noto Sans" w:eastAsia="Noto Sans"/>
      <w:color w:val="103A47"/>
      <w:sz w:val="22"/>
    </w:rPr>
  </w:style>
  <w:style w:type="paragraph" w:customStyle="1" w:styleId="Smallnote">
    <w:name w:val="Small note"/>
    <w:pPr>
      <w:spacing w:line="240" w:lineRule="auto" w:after="60"/>
    </w:pPr>
    <w:rPr>
      <w:rFonts w:ascii="Noto Sans" w:hAnsi="Noto Sans" w:eastAsia="Noto Sans"/>
      <w:color w:val="5D6B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scaife.perseus.org/reader/urn:cts:greekLit:tlg0004.tlg001.perseus-grc2:" TargetMode="External"/><Relationship Id="rId14" Type="http://schemas.openxmlformats.org/officeDocument/2006/relationships/hyperlink" Target="https://www.gutenberg.org/ebooks/57342" TargetMode="External"/><Relationship Id="rId15" Type="http://schemas.openxmlformats.org/officeDocument/2006/relationships/hyperlink" Target="https://scaife.perseus.org/reader/urn:cts:greekLit:tlg0004.tlg001.perseus-grc2:10" TargetMode="External"/><Relationship Id="rId16" Type="http://schemas.openxmlformats.org/officeDocument/2006/relationships/hyperlink" Target="https://archive.org/details/epicurusextantre00epicuoft" TargetMode="External"/><Relationship Id="rId17" Type="http://schemas.openxmlformats.org/officeDocument/2006/relationships/hyperlink" Target="https://digi.vatlib.it/view/MSS_Vat.gr.1950.pt.2" TargetMode="External"/><Relationship Id="rId18" Type="http://schemas.openxmlformats.org/officeDocument/2006/relationships/hyperlink" Target="https://hackettpublishing.com/the-epicurus-reader" TargetMode="External"/><Relationship Id="rId19" Type="http://schemas.openxmlformats.org/officeDocument/2006/relationships/hyperlink" Target="https://scaife.perseus.org/reader/urn:cts:greekLit:tlg0004.tlg001.perseus-grc2:7" TargetMode="External"/><Relationship Id="rId20" Type="http://schemas.openxmlformats.org/officeDocument/2006/relationships/hyperlink" Target="https://archive.org/details/stoicorumveterum01arniuoft" TargetMode="External"/><Relationship Id="rId21" Type="http://schemas.openxmlformats.org/officeDocument/2006/relationships/hyperlink" Target="https://www.cambridge.org/core/books/hellenistic-philosophers/932610F3E92ACF7FE7406A00ED3F3CB2" TargetMode="External"/><Relationship Id="rId22" Type="http://schemas.openxmlformats.org/officeDocument/2006/relationships/hyperlink" Target="https://www.degruyterbrill.com/document/doi/10.1515/9783110802635/html" TargetMode="External"/><Relationship Id="rId23" Type="http://schemas.openxmlformats.org/officeDocument/2006/relationships/hyperlink" Target="https://scaife.perseus.org/reader/urn:cts:latinLit:phi0474.phi014.perseus-lat1:" TargetMode="External"/><Relationship Id="rId24" Type="http://schemas.openxmlformats.org/officeDocument/2006/relationships/hyperlink" Target="https://www.gutenberg.org/ebooks/47001" TargetMode="External"/><Relationship Id="rId25" Type="http://schemas.openxmlformats.org/officeDocument/2006/relationships/hyperlink" Target="https://digitalcollections.universiteitleiden.nl/view/item/1611939" TargetMode="External"/><Relationship Id="rId26" Type="http://schemas.openxmlformats.org/officeDocument/2006/relationships/hyperlink" Target="https://scaife.perseus.org/reader/urn:cts:latinLit:phi0550.phi001.perseus-lat1:" TargetMode="External"/><Relationship Id="rId27" Type="http://schemas.openxmlformats.org/officeDocument/2006/relationships/hyperlink" Target="https://www.gutenberg.org/ebooks/785" TargetMode="External"/><Relationship Id="rId28" Type="http://schemas.openxmlformats.org/officeDocument/2006/relationships/hyperlink" Target="https://hackettpublishing.com/on-the-nature-of-things-3290" TargetMode="External"/><Relationship Id="rId29" Type="http://schemas.openxmlformats.org/officeDocument/2006/relationships/hyperlink" Target="https://scaife.perseus.org/reader/urn:cts:greekLit:tlg0544.tlg001.opp-grc1:" TargetMode="External"/><Relationship Id="rId30" Type="http://schemas.openxmlformats.org/officeDocument/2006/relationships/hyperlink" Target="https://www.gutenberg.org/ebooks/17556" TargetMode="External"/><Relationship Id="rId31" Type="http://schemas.openxmlformats.org/officeDocument/2006/relationships/hyperlink" Target="https://archive.org/details/sextiempiriciop00bekkgoog" TargetMode="External"/><Relationship Id="rId32" Type="http://schemas.openxmlformats.org/officeDocument/2006/relationships/hyperlink" Target="https://www.cambridge.org/core/books/sextus-empiricus-against-the-logicians/40C9F267A3E5C1AF9C8E705314F76CE8" TargetMode="External"/><Relationship Id="rId33" Type="http://schemas.openxmlformats.org/officeDocument/2006/relationships/hyperlink" Target="https://mgimo.ru/upload/iblock/3bf/3bf460382a9dce01543597357cd28da4.pdf" TargetMode="External"/><Relationship Id="rId34" Type="http://schemas.openxmlformats.org/officeDocument/2006/relationships/hyperlink" Target="https://scaife.perseus.org/reader/urn:cts:greekLit:tlg0093.tlg009.1st1K-grc1:" TargetMode="External"/><Relationship Id="rId35" Type="http://schemas.openxmlformats.org/officeDocument/2006/relationships/hyperlink" Target="https://scaife.perseus.org/reader/urn:cts:greekLit:tlg0094.tlg001.1st1K-grc1:" TargetMode="External"/><Relationship Id="rId36" Type="http://schemas.openxmlformats.org/officeDocument/2006/relationships/hyperlink" Target="https://archive.org/details/doxographigraeci00diel" TargetMode="External"/><Relationship Id="rId37" Type="http://schemas.openxmlformats.org/officeDocument/2006/relationships/hyperlink" Target="https://archive.org/details/iohannisstobaeia04stov" TargetMode="External"/><Relationship Id="rId38" Type="http://schemas.openxmlformats.org/officeDocument/2006/relationships/hyperlink" Target="https://scaife.perseus.org/reader/urn:cts:greekLit:tlg0007.tlg079.1st1K-grc1:" TargetMode="External"/><Relationship Id="rId39" Type="http://schemas.openxmlformats.org/officeDocument/2006/relationships/hyperlink" Target="https://scaife.perseus.org/reader/urn:cts:greekLit:tlg0057.tlg039.1st1K-grc1:" TargetMode="External"/><Relationship Id="rId40" Type="http://schemas.openxmlformats.org/officeDocument/2006/relationships/hyperlink" Target="https://papyri.info/dclp/62505" TargetMode="External"/><Relationship Id="rId41" Type="http://schemas.openxmlformats.org/officeDocument/2006/relationships/hyperlink" Target="https://github.com/papyri/idp.data/blob/master/DCLP/63/62505.xml" TargetMode="External"/><Relationship Id="rId42" Type="http://schemas.openxmlformats.org/officeDocument/2006/relationships/hyperlink" Target="https://portal.sds.ox.ac.uk/articles/dataset/Drawings_of_P_Herc_1021_Philodemus_History_of_the_Academy_/16881493" TargetMode="External"/><Relationship Id="rId43" Type="http://schemas.openxmlformats.org/officeDocument/2006/relationships/hyperlink" Target="https://digital.bodleian.ox.ac.uk/objects/c4248f2e-d319-4c22-9fb8-c79d263cfbd0/" TargetMode="External"/><Relationship Id="rId44" Type="http://schemas.openxmlformats.org/officeDocument/2006/relationships/hyperlink" Target="https://github.com/ScrollPrize/open-data" TargetMode="External"/><Relationship Id="rId45" Type="http://schemas.openxmlformats.org/officeDocument/2006/relationships/hyperlink" Target="https://www.ox.ac.uk/news/2025-02-05-ai-reveals-first-word-unreadable-herculaneum-scroll" TargetMode="External"/><Relationship Id="rId46" Type="http://schemas.openxmlformats.org/officeDocument/2006/relationships/hyperlink" Target="https://papyri.info/dclp/865216" TargetMode="External"/><Relationship Id="rId47" Type="http://schemas.openxmlformats.org/officeDocument/2006/relationships/hyperlink" Target="https://www.geschkult.fu-berlin.de/e/diogenes/index.html" TargetMode="External"/><Relationship Id="rId48" Type="http://schemas.openxmlformats.org/officeDocument/2006/relationships/hyperlink" Target="https://www.ieiop.csic.es/diogenes/" TargetMode="External"/><Relationship Id="rId49" Type="http://schemas.openxmlformats.org/officeDocument/2006/relationships/hyperlink" Target="https://tabedizioni.it/web/content/book/9788892958877-open-access.pdf" TargetMode="External"/><Relationship Id="rId50" Type="http://schemas.openxmlformats.org/officeDocument/2006/relationships/hyperlink" Target="https://archive.org/details/callimacheavolum02calluoft" TargetMode="External"/><Relationship Id="rId51" Type="http://schemas.openxmlformats.org/officeDocument/2006/relationships/hyperlink" Target="https://dcc.dickinson.edu/callimachus-aetia/prologue" TargetMode="External"/><Relationship Id="rId52" Type="http://schemas.openxmlformats.org/officeDocument/2006/relationships/hyperlink" Target="https://www.metmuseum.org/art/collection/search/248134" TargetMode="External"/><Relationship Id="rId53" Type="http://schemas.openxmlformats.org/officeDocument/2006/relationships/hyperlink" Target="https://www.trismegistos.org/" TargetMode="External"/><Relationship Id="rId54" Type="http://schemas.openxmlformats.org/officeDocument/2006/relationships/hyperlink" Target="https://www.gutenberg.org/ebooks/3794" TargetMode="External"/><Relationship Id="rId55" Type="http://schemas.openxmlformats.org/officeDocument/2006/relationships/hyperlink" Target="https://www.gutenberg.org/ebooks/10661" TargetMode="External"/><Relationship Id="rId56" Type="http://schemas.openxmlformats.org/officeDocument/2006/relationships/hyperlink" Target="https://www.gutenberg.org/ebooks/2680" TargetMode="External"/><Relationship Id="rId57" Type="http://schemas.openxmlformats.org/officeDocument/2006/relationships/hyperlink" Target="https://www.loebclassics.com/view/LCL075/1917/volume.xml" TargetMode="External"/><Relationship Id="rId58" Type="http://schemas.openxmlformats.org/officeDocument/2006/relationships/hyperlink" Target="https://github.com/PerseusDL/canonical-greekLit/blob/master/license.md" TargetMode="External"/><Relationship Id="rId59" Type="http://schemas.openxmlformats.org/officeDocument/2006/relationships/hyperlink" Target="https://github.com/PerseusDL/canonical-latinLit/blob/master/license.md" TargetMode="External"/><Relationship Id="rId60" Type="http://schemas.openxmlformats.org/officeDocument/2006/relationships/hyperlink" Target="https://github.com/OpenGreekAndLatin/First1KGreek/blob/master/license.md" TargetMode="External"/><Relationship Id="rId61" Type="http://schemas.openxmlformats.org/officeDocument/2006/relationships/hyperlink" Target="https://github.com/papyri/idp.data#license" TargetMode="External"/><Relationship Id="rId62" Type="http://schemas.openxmlformats.org/officeDocument/2006/relationships/hyperlink" Target="https://github.com/ScrollPrize/open-data#license" TargetMode="External"/><Relationship Id="rId63" Type="http://schemas.openxmlformats.org/officeDocument/2006/relationships/hyperlink" Target="https://digital.bodleian.ox.ac.uk/terms/" TargetMode="External"/><Relationship Id="rId64" Type="http://schemas.openxmlformats.org/officeDocument/2006/relationships/hyperlink" Target="https://www.metmuseum.org/hubs/open-access" TargetMode="External"/><Relationship Id="rId65" Type="http://schemas.openxmlformats.org/officeDocument/2006/relationships/hyperlink" Target="https://www.gutenberg.org/policy/license" TargetMode="External"/><Relationship Id="rId66" Type="http://schemas.openxmlformats.org/officeDocument/2006/relationships/hyperlink" Target="https://archive.org/about/terms.php" TargetMode="External"/><Relationship Id="rId67" Type="http://schemas.openxmlformats.org/officeDocument/2006/relationships/hyperlink" Target="https://www.hathitrust.org/the-collection/search-access/access-use-policy/" TargetMode="External"/><Relationship Id="rId68" Type="http://schemas.openxmlformats.org/officeDocument/2006/relationships/hyperlink" Target="https://www.trismegistos.org/terms-of-use.html" TargetMode="External"/><Relationship Id="rId69" Type="http://schemas.openxmlformats.org/officeDocument/2006/relationships/hyperlink" Target="https://stephanus.tlg.uci.edu/copyright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