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Caption"/>
      </w:pPr>
      <w:r>
        <w:t>ИССЛЕДОВАТЕЛЬСКИЙ ПАКЕТ  /  v4.3.1</w:t>
      </w:r>
    </w:p>
    <w:p>
      <w:pPr>
        <w:pStyle w:val="Title"/>
      </w:pPr>
      <w:r>
        <w:t>ToS Corpus &amp; Rights Registry</w:t>
      </w:r>
    </w:p>
    <w:p>
      <w:r>
        <w:t>T2-23 — Толедо, Сицилия и Южная Италия</w:t>
        <w:br/>
        <w:t>как переводческие коридоры XII–XIII вв.</w:t>
      </w:r>
    </w:p>
    <w:p>
      <w:pPr>
        <w:pStyle w:val="Subtitle"/>
      </w:pPr>
      <w:r>
        <w:t>86 записей о доступе  •  48 укрупнённых текстовых единиц  •  25 записей о пробелах</w:t>
      </w:r>
    </w:p>
    <w:p>
      <w:r>
        <w:t>Реестр различает доступность материала и право его повторного использования. Указание бесплатного PDF не означает, что файл был целиком получен, а исторический текст не делает свободным современное издание. Для каждого пути в XLSX сохранены проверка, объём, правовой слой и границы действий ToS.</w:t>
      </w:r>
    </w:p>
    <w:p>
      <w:pPr>
        <w:pStyle w:val="Heading1"/>
      </w:pPr>
      <w:r>
        <w:t>1. Паспорт</w:t>
      </w:r>
    </w:p>
    <w:tbl>
      <w:tblPr>
        <w:tblW w:type="auto" w:w="0"/>
        <w:jc w:val="center"/>
        <w:tblLayout w:type="fixed"/>
        <w:tblLook w:firstColumn="1" w:firstRow="1" w:lastColumn="0" w:lastRow="0" w:noHBand="0" w:noVBand="1" w:val="04A0"/>
      </w:tblPr>
      <w:tblGrid>
        <w:gridCol w:w="2268"/>
        <w:gridCol w:w="7370"/>
      </w:tblGrid>
      <w:tr>
        <w:trPr>
          <w:tblHeader/>
          <w:cantSplit/>
        </w:trPr>
        <w:tc>
          <w:tcPr>
            <w:tcW w:type="dxa" w:w="2268"/>
            <w:vAlign w:val="top"/>
            <w:shd w:fill="18354A"/>
            <w:tcMar>
              <w:top w:w="90" w:type="dxa"/>
              <w:left w:w="90" w:type="dxa"/>
              <w:bottom w:w="90" w:type="dxa"/>
              <w:right w:w="90" w:type="dxa"/>
            </w:tcMar>
          </w:tcPr>
          <w:p>
            <w:pPr>
              <w:spacing w:after="60" w:line="247" w:lineRule="auto"/>
            </w:pPr>
            <w:r>
              <w:rPr>
                <w:b/>
                <w:color w:val="FFFFFF"/>
                <w:sz w:val="19"/>
              </w:rPr>
              <w:t>Параметр</w:t>
            </w:r>
          </w:p>
        </w:tc>
        <w:tc>
          <w:tcPr>
            <w:tcW w:type="dxa" w:w="7370"/>
            <w:vAlign w:val="top"/>
            <w:shd w:fill="18354A"/>
            <w:tcMar>
              <w:top w:w="90" w:type="dxa"/>
              <w:left w:w="90" w:type="dxa"/>
              <w:bottom w:w="90" w:type="dxa"/>
              <w:right w:w="90" w:type="dxa"/>
            </w:tcMar>
          </w:tcPr>
          <w:p>
            <w:pPr>
              <w:spacing w:after="60" w:line="247" w:lineRule="auto"/>
            </w:pPr>
            <w:r>
              <w:rPr>
                <w:b/>
                <w:color w:val="FFFFFF"/>
                <w:sz w:val="19"/>
              </w:rPr>
              <w:t>Значение</w:t>
            </w:r>
          </w:p>
        </w:tc>
      </w:tr>
      <w:tr>
        <w:trPr>
          <w:cantSplit/>
        </w:trPr>
        <w:tc>
          <w:tcPr>
            <w:tcW w:type="dxa" w:w="2268"/>
            <w:vAlign w:val="top"/>
            <w:shd w:fill="EDF3F6"/>
            <w:tcMar>
              <w:top w:w="90" w:type="dxa"/>
              <w:left w:w="90" w:type="dxa"/>
              <w:bottom w:w="90" w:type="dxa"/>
              <w:right w:w="90" w:type="dxa"/>
            </w:tcMar>
          </w:tcPr>
          <w:p>
            <w:pPr>
              <w:spacing w:after="60" w:line="247" w:lineRule="auto"/>
            </w:pPr>
            <w:r>
              <w:rPr>
                <w:sz w:val="19"/>
              </w:rPr>
              <w:t>Мастер-строка</w:t>
            </w:r>
          </w:p>
        </w:tc>
        <w:tc>
          <w:tcPr>
            <w:tcW w:type="dxa" w:w="7370"/>
            <w:vAlign w:val="top"/>
            <w:shd w:fill="EDF3F6"/>
            <w:tcMar>
              <w:top w:w="90" w:type="dxa"/>
              <w:left w:w="90" w:type="dxa"/>
              <w:bottom w:w="90" w:type="dxa"/>
              <w:right w:w="90" w:type="dxa"/>
            </w:tcMar>
          </w:tcPr>
          <w:p>
            <w:pPr>
              <w:spacing w:after="60" w:line="247" w:lineRule="auto"/>
            </w:pPr>
            <w:r>
              <w:rPr>
                <w:sz w:val="19"/>
              </w:rPr>
              <w:t>Таблица II; T2-23; исходный статус A; уверенность 4/5. ID и статус не изменены.</w:t>
            </w:r>
          </w:p>
        </w:tc>
      </w:tr>
      <w:tr>
        <w:trPr>
          <w:cantSplit/>
        </w:trPr>
        <w:tc>
          <w:tcPr>
            <w:tcW w:type="dxa" w:w="2268"/>
            <w:vAlign w:val="top"/>
            <w:shd w:fill="FFFFFF"/>
            <w:tcMar>
              <w:top w:w="90" w:type="dxa"/>
              <w:left w:w="90" w:type="dxa"/>
              <w:bottom w:w="90" w:type="dxa"/>
              <w:right w:w="90" w:type="dxa"/>
            </w:tcMar>
          </w:tcPr>
          <w:p>
            <w:pPr>
              <w:spacing w:after="60" w:line="247" w:lineRule="auto"/>
            </w:pPr>
            <w:r>
              <w:rPr>
                <w:sz w:val="19"/>
              </w:rPr>
              <w:t>Историческое ядро</w:t>
            </w:r>
          </w:p>
        </w:tc>
        <w:tc>
          <w:tcPr>
            <w:tcW w:type="dxa" w:w="7370"/>
            <w:vAlign w:val="top"/>
            <w:shd w:fill="FFFFFF"/>
            <w:tcMar>
              <w:top w:w="90" w:type="dxa"/>
              <w:left w:w="90" w:type="dxa"/>
              <w:bottom w:w="90" w:type="dxa"/>
              <w:right w:w="90" w:type="dxa"/>
            </w:tcMar>
          </w:tcPr>
          <w:p>
            <w:pPr>
              <w:spacing w:after="60" w:line="247" w:lineRule="auto"/>
            </w:pPr>
            <w:r>
              <w:rPr>
                <w:sz w:val="19"/>
              </w:rPr>
              <w:t>Около 1100–1250; наиболее плотный слой около 1150–1230. Формирование в DR: XI–XIII вв.; канонизация/комментарий: XIII в.</w:t>
            </w:r>
          </w:p>
        </w:tc>
      </w:tr>
      <w:tr>
        <w:trPr>
          <w:cantSplit/>
        </w:trPr>
        <w:tc>
          <w:tcPr>
            <w:tcW w:type="dxa" w:w="2268"/>
            <w:vAlign w:val="top"/>
            <w:shd w:fill="EDF3F6"/>
            <w:tcMar>
              <w:top w:w="90" w:type="dxa"/>
              <w:left w:w="90" w:type="dxa"/>
              <w:bottom w:w="90" w:type="dxa"/>
              <w:right w:w="90" w:type="dxa"/>
            </w:tcMar>
          </w:tcPr>
          <w:p>
            <w:pPr>
              <w:spacing w:after="60" w:line="247" w:lineRule="auto"/>
            </w:pPr>
            <w:r>
              <w:rPr>
                <w:sz w:val="19"/>
              </w:rPr>
              <w:t>Источник</w:t>
            </w:r>
          </w:p>
        </w:tc>
        <w:tc>
          <w:tcPr>
            <w:tcW w:type="dxa" w:w="7370"/>
            <w:vAlign w:val="top"/>
            <w:shd w:fill="EDF3F6"/>
            <w:tcMar>
              <w:top w:w="90" w:type="dxa"/>
              <w:left w:w="90" w:type="dxa"/>
              <w:bottom w:w="90" w:type="dxa"/>
              <w:right w:w="90" w:type="dxa"/>
            </w:tcMar>
          </w:tcPr>
          <w:p>
            <w:pPr>
              <w:spacing w:after="60" w:line="247" w:lineRule="auto"/>
            </w:pPr>
            <w:r>
              <w:rPr>
                <w:sz w:val="19"/>
              </w:rPr>
              <w:t>ToS Deep Research_ T2-23 — Толедо, Сицилия и Южная Италия как переводческие коридоры XII–XIII вв.(1).docx. Использованы прежде всего разделы 6, 7, 12, 14, 16–17.</w:t>
            </w:r>
          </w:p>
        </w:tc>
      </w:tr>
      <w:tr>
        <w:trPr>
          <w:cantSplit/>
        </w:trPr>
        <w:tc>
          <w:tcPr>
            <w:tcW w:type="dxa" w:w="2268"/>
            <w:vAlign w:val="top"/>
            <w:shd w:fill="FFFFFF"/>
            <w:tcMar>
              <w:top w:w="90" w:type="dxa"/>
              <w:left w:w="90" w:type="dxa"/>
              <w:bottom w:w="90" w:type="dxa"/>
              <w:right w:w="90" w:type="dxa"/>
            </w:tcMar>
          </w:tcPr>
          <w:p>
            <w:pPr>
              <w:spacing w:after="60" w:line="247" w:lineRule="auto"/>
            </w:pPr>
            <w:r>
              <w:rPr>
                <w:sz w:val="19"/>
              </w:rPr>
              <w:t>Дата проверки</w:t>
            </w:r>
          </w:p>
        </w:tc>
        <w:tc>
          <w:tcPr>
            <w:tcW w:type="dxa" w:w="7370"/>
            <w:vAlign w:val="top"/>
            <w:shd w:fill="FFFFFF"/>
            <w:tcMar>
              <w:top w:w="90" w:type="dxa"/>
              <w:left w:w="90" w:type="dxa"/>
              <w:bottom w:w="90" w:type="dxa"/>
              <w:right w:w="90" w:type="dxa"/>
            </w:tcMar>
          </w:tcPr>
          <w:p>
            <w:pPr>
              <w:spacing w:after="60" w:line="247" w:lineRule="auto"/>
            </w:pPr>
            <w:r>
              <w:rPr>
                <w:sz w:val="19"/>
              </w:rPr>
              <w:t>4 сентября 2026 г. Это дата исследования, не дата выпуска всех цифровых объектов.</w:t>
            </w:r>
          </w:p>
        </w:tc>
      </w:tr>
      <w:tr>
        <w:trPr>
          <w:cantSplit/>
        </w:trPr>
        <w:tc>
          <w:tcPr>
            <w:tcW w:type="dxa" w:w="2268"/>
            <w:vAlign w:val="top"/>
            <w:shd w:fill="EDF3F6"/>
            <w:tcMar>
              <w:top w:w="90" w:type="dxa"/>
              <w:left w:w="90" w:type="dxa"/>
              <w:bottom w:w="90" w:type="dxa"/>
              <w:right w:w="90" w:type="dxa"/>
            </w:tcMar>
          </w:tcPr>
          <w:p>
            <w:pPr>
              <w:spacing w:after="60" w:line="247" w:lineRule="auto"/>
            </w:pPr>
            <w:r>
              <w:rPr>
                <w:sz w:val="19"/>
              </w:rPr>
              <w:t>Языки и поиск</w:t>
            </w:r>
          </w:p>
        </w:tc>
        <w:tc>
          <w:tcPr>
            <w:tcW w:type="dxa" w:w="7370"/>
            <w:vAlign w:val="top"/>
            <w:shd w:fill="EDF3F6"/>
            <w:tcMar>
              <w:top w:w="90" w:type="dxa"/>
              <w:left w:w="90" w:type="dxa"/>
              <w:bottom w:w="90" w:type="dxa"/>
              <w:right w:w="90" w:type="dxa"/>
            </w:tcMar>
          </w:tcPr>
          <w:p>
            <w:pPr>
              <w:spacing w:after="60" w:line="247" w:lineRule="auto"/>
            </w:pPr>
            <w:r>
              <w:rPr>
                <w:sz w:val="19"/>
              </w:rPr>
              <w:t>Русский, английский, латинские названия; французский, немецкий, итальянский и испанский каталожные варианты; арабские названия и транслитерации. Ивритские версии проверялись по издательским данным и цифровым текстам; сплошной поиск на иврите не проводился.</w:t>
            </w:r>
          </w:p>
        </w:tc>
      </w:tr>
      <w:tr>
        <w:trPr>
          <w:cantSplit/>
        </w:trPr>
        <w:tc>
          <w:tcPr>
            <w:tcW w:type="dxa" w:w="2268"/>
            <w:vAlign w:val="top"/>
            <w:shd w:fill="FFFFFF"/>
            <w:tcMar>
              <w:top w:w="90" w:type="dxa"/>
              <w:left w:w="90" w:type="dxa"/>
              <w:bottom w:w="90" w:type="dxa"/>
              <w:right w:w="90" w:type="dxa"/>
            </w:tcMar>
          </w:tcPr>
          <w:p>
            <w:pPr>
              <w:spacing w:after="60" w:line="247" w:lineRule="auto"/>
            </w:pPr>
            <w:r>
              <w:rPr>
                <w:sz w:val="19"/>
              </w:rPr>
              <w:t>Поставка</w:t>
            </w:r>
          </w:p>
        </w:tc>
        <w:tc>
          <w:tcPr>
            <w:tcW w:type="dxa" w:w="7370"/>
            <w:vAlign w:val="top"/>
            <w:shd w:fill="FFFFFF"/>
            <w:tcMar>
              <w:top w:w="90" w:type="dxa"/>
              <w:left w:w="90" w:type="dxa"/>
              <w:bottom w:w="90" w:type="dxa"/>
              <w:right w:w="90" w:type="dxa"/>
            </w:tcMar>
          </w:tcPr>
          <w:p>
            <w:pPr>
              <w:spacing w:after="60" w:line="247" w:lineRule="auto"/>
            </w:pPr>
            <w:r>
              <w:rPr>
                <w:sz w:val="19"/>
              </w:rPr>
              <w:t>registry: 32 поля и уникальные record_id. gaps: объект, связь со строкой, недостающая проверка, следующий адресный шаг. Настоящий отчёт — объяснение результатов, не дубликат всех строк.</w:t>
            </w:r>
          </w:p>
        </w:tc>
      </w:tr>
    </w:tbl>
    <w:p>
      <w:pPr>
        <w:spacing w:after="0"/>
      </w:pPr>
    </w:p>
    <w:p>
      <w:r>
        <w:t>Ядром считались не все сочинения названных авторов, а конкретно переводимые библиотеки: Птолемей; ранний латинский Аристотель; Avicenna Latinus и Canon; латинский Algazel; Liber de causis; комментарии Аверроэса; греко-латинские Meno/Phaedo Аристиппа; медицинский предслой Pantegni и билингвальный Parisinus Graecus 2293. Искались произведения, корпусные сборники, версии, рукописи, старопечатные книги, оригиналы и переводы, научные издания, цифровые транскрипции и способы выгрузки.</w:t>
      </w:r>
    </w:p>
    <w:p>
      <w:r>
        <w:t>Доступ подтверждался страницами объектов и официальных поставщиков; идентификация — PAL, DARE, критическими сериями, библиотечными и издательскими карточками. Для прав использовались item-level PDM, LICENSE и применимые условия проекта. Слабые поисковые подсказки не заменяли эти доказательства: неподтверждённые кандидаты вынесены, в частности, в G014, G019 и G020. Wikipedia не служит итоговым источником. Никакие аккаунты не создавались, книги не приобретались, запросы правообладателям не отправлялись.</w:t>
      </w:r>
    </w:p>
    <w:p>
      <w:pPr>
        <w:pStyle w:val="Heading1"/>
      </w:pPr>
      <w:r>
        <w:t>2. Охват корпуса</w:t>
      </w:r>
    </w:p>
    <w:p>
      <w:pPr>
        <w:pStyle w:val="Heading2"/>
      </w:pPr>
      <w:r>
        <w:t>Что взято из DR и что добавлено</w:t>
      </w:r>
    </w:p>
    <w:p>
      <w:r>
        <w:t>Все основные якоря исходного DR имеют запись доступа или явно обозначенный пробел. Лучше всего раскрылись Almagest, латинский Авиценна, раннепечатный Аристотель–Аверроэс и Liber de causis. Для «Оптики» Птолемея и переводов Платона наиболее надёжные научные входы остаются библиотечными или издательскими. Для Parisinus Graecus 2293 подтверждена идентификация через исследование, но не само цифровое факсимиле.</w:t>
      </w:r>
      <w:r>
        <w:t xml:space="preserve"> </w:t>
      </w:r>
      <w:hyperlink r:id="rId11">
        <w:r>
          <w:rPr>
            <w:color w:val="17627C"/>
            <w:u w:val="single"/>
          </w:rPr>
          <w:t>[R004]</w:t>
        </w:r>
      </w:hyperlink>
      <w:r>
        <w:t xml:space="preserve"> · </w:t>
      </w:r>
      <w:hyperlink r:id="rId12">
        <w:r>
          <w:rPr>
            <w:color w:val="17627C"/>
            <w:u w:val="single"/>
          </w:rPr>
          <w:t>[R010]</w:t>
        </w:r>
      </w:hyperlink>
      <w:r>
        <w:t xml:space="preserve"> · </w:t>
      </w:r>
      <w:hyperlink r:id="rId13">
        <w:r>
          <w:rPr>
            <w:color w:val="17627C"/>
            <w:u w:val="single"/>
          </w:rPr>
          <w:t>[R013]</w:t>
        </w:r>
      </w:hyperlink>
      <w:r>
        <w:t xml:space="preserve"> · </w:t>
      </w:r>
      <w:hyperlink r:id="rId14">
        <w:r>
          <w:rPr>
            <w:color w:val="17627C"/>
            <w:u w:val="single"/>
          </w:rPr>
          <w:t>[R020]</w:t>
        </w:r>
      </w:hyperlink>
      <w:r>
        <w:t xml:space="preserve"> · </w:t>
      </w:r>
      <w:hyperlink r:id="rId15">
        <w:r>
          <w:rPr>
            <w:color w:val="17627C"/>
            <w:u w:val="single"/>
          </w:rPr>
          <w:t>[R056]</w:t>
        </w:r>
      </w:hyperlink>
      <w:r>
        <w:t xml:space="preserve"> · </w:t>
      </w:r>
      <w:hyperlink r:id="rId16">
        <w:r>
          <w:rPr>
            <w:color w:val="17627C"/>
            <w:u w:val="single"/>
          </w:rPr>
          <w:t>[R066]</w:t>
        </w:r>
      </w:hyperlink>
      <w:r>
        <w:t xml:space="preserve"> · </w:t>
      </w:r>
      <w:hyperlink r:id="rId17">
        <w:r>
          <w:rPr>
            <w:color w:val="17627C"/>
            <w:u w:val="single"/>
          </w:rPr>
          <w:t>[R075]</w:t>
        </w:r>
      </w:hyperlink>
    </w:p>
    <w:p>
      <w:r>
        <w:t>Веб-поиск добавил Fons vitae Ибн Габироля, малый латинский корпус аль-Кинди, De differentia animae et spiritus Кусты ибн Луки, дополнительные комментарии Аверроэса, ивритские тексты и суперкомментарии Герсонида, зоологический перевод Скота, Liber super Almagesti Джабира ибн Афлаха, Almagesti minor и предметный состав BnF latin 9335. Последний даёт проверенные указатели на математику, оптику и медицину, но его каталог не посчитан десятками доступных электронных книг.</w:t>
      </w:r>
      <w:r>
        <w:t xml:space="preserve"> </w:t>
      </w:r>
      <w:hyperlink r:id="rId18">
        <w:r>
          <w:rPr>
            <w:color w:val="17627C"/>
            <w:u w:val="single"/>
          </w:rPr>
          <w:t>[R015]</w:t>
        </w:r>
      </w:hyperlink>
      <w:r>
        <w:t xml:space="preserve"> · </w:t>
      </w:r>
      <w:hyperlink r:id="rId19">
        <w:r>
          <w:rPr>
            <w:color w:val="17627C"/>
            <w:u w:val="single"/>
          </w:rPr>
          <w:t>[R016]</w:t>
        </w:r>
      </w:hyperlink>
      <w:r>
        <w:t xml:space="preserve"> · </w:t>
      </w:r>
      <w:hyperlink r:id="rId20">
        <w:r>
          <w:rPr>
            <w:color w:val="17627C"/>
            <w:u w:val="single"/>
          </w:rPr>
          <w:t>[R017]</w:t>
        </w:r>
      </w:hyperlink>
      <w:r>
        <w:t xml:space="preserve"> · </w:t>
      </w:r>
      <w:hyperlink r:id="rId21">
        <w:r>
          <w:rPr>
            <w:color w:val="17627C"/>
            <w:u w:val="single"/>
          </w:rPr>
          <w:t>[R040]</w:t>
        </w:r>
      </w:hyperlink>
      <w:r>
        <w:t xml:space="preserve"> · </w:t>
      </w:r>
      <w:hyperlink r:id="rId22">
        <w:r>
          <w:rPr>
            <w:color w:val="17627C"/>
            <w:u w:val="single"/>
          </w:rPr>
          <w:t>[R042]</w:t>
        </w:r>
      </w:hyperlink>
      <w:r>
        <w:t xml:space="preserve"> · </w:t>
      </w:r>
      <w:hyperlink r:id="rId23">
        <w:r>
          <w:rPr>
            <w:color w:val="17627C"/>
            <w:u w:val="single"/>
          </w:rPr>
          <w:t>[R043]</w:t>
        </w:r>
      </w:hyperlink>
      <w:r>
        <w:t xml:space="preserve"> · </w:t>
      </w:r>
      <w:hyperlink r:id="rId24">
        <w:r>
          <w:rPr>
            <w:color w:val="17627C"/>
            <w:u w:val="single"/>
          </w:rPr>
          <w:t>[R072]</w:t>
        </w:r>
      </w:hyperlink>
      <w:r>
        <w:t xml:space="preserve"> · </w:t>
      </w:r>
      <w:hyperlink r:id="rId25">
        <w:r>
          <w:rPr>
            <w:color w:val="17627C"/>
            <w:u w:val="single"/>
          </w:rPr>
          <w:t>[R077]</w:t>
        </w:r>
      </w:hyperlink>
      <w:r>
        <w:t xml:space="preserve"> · </w:t>
      </w:r>
      <w:hyperlink r:id="rId26">
        <w:r>
          <w:rPr>
            <w:color w:val="17627C"/>
            <w:u w:val="single"/>
          </w:rPr>
          <w:t>[R083]</w:t>
        </w:r>
      </w:hyperlink>
      <w:r>
        <w:t xml:space="preserve"> · </w:t>
      </w:r>
      <w:hyperlink r:id="rId27">
        <w:r>
          <w:rPr>
            <w:color w:val="17627C"/>
            <w:u w:val="single"/>
          </w:rPr>
          <w:t>[R084]</w:t>
        </w:r>
      </w:hyperlink>
    </w:p>
    <w:tbl>
      <w:tblPr>
        <w:tblW w:type="auto" w:w="0"/>
        <w:jc w:val="center"/>
        <w:tblLayout w:type="fixed"/>
        <w:tblLook w:firstColumn="1" w:firstRow="1" w:lastColumn="0" w:lastRow="0" w:noHBand="0" w:noVBand="1" w:val="04A0"/>
      </w:tblPr>
      <w:tblGrid>
        <w:gridCol w:w="2438"/>
        <w:gridCol w:w="4025"/>
        <w:gridCol w:w="3175"/>
      </w:tblGrid>
      <w:tr>
        <w:trPr>
          <w:tblHeader/>
          <w:cantSplit/>
        </w:trPr>
        <w:tc>
          <w:tcPr>
            <w:tcW w:type="dxa" w:w="2438"/>
            <w:vAlign w:val="top"/>
            <w:shd w:fill="18354A"/>
            <w:tcMar>
              <w:top w:w="90" w:type="dxa"/>
              <w:left w:w="90" w:type="dxa"/>
              <w:bottom w:w="90" w:type="dxa"/>
              <w:right w:w="90" w:type="dxa"/>
            </w:tcMar>
          </w:tcPr>
          <w:p>
            <w:pPr>
              <w:spacing w:after="60" w:line="247" w:lineRule="auto"/>
            </w:pPr>
            <w:r>
              <w:rPr>
                <w:b/>
                <w:color w:val="FFFFFF"/>
                <w:sz w:val="19"/>
              </w:rPr>
              <w:t>Группа</w:t>
            </w:r>
          </w:p>
        </w:tc>
        <w:tc>
          <w:tcPr>
            <w:tcW w:type="dxa" w:w="4025"/>
            <w:vAlign w:val="top"/>
            <w:shd w:fill="18354A"/>
            <w:tcMar>
              <w:top w:w="90" w:type="dxa"/>
              <w:left w:w="90" w:type="dxa"/>
              <w:bottom w:w="90" w:type="dxa"/>
              <w:right w:w="90" w:type="dxa"/>
            </w:tcMar>
          </w:tcPr>
          <w:p>
            <w:pPr>
              <w:spacing w:after="60" w:line="247" w:lineRule="auto"/>
            </w:pPr>
            <w:r>
              <w:rPr>
                <w:b/>
                <w:color w:val="FFFFFF"/>
                <w:sz w:val="19"/>
              </w:rPr>
              <w:t>Укрупнённые единицы</w:t>
            </w:r>
          </w:p>
        </w:tc>
        <w:tc>
          <w:tcPr>
            <w:tcW w:type="dxa" w:w="3175"/>
            <w:vAlign w:val="top"/>
            <w:shd w:fill="18354A"/>
            <w:tcMar>
              <w:top w:w="90" w:type="dxa"/>
              <w:left w:w="90" w:type="dxa"/>
              <w:bottom w:w="90" w:type="dxa"/>
              <w:right w:w="90" w:type="dxa"/>
            </w:tcMar>
          </w:tcPr>
          <w:p>
            <w:pPr>
              <w:spacing w:after="60" w:line="247" w:lineRule="auto"/>
            </w:pPr>
            <w:r>
              <w:rPr>
                <w:b/>
                <w:color w:val="FFFFFF"/>
                <w:sz w:val="19"/>
              </w:rPr>
              <w:t>Что не удваивается</w:t>
            </w:r>
          </w:p>
        </w:tc>
      </w:tr>
      <w:tr>
        <w:trPr>
          <w:cantSplit/>
        </w:trPr>
        <w:tc>
          <w:tcPr>
            <w:tcW w:type="dxa" w:w="2438"/>
            <w:vAlign w:val="top"/>
            <w:shd w:fill="EDF3F6"/>
            <w:tcMar>
              <w:top w:w="90" w:type="dxa"/>
              <w:left w:w="90" w:type="dxa"/>
              <w:bottom w:w="90" w:type="dxa"/>
              <w:right w:w="90" w:type="dxa"/>
            </w:tcMar>
          </w:tcPr>
          <w:p>
            <w:pPr>
              <w:spacing w:after="60" w:line="247" w:lineRule="auto"/>
            </w:pPr>
            <w:r>
              <w:rPr>
                <w:sz w:val="19"/>
              </w:rPr>
              <w:t>Птолемеевская семья</w:t>
            </w:r>
          </w:p>
        </w:tc>
        <w:tc>
          <w:tcPr>
            <w:tcW w:type="dxa" w:w="4025"/>
            <w:vAlign w:val="top"/>
            <w:shd w:fill="EDF3F6"/>
            <w:tcMar>
              <w:top w:w="90" w:type="dxa"/>
              <w:left w:w="90" w:type="dxa"/>
              <w:bottom w:w="90" w:type="dxa"/>
              <w:right w:w="90" w:type="dxa"/>
            </w:tcMar>
          </w:tcPr>
          <w:p>
            <w:pPr>
              <w:spacing w:after="60" w:line="247" w:lineRule="auto"/>
            </w:pPr>
            <w:r>
              <w:rPr>
                <w:sz w:val="19"/>
              </w:rPr>
              <w:t>6: Almagest, Optics, Notule, введение Сабита, Almagesti minor, Geber</w:t>
            </w:r>
          </w:p>
        </w:tc>
        <w:tc>
          <w:tcPr>
            <w:tcW w:type="dxa" w:w="3175"/>
            <w:vAlign w:val="top"/>
            <w:shd w:fill="EDF3F6"/>
            <w:tcMar>
              <w:top w:w="90" w:type="dxa"/>
              <w:left w:w="90" w:type="dxa"/>
              <w:bottom w:w="90" w:type="dxa"/>
              <w:right w:w="90" w:type="dxa"/>
            </w:tcMar>
          </w:tcPr>
          <w:p>
            <w:pPr>
              <w:spacing w:after="60" w:line="247" w:lineRule="auto"/>
            </w:pPr>
            <w:r>
              <w:rPr>
                <w:sz w:val="19"/>
              </w:rPr>
              <w:t>Арабские/латинские версии и разные сканы Almagest — варианты доступа к одной семье.</w:t>
            </w:r>
          </w:p>
        </w:tc>
      </w:tr>
      <w:tr>
        <w:trPr>
          <w:cantSplit/>
        </w:trPr>
        <w:tc>
          <w:tcPr>
            <w:tcW w:type="dxa" w:w="2438"/>
            <w:vAlign w:val="top"/>
            <w:shd w:fill="FFFFFF"/>
            <w:tcMar>
              <w:top w:w="90" w:type="dxa"/>
              <w:left w:w="90" w:type="dxa"/>
              <w:bottom w:w="90" w:type="dxa"/>
              <w:right w:w="90" w:type="dxa"/>
            </w:tcMar>
          </w:tcPr>
          <w:p>
            <w:pPr>
              <w:spacing w:after="60" w:line="247" w:lineRule="auto"/>
            </w:pPr>
            <w:r>
              <w:rPr>
                <w:sz w:val="19"/>
              </w:rPr>
              <w:t>Аристотель и Авиценна</w:t>
            </w:r>
          </w:p>
        </w:tc>
        <w:tc>
          <w:tcPr>
            <w:tcW w:type="dxa" w:w="4025"/>
            <w:vAlign w:val="top"/>
            <w:shd w:fill="FFFFFF"/>
            <w:tcMar>
              <w:top w:w="90" w:type="dxa"/>
              <w:left w:w="90" w:type="dxa"/>
              <w:bottom w:w="90" w:type="dxa"/>
              <w:right w:w="90" w:type="dxa"/>
            </w:tcMar>
          </w:tcPr>
          <w:p>
            <w:pPr>
              <w:spacing w:after="60" w:line="247" w:lineRule="auto"/>
            </w:pPr>
            <w:r>
              <w:rPr>
                <w:sz w:val="19"/>
              </w:rPr>
              <w:t>3 аристотелевские + 7 авиценновских единиц</w:t>
            </w:r>
          </w:p>
        </w:tc>
        <w:tc>
          <w:tcPr>
            <w:tcW w:type="dxa" w:w="3175"/>
            <w:vAlign w:val="top"/>
            <w:shd w:fill="FFFFFF"/>
            <w:tcMar>
              <w:top w:w="90" w:type="dxa"/>
              <w:left w:w="90" w:type="dxa"/>
              <w:bottom w:w="90" w:type="dxa"/>
              <w:right w:w="90" w:type="dxa"/>
            </w:tcMar>
          </w:tcPr>
          <w:p>
            <w:pPr>
              <w:spacing w:after="60" w:line="247" w:lineRule="auto"/>
            </w:pPr>
            <w:r>
              <w:rPr>
                <w:sz w:val="19"/>
              </w:rPr>
              <w:t>Ранний Corpus Vetustius и поздний Мёрбеке не считаются разными произведениями; сборник Opera не добавлен сверх его отдельно учтённых частей.</w:t>
            </w:r>
          </w:p>
        </w:tc>
      </w:tr>
      <w:tr>
        <w:trPr>
          <w:cantSplit/>
        </w:trPr>
        <w:tc>
          <w:tcPr>
            <w:tcW w:type="dxa" w:w="2438"/>
            <w:vAlign w:val="top"/>
            <w:shd w:fill="EDF3F6"/>
            <w:tcMar>
              <w:top w:w="90" w:type="dxa"/>
              <w:left w:w="90" w:type="dxa"/>
              <w:bottom w:w="90" w:type="dxa"/>
              <w:right w:w="90" w:type="dxa"/>
            </w:tcMar>
          </w:tcPr>
          <w:p>
            <w:pPr>
              <w:spacing w:after="60" w:line="247" w:lineRule="auto"/>
            </w:pPr>
            <w:r>
              <w:rPr>
                <w:sz w:val="19"/>
              </w:rPr>
              <w:t>Аверроэс</w:t>
            </w:r>
          </w:p>
        </w:tc>
        <w:tc>
          <w:tcPr>
            <w:tcW w:type="dxa" w:w="4025"/>
            <w:vAlign w:val="top"/>
            <w:shd w:fill="EDF3F6"/>
            <w:tcMar>
              <w:top w:w="90" w:type="dxa"/>
              <w:left w:w="90" w:type="dxa"/>
              <w:bottom w:w="90" w:type="dxa"/>
              <w:right w:w="90" w:type="dxa"/>
            </w:tcMar>
          </w:tcPr>
          <w:p>
            <w:pPr>
              <w:spacing w:after="60" w:line="247" w:lineRule="auto"/>
            </w:pPr>
            <w:r>
              <w:rPr>
                <w:sz w:val="19"/>
              </w:rPr>
              <w:t>15 комментарийных/трактатных единиц</w:t>
            </w:r>
          </w:p>
        </w:tc>
        <w:tc>
          <w:tcPr>
            <w:tcW w:type="dxa" w:w="3175"/>
            <w:vAlign w:val="top"/>
            <w:shd w:fill="EDF3F6"/>
            <w:tcMar>
              <w:top w:w="90" w:type="dxa"/>
              <w:left w:w="90" w:type="dxa"/>
              <w:bottom w:w="90" w:type="dxa"/>
              <w:right w:w="90" w:type="dxa"/>
            </w:tcMar>
          </w:tcPr>
          <w:p>
            <w:pPr>
              <w:spacing w:after="60" w:line="247" w:lineRule="auto"/>
            </w:pPr>
            <w:r>
              <w:rPr>
                <w:sz w:val="19"/>
              </w:rPr>
              <w:t>Печатные сборники Juntina не увеличивают число тех же комментариев; два состояния Parva naturalia объединены при подсчёте.</w:t>
            </w:r>
          </w:p>
        </w:tc>
      </w:tr>
      <w:tr>
        <w:trPr>
          <w:cantSplit/>
        </w:trPr>
        <w:tc>
          <w:tcPr>
            <w:tcW w:type="dxa" w:w="2438"/>
            <w:vAlign w:val="top"/>
            <w:shd w:fill="FFFFFF"/>
            <w:tcMar>
              <w:top w:w="90" w:type="dxa"/>
              <w:left w:w="90" w:type="dxa"/>
              <w:bottom w:w="90" w:type="dxa"/>
              <w:right w:w="90" w:type="dxa"/>
            </w:tcMar>
          </w:tcPr>
          <w:p>
            <w:pPr>
              <w:spacing w:after="60" w:line="247" w:lineRule="auto"/>
            </w:pPr>
            <w:r>
              <w:rPr>
                <w:sz w:val="19"/>
              </w:rPr>
              <w:t>Прочие прямые тексты и сохранение</w:t>
            </w:r>
          </w:p>
        </w:tc>
        <w:tc>
          <w:tcPr>
            <w:tcW w:type="dxa" w:w="4025"/>
            <w:vAlign w:val="top"/>
            <w:shd w:fill="FFFFFF"/>
            <w:tcMar>
              <w:top w:w="90" w:type="dxa"/>
              <w:left w:w="90" w:type="dxa"/>
              <w:bottom w:w="90" w:type="dxa"/>
              <w:right w:w="90" w:type="dxa"/>
            </w:tcMar>
          </w:tcPr>
          <w:p>
            <w:pPr>
              <w:spacing w:after="60" w:line="247" w:lineRule="auto"/>
            </w:pPr>
            <w:r>
              <w:rPr>
                <w:sz w:val="19"/>
              </w:rPr>
              <w:t>17 единиц: Liber de causis, Платон, Прокл, Гундисалин, аль-Фараби, аль-Газали, Fons vitae, Куста, аль-Кинди, Герсонид, Фома, Pantegni, свидетель Павла Эгинского, testimonia Герарда, Opticae thesaurus</w:t>
            </w:r>
          </w:p>
        </w:tc>
        <w:tc>
          <w:tcPr>
            <w:tcW w:type="dxa" w:w="3175"/>
            <w:vAlign w:val="top"/>
            <w:shd w:fill="FFFFFF"/>
            <w:tcMar>
              <w:top w:w="90" w:type="dxa"/>
              <w:left w:w="90" w:type="dxa"/>
              <w:bottom w:w="90" w:type="dxa"/>
              <w:right w:w="90" w:type="dxa"/>
            </w:tcMar>
          </w:tcPr>
          <w:p>
            <w:pPr>
              <w:spacing w:after="60" w:line="247" w:lineRule="auto"/>
            </w:pPr>
            <w:r>
              <w:rPr>
                <w:sz w:val="19"/>
              </w:rPr>
              <w:t>Малые трактаты аль-Кинди, три testimonia Герарда и компиляция Risner считаются каждый одним комплектом.</w:t>
            </w:r>
          </w:p>
        </w:tc>
      </w:tr>
    </w:tbl>
    <w:p>
      <w:pPr>
        <w:spacing w:after="0"/>
      </w:pPr>
    </w:p>
    <w:p>
      <w:r>
        <w:t>Итого — 48 укрупнённых текстовых единиц, а не 48 полностью свободных произведений. Это рабочий подсчёт по названным текстам и корпусным комплектам: он не претендует на полный каталог всех сочинений внутри сборников. Им соответствуют 86 записей реестра, включая 6 инфраструктурных и 2 вторично-навигационные. В gaps — ещё 25 записей; одна такая запись иногда объединяет несколько тесно связанных недопроверенных объектов.</w:t>
      </w:r>
    </w:p>
    <w:p>
      <w:pPr>
        <w:pStyle w:val="Heading2"/>
      </w:pPr>
      <w:r>
        <w:t>Поиск назад: реальные входящие тексты</w:t>
      </w:r>
    </w:p>
    <w:p>
      <w:r>
        <w:t>Арабские версии Almagest IX века включены как antecedent: аль-Хаджжадж; Исхак ибн Хунайн с ревизией Сабита; самостоятельная версия Сабита. Их разделение нужно для понимания исходного слоя латинских переводов. У аль-Хаджжаджа найден также открытый текст по Leiden Or.680; он охватывает прозу I–XIII, но не астрономические таблицы. Происхождение каждой латинской фразы от одного конкретного арабского свидетеля здесь не постулируется.</w:t>
      </w:r>
      <w:r>
        <w:t xml:space="preserve"> </w:t>
      </w:r>
      <w:hyperlink r:id="rId28">
        <w:r>
          <w:rPr>
            <w:color w:val="17627C"/>
            <w:u w:val="single"/>
          </w:rPr>
          <w:t>[R079]</w:t>
        </w:r>
      </w:hyperlink>
      <w:r>
        <w:t xml:space="preserve"> · </w:t>
      </w:r>
      <w:hyperlink r:id="rId29">
        <w:r>
          <w:rPr>
            <w:color w:val="17627C"/>
            <w:u w:val="single"/>
          </w:rPr>
          <w:t>[R080]</w:t>
        </w:r>
      </w:hyperlink>
      <w:r>
        <w:t xml:space="preserve"> · </w:t>
      </w:r>
      <w:hyperlink r:id="rId30">
        <w:r>
          <w:rPr>
            <w:color w:val="17627C"/>
            <w:u w:val="single"/>
          </w:rPr>
          <w:t>[R081]</w:t>
        </w:r>
      </w:hyperlink>
      <w:r>
        <w:t xml:space="preserve"> · </w:t>
      </w:r>
      <w:hyperlink r:id="rId31">
        <w:r>
          <w:rPr>
            <w:color w:val="17627C"/>
            <w:u w:val="single"/>
          </w:rPr>
          <w:t>[R086]</w:t>
        </w:r>
      </w:hyperlink>
    </w:p>
    <w:p>
      <w:r>
        <w:t>Pantegni Константина Африканского — прямой южноитальянский предслой: найдены хельсинкский Theorica и гаагский Liber Pantegni. «Начала теологии» Прокла — более ранний источник для линии Liber de causis, подтверждаемой также прологом комментария Фомы. Эти включения объясняются текстовой передачей, а не общей принадлежностью к греческой философии или медицине.</w:t>
      </w:r>
      <w:r>
        <w:t xml:space="preserve"> </w:t>
      </w:r>
      <w:hyperlink r:id="rId32">
        <w:r>
          <w:rPr>
            <w:color w:val="17627C"/>
            <w:u w:val="single"/>
          </w:rPr>
          <w:t>[R059]</w:t>
        </w:r>
      </w:hyperlink>
      <w:r>
        <w:t xml:space="preserve"> · </w:t>
      </w:r>
      <w:hyperlink r:id="rId33">
        <w:r>
          <w:rPr>
            <w:color w:val="17627C"/>
            <w:u w:val="single"/>
          </w:rPr>
          <w:t>[R067]</w:t>
        </w:r>
      </w:hyperlink>
      <w:r>
        <w:t xml:space="preserve"> · </w:t>
      </w:r>
      <w:hyperlink r:id="rId34">
        <w:r>
          <w:rPr>
            <w:color w:val="17627C"/>
            <w:u w:val="single"/>
          </w:rPr>
          <w:t>[R068]</w:t>
        </w:r>
      </w:hyperlink>
      <w:r>
        <w:t xml:space="preserve"> · </w:t>
      </w:r>
      <w:hyperlink r:id="rId35">
        <w:r>
          <w:rPr>
            <w:color w:val="17627C"/>
            <w:u w:val="single"/>
          </w:rPr>
          <w:t>[R070]</w:t>
        </w:r>
      </w:hyperlink>
    </w:p>
    <w:p>
      <w:pPr>
        <w:pStyle w:val="Heading2"/>
      </w:pPr>
      <w:r>
        <w:t>Поиск вперёд: редакции, комментарии и сохранение</w:t>
      </w:r>
    </w:p>
    <w:p>
      <w:r>
        <w:t>Вильгельм из Мёрбеке представлен новой версией Meteorologica и её ревизиями второй половины XIII века. Фома — прямым комментарием к Liber de causis; Герсонид — суперкомментариями к конкретным эпитомам Аверроэса. Ивритские версии включены как действительная линия сохранения того же комментарийного материала, а не как общий обзор еврейской философии.</w:t>
      </w:r>
      <w:r>
        <w:t xml:space="preserve"> </w:t>
      </w:r>
      <w:hyperlink r:id="rId21">
        <w:r>
          <w:rPr>
            <w:color w:val="17627C"/>
            <w:u w:val="single"/>
          </w:rPr>
          <w:t>[R040]</w:t>
        </w:r>
      </w:hyperlink>
      <w:r>
        <w:t xml:space="preserve"> · </w:t>
      </w:r>
      <w:hyperlink r:id="rId36">
        <w:r>
          <w:rPr>
            <w:color w:val="17627C"/>
            <w:u w:val="single"/>
          </w:rPr>
          <w:t>[R041]</w:t>
        </w:r>
      </w:hyperlink>
      <w:r>
        <w:t xml:space="preserve"> · </w:t>
      </w:r>
      <w:hyperlink r:id="rId22">
        <w:r>
          <w:rPr>
            <w:color w:val="17627C"/>
            <w:u w:val="single"/>
          </w:rPr>
          <w:t>[R042]</w:t>
        </w:r>
      </w:hyperlink>
      <w:r>
        <w:t xml:space="preserve"> · </w:t>
      </w:r>
      <w:hyperlink r:id="rId23">
        <w:r>
          <w:rPr>
            <w:color w:val="17627C"/>
            <w:u w:val="single"/>
          </w:rPr>
          <w:t>[R043]</w:t>
        </w:r>
      </w:hyperlink>
      <w:r>
        <w:t xml:space="preserve"> · </w:t>
      </w:r>
      <w:hyperlink r:id="rId32">
        <w:r>
          <w:rPr>
            <w:color w:val="17627C"/>
            <w:u w:val="single"/>
          </w:rPr>
          <w:t>[R059]</w:t>
        </w:r>
      </w:hyperlink>
      <w:r>
        <w:t xml:space="preserve"> · </w:t>
      </w:r>
      <w:hyperlink r:id="rId37">
        <w:r>
          <w:rPr>
            <w:color w:val="17627C"/>
            <w:u w:val="single"/>
          </w:rPr>
          <w:t>[R078]</w:t>
        </w:r>
      </w:hyperlink>
    </w:p>
    <w:p>
      <w:r>
        <w:t>Ренессансные Juntina и Opticae thesaurus, печатный «Канон» 1593 г., арабский список «Канона» 1632 г. и современные переводы включены как transmission_or_preservation. Их поздняя дата не меняет датировку T2-23. Almagesti minor помечен continuation по текстовой функции; его создание около 1200 г. всё ещё находится внутри исторического ядра, а не после него.</w:t>
      </w:r>
      <w:r>
        <w:t xml:space="preserve"> </w:t>
      </w:r>
      <w:hyperlink r:id="rId38">
        <w:r>
          <w:rPr>
            <w:color w:val="17627C"/>
            <w:u w:val="single"/>
          </w:rPr>
          <w:t>[R018]</w:t>
        </w:r>
      </w:hyperlink>
      <w:r>
        <w:t xml:space="preserve"> · </w:t>
      </w:r>
      <w:hyperlink r:id="rId39">
        <w:r>
          <w:rPr>
            <w:color w:val="17627C"/>
            <w:u w:val="single"/>
          </w:rPr>
          <w:t>[R021]</w:t>
        </w:r>
      </w:hyperlink>
      <w:r>
        <w:t xml:space="preserve"> · </w:t>
      </w:r>
      <w:hyperlink r:id="rId40">
        <w:r>
          <w:rPr>
            <w:color w:val="17627C"/>
            <w:u w:val="single"/>
          </w:rPr>
          <w:t>[R024]</w:t>
        </w:r>
      </w:hyperlink>
      <w:r>
        <w:t xml:space="preserve"> · </w:t>
      </w:r>
      <w:hyperlink r:id="rId41">
        <w:r>
          <w:rPr>
            <w:color w:val="17627C"/>
            <w:u w:val="single"/>
          </w:rPr>
          <w:t>[R065]</w:t>
        </w:r>
      </w:hyperlink>
      <w:r>
        <w:t xml:space="preserve"> · </w:t>
      </w:r>
      <w:hyperlink r:id="rId42">
        <w:r>
          <w:rPr>
            <w:color w:val="17627C"/>
            <w:u w:val="single"/>
          </w:rPr>
          <w:t>[R069]</w:t>
        </w:r>
      </w:hyperlink>
      <w:r>
        <w:t xml:space="preserve"> · </w:t>
      </w:r>
      <w:hyperlink r:id="rId24">
        <w:r>
          <w:rPr>
            <w:color w:val="17627C"/>
            <w:u w:val="single"/>
          </w:rPr>
          <w:t>[R072]</w:t>
        </w:r>
      </w:hyperlink>
      <w:r>
        <w:t xml:space="preserve"> · </w:t>
      </w:r>
      <w:hyperlink r:id="rId43">
        <w:r>
          <w:rPr>
            <w:color w:val="17627C"/>
            <w:u w:val="single"/>
          </w:rPr>
          <w:t>[R074]</w:t>
        </w:r>
      </w:hyperlink>
    </w:p>
    <w:p>
      <w:r>
        <w:t>Теги relevance описывают роль, а не рейтинг ценности. Core закрепляет якоря DR; same_corpus_or_tradition — прямых членов переводческой семьи; supporting — составной свидетель BnF latin 9335; boundary — параллельный Almagest ʿAbd al-Masīḥ of Winchester. Infrastructure относится к PAL, SIEPM, DARE и ALD, secondary_navigation — только к необходимым исследованиям идентичности и обнаружения.</w:t>
      </w:r>
      <w:r>
        <w:t xml:space="preserve"> </w:t>
      </w:r>
      <w:hyperlink r:id="rId44">
        <w:r>
          <w:rPr>
            <w:color w:val="17627C"/>
            <w:u w:val="single"/>
          </w:rPr>
          <w:t>[R025]</w:t>
        </w:r>
      </w:hyperlink>
      <w:r>
        <w:t xml:space="preserve"> · </w:t>
      </w:r>
      <w:hyperlink r:id="rId45">
        <w:r>
          <w:rPr>
            <w:color w:val="17627C"/>
            <w:u w:val="single"/>
          </w:rPr>
          <w:t>[R055]</w:t>
        </w:r>
      </w:hyperlink>
      <w:r>
        <w:t xml:space="preserve"> · </w:t>
      </w:r>
      <w:hyperlink r:id="rId46">
        <w:r>
          <w:rPr>
            <w:color w:val="17627C"/>
            <w:u w:val="single"/>
          </w:rPr>
          <w:t>[R073]</w:t>
        </w:r>
      </w:hyperlink>
      <w:r>
        <w:t xml:space="preserve"> · </w:t>
      </w:r>
      <w:hyperlink r:id="rId47">
        <w:r>
          <w:rPr>
            <w:color w:val="17627C"/>
            <w:u w:val="single"/>
          </w:rPr>
          <w:t>[R082]</w:t>
        </w:r>
      </w:hyperlink>
      <w:r>
        <w:t xml:space="preserve"> · </w:t>
      </w:r>
      <w:hyperlink r:id="rId27">
        <w:r>
          <w:rPr>
            <w:color w:val="17627C"/>
            <w:u w:val="single"/>
          </w:rPr>
          <w:t>[R084]</w:t>
        </w:r>
      </w:hyperlink>
    </w:p>
    <w:p>
      <w:r>
        <w:br w:type="page"/>
      </w:r>
    </w:p>
    <w:p>
      <w:pPr>
        <w:pStyle w:val="Heading1"/>
      </w:pPr>
      <w:r>
        <w:t>3. Лучшие пути доступа</w:t>
      </w:r>
    </w:p>
    <w:p>
      <w:r>
        <w:t>Номера R… ведут к конкретным страницам из XLSX. «Полный» далее всегда означает указанную версию или сохранившийся объём, а не все исходные языки и рукописи. Скан, транскрипция и современное критическое издание выполняют разные задачи.</w:t>
      </w:r>
    </w:p>
    <w:p>
      <w:pPr>
        <w:pStyle w:val="Heading2"/>
      </w:pPr>
      <w:r>
        <w:t>3.1. Almagest: оригинальные ветви, чтение и машиночитаемый текст</w:t>
      </w:r>
    </w:p>
    <w:p>
      <w:r>
        <w:t>Лучший бесплатный латинский текст для старта — PAL, перевод Герарда по печати 1515 г. Проверены оглавление и крайние книги. Параллельный сицилийский греко-латинский перевод дан по Vaticanus lat.2056: его нельзя растворять в версии Герарда. Для собственных текстовых индексов полезнее эти транскрипции, а для проверки печатной страницы — e-rara, Rar 1357.</w:t>
      </w:r>
      <w:r>
        <w:t xml:space="preserve"> </w:t>
      </w:r>
      <w:hyperlink r:id="rId11">
        <w:r>
          <w:rPr>
            <w:color w:val="17627C"/>
            <w:u w:val="single"/>
          </w:rPr>
          <w:t>[R004]</w:t>
        </w:r>
      </w:hyperlink>
      <w:r>
        <w:t xml:space="preserve"> · </w:t>
      </w:r>
      <w:hyperlink r:id="rId48">
        <w:r>
          <w:rPr>
            <w:color w:val="17627C"/>
            <w:u w:val="single"/>
          </w:rPr>
          <w:t>[R005]</w:t>
        </w:r>
      </w:hyperlink>
      <w:r>
        <w:t xml:space="preserve"> · </w:t>
      </w:r>
      <w:hyperlink r:id="rId49">
        <w:r>
          <w:rPr>
            <w:color w:val="17627C"/>
            <w:u w:val="single"/>
          </w:rPr>
          <w:t>[R011]</w:t>
        </w:r>
      </w:hyperlink>
    </w:p>
    <w:p>
      <w:r>
        <w:t>Лучший найденный арабский текст — транскрипция аль-Хаджжаджа по Leiden Or.680 с открытой лицензией PAL. Это существенная часть произведения: проза всех тринадцати книг, без таблиц. Современный английский вход — G. J. Toomer через официальную книжную платформу, где доступны preview и институциональный путь. Свободный старый перевод на современный язык, сопоставимый по качеству с Toomer, в этом запуске не установлен.</w:t>
      </w:r>
      <w:r>
        <w:t xml:space="preserve"> </w:t>
      </w:r>
      <w:hyperlink r:id="rId50">
        <w:r>
          <w:rPr>
            <w:color w:val="17627C"/>
            <w:u w:val="single"/>
          </w:rPr>
          <w:t>[R071]</w:t>
        </w:r>
      </w:hyperlink>
      <w:r>
        <w:t xml:space="preserve"> · </w:t>
      </w:r>
      <w:hyperlink r:id="rId31">
        <w:r>
          <w:rPr>
            <w:color w:val="17627C"/>
            <w:u w:val="single"/>
          </w:rPr>
          <w:t>[R086]</w:t>
        </w:r>
      </w:hyperlink>
    </w:p>
    <w:p>
      <w:r>
        <w:t>Скачивание: e-rara предлагает PDF, TXT/ALTO и IIIF; PAL — Git-пакет текстов и отдельную JSON-выгрузку каталога. Полные файлы не все прошли техническую загрузку; эти ограничения не скрыты за тегом FREE_DOWNLOAD. Наиболее свободны текст PAL с атрибуцией и конкретный скан e-rara с PDM; лицензия PAL не распространяется автоматически на чужие библиотечные фотографии.</w:t>
      </w:r>
      <w:r>
        <w:t xml:space="preserve"> </w:t>
      </w:r>
      <w:hyperlink r:id="rId51">
        <w:r>
          <w:rPr>
            <w:color w:val="17627C"/>
            <w:u w:val="single"/>
          </w:rPr>
          <w:t>[R002]</w:t>
        </w:r>
      </w:hyperlink>
      <w:r>
        <w:t xml:space="preserve"> · </w:t>
      </w:r>
      <w:hyperlink r:id="rId52">
        <w:r>
          <w:rPr>
            <w:color w:val="17627C"/>
            <w:u w:val="single"/>
          </w:rPr>
          <w:t>[R003]</w:t>
        </w:r>
      </w:hyperlink>
      <w:r>
        <w:t xml:space="preserve"> · </w:t>
      </w:r>
      <w:hyperlink r:id="rId53">
        <w:r>
          <w:rPr>
            <w:color w:val="17627C"/>
            <w:u w:val="single"/>
          </w:rPr>
          <w:t>[R006]</w:t>
        </w:r>
      </w:hyperlink>
      <w:r>
        <w:t xml:space="preserve"> · </w:t>
      </w:r>
      <w:hyperlink r:id="rId49">
        <w:r>
          <w:rPr>
            <w:color w:val="17627C"/>
            <w:u w:val="single"/>
          </w:rPr>
          <w:t>[R011]</w:t>
        </w:r>
      </w:hyperlink>
    </w:p>
    <w:p>
      <w:pPr>
        <w:pStyle w:val="Heading2"/>
      </w:pPr>
      <w:r>
        <w:t>3.2. Введение Сабита, заметки Герарда и Geber</w:t>
      </w:r>
    </w:p>
    <w:p>
      <w:r>
        <w:t>Введение Сабита к чтению Almagest доступно как открытая латинская транскрипция конкретного раздела BnF latin 9335. Notule Almagesti представлены отдельным рукописным входом; для изображений право повторного размещения не установлено. Для Geber / Джабира ибн Афлаха найден полный латинский Text only девяти книг по печати 1534 г. Это особенно полезное расширение: ещё один собственный арабский научный текст в переводе Герарда, а не повторная ссылка на Птолемея.</w:t>
      </w:r>
      <w:r>
        <w:t xml:space="preserve"> </w:t>
      </w:r>
      <w:hyperlink r:id="rId54">
        <w:r>
          <w:rPr>
            <w:color w:val="17627C"/>
            <w:u w:val="single"/>
          </w:rPr>
          <w:t>[R007]</w:t>
        </w:r>
      </w:hyperlink>
      <w:r>
        <w:t xml:space="preserve"> · </w:t>
      </w:r>
      <w:hyperlink r:id="rId55">
        <w:r>
          <w:rPr>
            <w:color w:val="17627C"/>
            <w:u w:val="single"/>
          </w:rPr>
          <w:t>[R008]</w:t>
        </w:r>
      </w:hyperlink>
      <w:r>
        <w:t xml:space="preserve"> · </w:t>
      </w:r>
      <w:hyperlink r:id="rId26">
        <w:r>
          <w:rPr>
            <w:color w:val="17627C"/>
            <w:u w:val="single"/>
          </w:rPr>
          <w:t>[R083]</w:t>
        </w:r>
      </w:hyperlink>
    </w:p>
    <w:p>
      <w:r>
        <w:t>Современное критическое издание Almagesti minor Генри Зепеды доступно как официально предложенный PDF PAL и как покупка. Права более ограничены, чем у транскрипций: некоммерческое распространение неизменного файла. Для дальнейшей идентификации рукописей — двухтомный свод David Juste; он включён как навигационный инструмент, а не как новый первичный корпус.</w:t>
      </w:r>
      <w:r>
        <w:t xml:space="preserve"> </w:t>
      </w:r>
      <w:hyperlink r:id="rId24">
        <w:r>
          <w:rPr>
            <w:color w:val="17627C"/>
            <w:u w:val="single"/>
          </w:rPr>
          <w:t>[R072]</w:t>
        </w:r>
      </w:hyperlink>
      <w:r>
        <w:t xml:space="preserve"> · </w:t>
      </w:r>
      <w:hyperlink r:id="rId46">
        <w:r>
          <w:rPr>
            <w:color w:val="17627C"/>
            <w:u w:val="single"/>
          </w:rPr>
          <w:t>[R073]</w:t>
        </w:r>
      </w:hyperlink>
    </w:p>
    <w:p>
      <w:pPr>
        <w:pStyle w:val="Heading2"/>
      </w:pPr>
      <w:r>
        <w:t>3.3. Avicenna Latinus: психология, метафизика и естествознание</w:t>
      </w:r>
    </w:p>
    <w:p>
      <w:r>
        <w:t>Бесплатный широкий вход — философский сборник 1508 г. через SIEPM. Проверка реального титула показала, что размещённый файл воспроизводит репринт Minerva 1961. Это сохраняет его исследовательскую ценность, но не позволяет объявить весь PDF свободным только по году 1508. Сборник полезен для чтения и сопоставления; плохой машинный слой требует сверки.</w:t>
      </w:r>
      <w:r>
        <w:t xml:space="preserve"> </w:t>
      </w:r>
      <w:hyperlink r:id="rId13">
        <w:r>
          <w:rPr>
            <w:color w:val="17627C"/>
            <w:u w:val="single"/>
          </w:rPr>
          <w:t>[R013]</w:t>
        </w:r>
      </w:hyperlink>
    </w:p>
    <w:p>
      <w:r>
        <w:t>Научные ориентиры — отдельные тома Avicenna Latinus: De anima I–III; Philosophia prima I–IV и V–X; физический трактат о причинах и началах; De actionibus et passionibus primarum qualitatum; De generatione et corruptione; Logica. В реестре сохранены покупка, переиздание в ожидании и preview, а не только открытые PDF. В карточках некоторых томов годы и названия расходятся; это вынесено в примечания и G006, а не устранено догадкой.</w:t>
      </w:r>
      <w:r>
        <w:t xml:space="preserve"> </w:t>
      </w:r>
      <w:hyperlink r:id="rId56">
        <w:r>
          <w:rPr>
            <w:color w:val="17627C"/>
            <w:u w:val="single"/>
          </w:rPr>
          <w:t>[R045]</w:t>
        </w:r>
      </w:hyperlink>
      <w:r>
        <w:t xml:space="preserve"> · </w:t>
      </w:r>
      <w:hyperlink r:id="rId57">
        <w:r>
          <w:rPr>
            <w:color w:val="17627C"/>
            <w:u w:val="single"/>
          </w:rPr>
          <w:t>[R046]</w:t>
        </w:r>
      </w:hyperlink>
      <w:r>
        <w:t xml:space="preserve"> · </w:t>
      </w:r>
      <w:hyperlink r:id="rId58">
        <w:r>
          <w:rPr>
            <w:color w:val="17627C"/>
            <w:u w:val="single"/>
          </w:rPr>
          <w:t>[R047]</w:t>
        </w:r>
      </w:hyperlink>
      <w:r>
        <w:t xml:space="preserve"> · </w:t>
      </w:r>
      <w:hyperlink r:id="rId59">
        <w:r>
          <w:rPr>
            <w:color w:val="17627C"/>
            <w:u w:val="single"/>
          </w:rPr>
          <w:t>[R048]</w:t>
        </w:r>
      </w:hyperlink>
      <w:r>
        <w:t xml:space="preserve"> · </w:t>
      </w:r>
      <w:hyperlink r:id="rId60">
        <w:r>
          <w:rPr>
            <w:color w:val="17627C"/>
            <w:u w:val="single"/>
          </w:rPr>
          <w:t>[R049]</w:t>
        </w:r>
      </w:hyperlink>
      <w:r>
        <w:t xml:space="preserve"> · </w:t>
      </w:r>
      <w:hyperlink r:id="rId61">
        <w:r>
          <w:rPr>
            <w:color w:val="17627C"/>
            <w:u w:val="single"/>
          </w:rPr>
          <w:t>[R050]</w:t>
        </w:r>
      </w:hyperlink>
      <w:r>
        <w:t xml:space="preserve"> · </w:t>
      </w:r>
      <w:hyperlink r:id="rId62">
        <w:r>
          <w:rPr>
            <w:color w:val="17627C"/>
            <w:u w:val="single"/>
          </w:rPr>
          <w:t>[R051]</w:t>
        </w:r>
      </w:hyperlink>
    </w:p>
    <w:p>
      <w:r>
        <w:t>Французский перевод метафизики Anawati охватывает I–V и остаётся защищённым. Ни он, ни современный латинский аппарат не названы безусловной основой нового публичного перевода ToS. Полный арабский исходный текст Šifāʾ с ясной версией и правами ещё предстоит закрепить.</w:t>
      </w:r>
      <w:r>
        <w:t xml:space="preserve"> </w:t>
      </w:r>
      <w:hyperlink r:id="rId63">
        <w:r>
          <w:rPr>
            <w:color w:val="17627C"/>
            <w:u w:val="single"/>
          </w:rPr>
          <w:t>[R052]</w:t>
        </w:r>
      </w:hyperlink>
    </w:p>
    <w:p>
      <w:pPr>
        <w:pStyle w:val="Heading2"/>
      </w:pPr>
      <w:r>
        <w:t>3.4. «Канон» Авиценны и медицинский предслой</w:t>
      </w:r>
    </w:p>
    <w:p>
      <w:r>
        <w:t>Наиболее свободный найденный арабский вход — Wellcome MS Arabic 155: каталог описывает полный список пяти книг, переписанный в Исфахане в 1632 г., и применяет Public Domain Mark к цифровому объекту. Предложены изображения и целый PDF; прямую загрузку инструмент не завершил. Собственный перевод возможен с факсимиле этого свидетеля, с указанием его происхождения и вариантов, но не как якобы восстановленный протограф Герарда.</w:t>
      </w:r>
      <w:r>
        <w:t xml:space="preserve"> </w:t>
      </w:r>
      <w:hyperlink r:id="rId43">
        <w:r>
          <w:rPr>
            <w:color w:val="17627C"/>
            <w:u w:val="single"/>
          </w:rPr>
          <w:t>[R074]</w:t>
        </w:r>
      </w:hyperlink>
    </w:p>
    <w:p>
      <w:r>
        <w:t>Печатная арабская Medicea 1593 г. подтверждена карточкой экземпляра AUB, пока без проверенного полного файла. Латинская печать 1490 г. и отдельный QNL-вход 1593 г. сохранены в G005. Для раннего южноитальянского слоя лучший найденный открытый объект — хельсинкский Theorica Pantegni: факсимиле и транскрипция, отмеченные PDM на item-level карточке. Это не Practica и не весь корпус Константина. Гаагский KW 73 J 6 остаётся каталогом с музейным входом.</w:t>
      </w:r>
      <w:r>
        <w:t xml:space="preserve"> </w:t>
      </w:r>
      <w:hyperlink r:id="rId33">
        <w:r>
          <w:rPr>
            <w:color w:val="17627C"/>
            <w:u w:val="single"/>
          </w:rPr>
          <w:t>[R067]</w:t>
        </w:r>
      </w:hyperlink>
      <w:r>
        <w:t xml:space="preserve"> · </w:t>
      </w:r>
      <w:hyperlink r:id="rId34">
        <w:r>
          <w:rPr>
            <w:color w:val="17627C"/>
            <w:u w:val="single"/>
          </w:rPr>
          <w:t>[R068]</w:t>
        </w:r>
      </w:hyperlink>
      <w:r>
        <w:t xml:space="preserve"> · </w:t>
      </w:r>
      <w:hyperlink r:id="rId42">
        <w:r>
          <w:rPr>
            <w:color w:val="17627C"/>
            <w:u w:val="single"/>
          </w:rPr>
          <w:t>[R069]</w:t>
        </w:r>
      </w:hyperlink>
    </w:p>
    <w:p>
      <w:r>
        <w:t>Русская многокнижная версия «Канона» обнаружена в официальной выдаче НЭБ, но item-level страница не открылась. Поэтому она не включена как установленный полнотекстовый путь: G019 требует подтвердить каждый том и режим доступа.</w:t>
      </w:r>
    </w:p>
    <w:p>
      <w:pPr>
        <w:pStyle w:val="Heading2"/>
      </w:pPr>
      <w:r>
        <w:t>3.5. Algazel, Fons vitae, аль-Кинди и Куста</w:t>
      </w:r>
    </w:p>
    <w:p>
      <w:r>
        <w:t>Для латинского Algazel имеется Logica et philosophia 1506 г. через SIEPM. Она представляет именно западную переводную редакцию; арабские Maqāṣid с их авторским обрамлением необходимо искать отдельно. Fons vitae доступен по изданию Baeumker в двух файлах одной научной публикации. У аль-Кинди найден сборник Nagy с четырьмя латинскими трактатами. Открытые загрузки здесь пригодны для исследовательского чтения, но не получили разрешения MIRROR_OK.</w:t>
      </w:r>
      <w:r>
        <w:t xml:space="preserve"> </w:t>
      </w:r>
      <w:hyperlink r:id="rId64">
        <w:r>
          <w:rPr>
            <w:color w:val="17627C"/>
            <w:u w:val="single"/>
          </w:rPr>
          <w:t>[R014]</w:t>
        </w:r>
      </w:hyperlink>
      <w:r>
        <w:t xml:space="preserve"> · </w:t>
      </w:r>
      <w:hyperlink r:id="rId18">
        <w:r>
          <w:rPr>
            <w:color w:val="17627C"/>
            <w:u w:val="single"/>
          </w:rPr>
          <w:t>[R015]</w:t>
        </w:r>
      </w:hyperlink>
      <w:r>
        <w:t xml:space="preserve"> · </w:t>
      </w:r>
      <w:hyperlink r:id="rId19">
        <w:r>
          <w:rPr>
            <w:color w:val="17627C"/>
            <w:u w:val="single"/>
          </w:rPr>
          <w:t>[R016]</w:t>
        </w:r>
      </w:hyperlink>
    </w:p>
    <w:p>
      <w:r>
        <w:t>De differentia animae et spiritus Кусты ибн Луки сохранён как официальный SIEPM-вход, однако индивидуальный файл дал cache miss. Это не доказательство отсутствия текста. Ни защищённая реконструкция арабского оригинала, ни полный современный перевод этих комплектов в рамках запуска не установлены.</w:t>
      </w:r>
      <w:r>
        <w:t xml:space="preserve"> </w:t>
      </w:r>
      <w:hyperlink r:id="rId20">
        <w:r>
          <w:rPr>
            <w:color w:val="17627C"/>
            <w:u w:val="single"/>
          </w:rPr>
          <w:t>[R017]</w:t>
        </w:r>
      </w:hyperlink>
    </w:p>
    <w:p>
      <w:pPr>
        <w:pStyle w:val="Heading2"/>
      </w:pPr>
      <w:r>
        <w:t>3.6. Аверроэс: три больших комментария и расширенный корпус</w:t>
      </w:r>
    </w:p>
    <w:p>
      <w:r>
        <w:t>Для большого комментария к De anima наиболее доступный старый латинский вход — соответствующий том Juntina через SIEPM; современный английский — перевод Richard C. Taylor у Yale. Для Physics и Metaphysics также сохранены предметные тома Juntina. Это разные части раннепечатного комплекса, а не одна общая ссылка на портал.</w:t>
      </w:r>
      <w:r>
        <w:t xml:space="preserve"> </w:t>
      </w:r>
      <w:hyperlink r:id="rId14">
        <w:r>
          <w:rPr>
            <w:color w:val="17627C"/>
            <w:u w:val="single"/>
          </w:rPr>
          <w:t>[R020]</w:t>
        </w:r>
      </w:hyperlink>
      <w:r>
        <w:t xml:space="preserve"> · </w:t>
      </w:r>
      <w:hyperlink r:id="rId65">
        <w:r>
          <w:rPr>
            <w:color w:val="17627C"/>
            <w:u w:val="single"/>
          </w:rPr>
          <w:t>[R022]</w:t>
        </w:r>
      </w:hyperlink>
      <w:r>
        <w:t xml:space="preserve"> · </w:t>
      </w:r>
      <w:hyperlink r:id="rId66">
        <w:r>
          <w:rPr>
            <w:color w:val="17627C"/>
            <w:u w:val="single"/>
          </w:rPr>
          <w:t>[R023]</w:t>
        </w:r>
      </w:hyperlink>
      <w:r>
        <w:t xml:space="preserve"> · </w:t>
      </w:r>
      <w:hyperlink r:id="rId67">
        <w:r>
          <w:rPr>
            <w:color w:val="17627C"/>
            <w:u w:val="single"/>
          </w:rPr>
          <w:t>[R044]</w:t>
        </w:r>
      </w:hyperlink>
    </w:p>
    <w:p>
      <w:r>
        <w:t>Richard Rufus Project даёт рабочую латинскую транскрипцию versio circulans комментария к Metaphysics. Проверенный доступ ограничен выбранной частью, поэтому она не названа полной заменой всего комментария. Институциональное размещение и возможность скопировать HTML не делают транскрипцию свободной от авторских прав.</w:t>
      </w:r>
      <w:r>
        <w:t xml:space="preserve"> </w:t>
      </w:r>
      <w:hyperlink r:id="rId68">
        <w:r>
          <w:rPr>
            <w:color w:val="17627C"/>
            <w:u w:val="single"/>
          </w:rPr>
          <w:t>[R009]</w:t>
        </w:r>
      </w:hyperlink>
    </w:p>
    <w:p>
      <w:r>
        <w:t>DARE позволил идентифицировать отдельные редакции логических комментариев, Rhetoric, Poetics, Physics, De substantia orbis, De generatione, Meteorologica IV, De anima, Parva naturalia и арабской Metaphysics. Однако 14 старых sourceviewer-ссылок вернули 403/ошибку: R026–R039 намеренно не помечены FREE_READ. Их существование и версия подтверждены официальным списком публикаций; техническое состояние пути вынесено отдельно.</w:t>
      </w:r>
      <w:r>
        <w:t xml:space="preserve"> </w:t>
      </w:r>
      <w:hyperlink r:id="rId44">
        <w:r>
          <w:rPr>
            <w:color w:val="17627C"/>
            <w:u w:val="single"/>
          </w:rPr>
          <w:t>[R025]</w:t>
        </w:r>
      </w:hyperlink>
    </w:p>
    <w:p>
      <w:r>
        <w:t>Реально открылся новый DARE-вход к ивритскому среднему комментарию на «Никомахову этику»: HTML с десятью книгами, тогда как TEI endpoint не прошёл загрузку. На официальном сервере также предложены редакция ивритской эпитомы De caelo и суперкомментарии Герсонида к De caelo и De anima. Полный PDF в Nextcloud требует дополнительной проверки; открытая лицензия на эти современные научные версии не найдена.</w:t>
      </w:r>
      <w:r>
        <w:t xml:space="preserve"> </w:t>
      </w:r>
      <w:hyperlink r:id="rId21">
        <w:r>
          <w:rPr>
            <w:color w:val="17627C"/>
            <w:u w:val="single"/>
          </w:rPr>
          <w:t>[R040]</w:t>
        </w:r>
      </w:hyperlink>
      <w:r>
        <w:t xml:space="preserve"> · </w:t>
      </w:r>
      <w:hyperlink r:id="rId36">
        <w:r>
          <w:rPr>
            <w:color w:val="17627C"/>
            <w:u w:val="single"/>
          </w:rPr>
          <w:t>[R041]</w:t>
        </w:r>
      </w:hyperlink>
      <w:r>
        <w:t xml:space="preserve"> · </w:t>
      </w:r>
      <w:hyperlink r:id="rId22">
        <w:r>
          <w:rPr>
            <w:color w:val="17627C"/>
            <w:u w:val="single"/>
          </w:rPr>
          <w:t>[R042]</w:t>
        </w:r>
      </w:hyperlink>
      <w:r>
        <w:t xml:space="preserve"> · </w:t>
      </w:r>
      <w:hyperlink r:id="rId23">
        <w:r>
          <w:rPr>
            <w:color w:val="17627C"/>
            <w:u w:val="single"/>
          </w:rPr>
          <w:t>[R043]</w:t>
        </w:r>
      </w:hyperlink>
    </w:p>
    <w:p>
      <w:r>
        <w:t>Наиболее свободная доказанная база для массового зеркалирования всего Averroes Latinus не установлена. Практическое решение — сохранять ссылки и библиографию, читать авторизованные файлы, а права на каждый цифровой текст и аппарат проверять отдельно. Поздние Destructio destructionum и De animae beatitudine в томе Juntina оставлены как линия сохранения; неоднородные переводческие и атрибуционные слои отмечены.</w:t>
      </w:r>
      <w:r>
        <w:t xml:space="preserve"> </w:t>
      </w:r>
      <w:hyperlink r:id="rId40">
        <w:r>
          <w:rPr>
            <w:color w:val="17627C"/>
            <w:u w:val="single"/>
          </w:rPr>
          <w:t>[R024]</w:t>
        </w:r>
      </w:hyperlink>
    </w:p>
    <w:p>
      <w:pPr>
        <w:pStyle w:val="Heading2"/>
      </w:pPr>
      <w:r>
        <w:t>3.7. Аристотель: аналитика, составная метеорология и зоология</w:t>
      </w:r>
    </w:p>
    <w:p>
      <w:r>
        <w:t>Критическое издание Posterior Analytics в Aristoteles Latinus IV.1–4 позволяет сопоставить латинские версии, включая Герарда. Для Meteorologica IV найдено предметное издание перевода Аристиппа; для позднего греко-латинского этапа — издание Мёрбеке с вариантами редакций. Это сильные научные входы через покупку, а не основания публиковать собственную копию аппарата.</w:t>
      </w:r>
      <w:r>
        <w:t xml:space="preserve"> </w:t>
      </w:r>
      <w:hyperlink r:id="rId69">
        <w:r>
          <w:rPr>
            <w:color w:val="17627C"/>
            <w:u w:val="single"/>
          </w:rPr>
          <w:t>[R053]</w:t>
        </w:r>
      </w:hyperlink>
      <w:r>
        <w:t xml:space="preserve"> · </w:t>
      </w:r>
      <w:hyperlink r:id="rId70">
        <w:r>
          <w:rPr>
            <w:color w:val="17627C"/>
            <w:u w:val="single"/>
          </w:rPr>
          <w:t>[R054]</w:t>
        </w:r>
      </w:hyperlink>
      <w:r>
        <w:t xml:space="preserve"> · </w:t>
      </w:r>
      <w:hyperlink r:id="rId37">
        <w:r>
          <w:rPr>
            <w:color w:val="17627C"/>
            <w:u w:val="single"/>
          </w:rPr>
          <w:t>[R078]</w:t>
        </w:r>
      </w:hyperlink>
    </w:p>
    <w:p>
      <w:r>
        <w:t>Aristoteles Latinus Database сохранена как институциональный машиночитаемый вариант. Она не приравнена ко всем печатным томам вместе с предисловиями и аппаратом. Точные ранние I–III Meteorologica Герарда и приложение De mineralibus остаются G002: найденная поздняя компиляция не заменяет проверку их версионной идентичности.</w:t>
      </w:r>
      <w:r>
        <w:t xml:space="preserve"> </w:t>
      </w:r>
      <w:hyperlink r:id="rId45">
        <w:r>
          <w:rPr>
            <w:color w:val="17627C"/>
            <w:u w:val="single"/>
          </w:rPr>
          <w:t>[R055]</w:t>
        </w:r>
      </w:hyperlink>
    </w:p>
    <w:p>
      <w:r>
        <w:t>De animalibus Михаила Скота расширяет корпус в пределах прямой переводческой программы. Предметная издательская карточка даёт критический том XI–XIV — Parts of Animals. Покрытие ограничено четырьмя книгами, не всем девятнадцатикнижным комплексом. Остальные разделы и их издания внесены в G013.</w:t>
      </w:r>
      <w:r>
        <w:t xml:space="preserve"> </w:t>
      </w:r>
      <w:hyperlink r:id="rId25">
        <w:r>
          <w:rPr>
            <w:color w:val="17627C"/>
            <w:u w:val="single"/>
          </w:rPr>
          <w:t>[R077]</w:t>
        </w:r>
      </w:hyperlink>
    </w:p>
    <w:p>
      <w:pPr>
        <w:pStyle w:val="Heading2"/>
      </w:pPr>
      <w:r>
        <w:t>3.8. Платон и сицилийская греко-латинская линия</w:t>
      </w:r>
    </w:p>
    <w:p>
      <w:r>
        <w:t>Для Meno и Phaedo Аристиппа лучший установленный научный вход — Plato Latinus, три тома в одном репринте Kraus 1973 в Wellcome. Карточка подтверждает редакторов и экземпляр на открытой полке. Это возможность библиотечного ознакомления по месту хранения, но не подтверждённая дистанционная выдача и не полный бесплатный PDF. Третий том сохраняет Parmenides и комментарий Прокла.</w:t>
      </w:r>
      <w:r>
        <w:t xml:space="preserve"> </w:t>
      </w:r>
      <w:hyperlink r:id="rId17">
        <w:r>
          <w:rPr>
            <w:color w:val="17627C"/>
            <w:u w:val="single"/>
          </w:rPr>
          <w:t>[R075]</w:t>
        </w:r>
      </w:hyperlink>
    </w:p>
    <w:p>
      <w:r>
        <w:t>Для немедленного чтения содержания диалогов есть Meno и Phaedo в английском переводе Benjamin Jowett на Project Gutenberg. Это лучший найденный старый публичнодоменный перевод этих двух текстов — с оговоркой о юрисдикции США. Он не является переводом с латинского Аристиппа и не заменяет исследование средневековой версии. Свободный греческий цифровой оригинал с проверенным идентификатором в этом запуске отдельно не закреплён.</w:t>
      </w:r>
      <w:r>
        <w:t xml:space="preserve"> </w:t>
      </w:r>
      <w:hyperlink r:id="rId71">
        <w:r>
          <w:rPr>
            <w:color w:val="17627C"/>
            <w:u w:val="single"/>
          </w:rPr>
          <w:t>[R060]</w:t>
        </w:r>
      </w:hyperlink>
      <w:r>
        <w:t xml:space="preserve"> · </w:t>
      </w:r>
      <w:hyperlink r:id="rId72">
        <w:r>
          <w:rPr>
            <w:color w:val="17627C"/>
            <w:u w:val="single"/>
          </w:rPr>
          <w:t>[R061]</w:t>
        </w:r>
      </w:hyperlink>
    </w:p>
    <w:p>
      <w:pPr>
        <w:pStyle w:val="Heading2"/>
      </w:pPr>
      <w:r>
        <w:t>3.9. Liber de causis, Прокл и Фома</w:t>
      </w:r>
    </w:p>
    <w:p>
      <w:r>
        <w:t>Лучшее бесплатное латинское чтение — Bibliotheca Augustana. Там же имеется старый немецкий перевод Bardenhewer с арабского; для испанского найден университетский репозиторный вход Fidora / Pardo Pastor. У каждого сохранён отдельный язык и правовой статус. Текущая латинская электронная редакция связана с современной научной подготовкой и не объявлена общественным достоянием.</w:t>
      </w:r>
      <w:r>
        <w:t xml:space="preserve"> </w:t>
      </w:r>
      <w:hyperlink r:id="rId15">
        <w:r>
          <w:rPr>
            <w:color w:val="17627C"/>
            <w:u w:val="single"/>
          </w:rPr>
          <w:t>[R056]</w:t>
        </w:r>
      </w:hyperlink>
      <w:r>
        <w:t xml:space="preserve"> · </w:t>
      </w:r>
      <w:hyperlink r:id="rId73">
        <w:r>
          <w:rPr>
            <w:color w:val="17627C"/>
            <w:u w:val="single"/>
          </w:rPr>
          <w:t>[R057]</w:t>
        </w:r>
      </w:hyperlink>
      <w:r>
        <w:t xml:space="preserve"> · </w:t>
      </w:r>
      <w:hyperlink r:id="rId74">
        <w:r>
          <w:rPr>
            <w:color w:val="17627C"/>
            <w:u w:val="single"/>
          </w:rPr>
          <w:t>[R058]</w:t>
        </w:r>
      </w:hyperlink>
    </w:p>
    <w:p>
      <w:r>
        <w:t>Русский перевод М. Ю. Скворцова со сверкой И. Купреевой найден у «Историко-философского ежегодника». Официальная страница предлагает PDF и сообщает о CC BY-NC 4.0 для материалов, но сам архивный файл не открылся. В реестре сохранены обе полезные возможности — русский доступ и потенциальная некоммерческая лицензия — без преждевременного разрешения зеркалировать PDF.</w:t>
      </w:r>
      <w:r>
        <w:t xml:space="preserve"> </w:t>
      </w:r>
      <w:hyperlink r:id="rId75">
        <w:r>
          <w:rPr>
            <w:color w:val="17627C"/>
            <w:u w:val="single"/>
          </w:rPr>
          <w:t>[R085]</w:t>
        </w:r>
      </w:hyperlink>
    </w:p>
    <w:p>
      <w:r>
        <w:t>Комментарий Фомы открыт в Corpus Thomisticum: основной текст и пролог учтены одной записью. Он даёт непосредственную рецепцию Liber de causis и сопоставление с Проклом. Греческий текст и английский перевод «Начал теологии» Dodds доступны через OUP как современный защищённый научный вариант. Собственный перевод ToS всего Liber de causis пока не опирается здесь на доказанную чистую исходноязычную цифровую основу.</w:t>
      </w:r>
      <w:r>
        <w:t xml:space="preserve"> </w:t>
      </w:r>
      <w:hyperlink r:id="rId32">
        <w:r>
          <w:rPr>
            <w:color w:val="17627C"/>
            <w:u w:val="single"/>
          </w:rPr>
          <w:t>[R059]</w:t>
        </w:r>
      </w:hyperlink>
      <w:r>
        <w:t xml:space="preserve"> · </w:t>
      </w:r>
      <w:hyperlink r:id="rId35">
        <w:r>
          <w:rPr>
            <w:color w:val="17627C"/>
            <w:u w:val="single"/>
          </w:rPr>
          <w:t>[R070]</w:t>
        </w:r>
      </w:hyperlink>
    </w:p>
    <w:p>
      <w:pPr>
        <w:pStyle w:val="Heading2"/>
      </w:pPr>
      <w:r>
        <w:t>3.10. Оптика, классификация наук и свидетельства переводчиков</w:t>
      </w:r>
    </w:p>
    <w:p>
      <w:r>
        <w:t>Для Ptolemy Optics разделены научное латинско-французское издание Lejeune в Wellcome и английский перевод A. Mark Smith у официального издателя. Именно они относятся к версии Евгения Сицилийского. Opticae thesaurus Risner 1572 с Alhazen, Witelo и De crepusculis — иной, напрямую связанный оптический комплекс: e-rara предлагает факсимиле, PDF и машинные производные с PDM. Не следует называть его бесплатным файлом «Оптики Птолемея».</w:t>
      </w:r>
      <w:r>
        <w:t xml:space="preserve"> </w:t>
      </w:r>
      <w:hyperlink r:id="rId12">
        <w:r>
          <w:rPr>
            <w:color w:val="17627C"/>
            <w:u w:val="single"/>
          </w:rPr>
          <w:t>[R010]</w:t>
        </w:r>
      </w:hyperlink>
      <w:r>
        <w:t xml:space="preserve"> · </w:t>
      </w:r>
      <w:hyperlink r:id="rId41">
        <w:r>
          <w:rPr>
            <w:color w:val="17627C"/>
            <w:u w:val="single"/>
          </w:rPr>
          <w:t>[R065]</w:t>
        </w:r>
      </w:hyperlink>
      <w:r>
        <w:t xml:space="preserve"> · </w:t>
      </w:r>
      <w:hyperlink r:id="rId76">
        <w:r>
          <w:rPr>
            <w:color w:val="17627C"/>
            <w:u w:val="single"/>
          </w:rPr>
          <w:t>[R076]</w:t>
        </w:r>
      </w:hyperlink>
    </w:p>
    <w:p>
      <w:r>
        <w:t>Для De scientiis аль-Фараби найдено латинско-немецкое издание Schupp с preview, институциональным доступом и покупкой. De divisione philosophiae Гундисалина подтверждено библиотечно-репозиторной карточкой Baur 1903, но динамическая страница файла не раскрылась. Содержание математической рукописи BnF latin 9335 дополняет этот поиск реальными листами переводного De scientiis.</w:t>
      </w:r>
      <w:r>
        <w:t xml:space="preserve"> </w:t>
      </w:r>
      <w:hyperlink r:id="rId77">
        <w:r>
          <w:rPr>
            <w:color w:val="17627C"/>
            <w:u w:val="single"/>
          </w:rPr>
          <w:t>[R062]</w:t>
        </w:r>
      </w:hyperlink>
      <w:r>
        <w:t xml:space="preserve"> · </w:t>
      </w:r>
      <w:hyperlink r:id="rId78">
        <w:r>
          <w:rPr>
            <w:color w:val="17627C"/>
            <w:u w:val="single"/>
          </w:rPr>
          <w:t>[R063]</w:t>
        </w:r>
      </w:hyperlink>
      <w:r>
        <w:t xml:space="preserve"> · </w:t>
      </w:r>
      <w:hyperlink r:id="rId27">
        <w:r>
          <w:rPr>
            <w:color w:val="17627C"/>
            <w:u w:val="single"/>
          </w:rPr>
          <w:t>[R084]</w:t>
        </w:r>
      </w:hyperlink>
    </w:p>
    <w:p>
      <w:r>
        <w:t>Vita, Commemoratio librorum и Eulogium Герарда сохранены как критическое переиздание в статье Charles Burnett. Оно необходимо именно как первичный средневековый каталог программы, а не просто вторичная история Толедо. Бесплатно проверен abstract; полный критический комплект — по институциональной лицензии. Бесплатная авторизованная копия полного приложения не найдена.</w:t>
      </w:r>
      <w:r>
        <w:t xml:space="preserve"> </w:t>
      </w:r>
      <w:hyperlink r:id="rId79">
        <w:r>
          <w:rPr>
            <w:color w:val="17627C"/>
            <w:u w:val="single"/>
          </w:rPr>
          <w:t>[R064]</w:t>
        </w:r>
      </w:hyperlink>
    </w:p>
    <w:p>
      <w:r>
        <w:br w:type="page"/>
      </w:r>
    </w:p>
    <w:p>
      <w:pPr>
        <w:pStyle w:val="Heading1"/>
      </w:pPr>
      <w:r>
        <w:t>4. Карта прав и практического использования</w:t>
      </w:r>
    </w:p>
    <w:p>
      <w:r>
        <w:t>Ниже речь о конкретных компонентах найденных объектов. Правовой статус не переносится между изданием, фотографией, транскрипцией и каталогом. Теги XLSX предназначены для предварительного отбора; публичное развёртывание должно учитывать также юрисдикцию ToS и точный способ использования.</w:t>
      </w:r>
    </w:p>
    <w:tbl>
      <w:tblPr>
        <w:tblW w:type="auto" w:w="0"/>
        <w:jc w:val="center"/>
        <w:tblLayout w:type="fixed"/>
        <w:tblLook w:firstColumn="1" w:firstRow="1" w:lastColumn="0" w:lastRow="0" w:noHBand="0" w:noVBand="1" w:val="04A0"/>
      </w:tblPr>
      <w:tblGrid>
        <w:gridCol w:w="2324"/>
        <w:gridCol w:w="3742"/>
        <w:gridCol w:w="3572"/>
      </w:tblGrid>
      <w:tr>
        <w:trPr>
          <w:tblHeader/>
          <w:cantSplit/>
        </w:trPr>
        <w:tc>
          <w:tcPr>
            <w:tcW w:type="dxa" w:w="2324"/>
            <w:vAlign w:val="top"/>
            <w:shd w:fill="18354A"/>
            <w:tcMar>
              <w:top w:w="90" w:type="dxa"/>
              <w:left w:w="90" w:type="dxa"/>
              <w:bottom w:w="90" w:type="dxa"/>
              <w:right w:w="90" w:type="dxa"/>
            </w:tcMar>
          </w:tcPr>
          <w:p>
            <w:pPr>
              <w:spacing w:after="60" w:line="247" w:lineRule="auto"/>
            </w:pPr>
            <w:r>
              <w:rPr>
                <w:b/>
                <w:color w:val="FFFFFF"/>
                <w:sz w:val="19"/>
              </w:rPr>
              <w:t>Группа</w:t>
            </w:r>
          </w:p>
        </w:tc>
        <w:tc>
          <w:tcPr>
            <w:tcW w:type="dxa" w:w="3742"/>
            <w:vAlign w:val="top"/>
            <w:shd w:fill="18354A"/>
            <w:tcMar>
              <w:top w:w="90" w:type="dxa"/>
              <w:left w:w="90" w:type="dxa"/>
              <w:bottom w:w="90" w:type="dxa"/>
              <w:right w:w="90" w:type="dxa"/>
            </w:tcMar>
          </w:tcPr>
          <w:p>
            <w:pPr>
              <w:spacing w:after="60" w:line="247" w:lineRule="auto"/>
            </w:pPr>
            <w:r>
              <w:rPr>
                <w:b/>
                <w:color w:val="FFFFFF"/>
                <w:sz w:val="19"/>
              </w:rPr>
              <w:t>Что можно планировать</w:t>
            </w:r>
          </w:p>
        </w:tc>
        <w:tc>
          <w:tcPr>
            <w:tcW w:type="dxa" w:w="3572"/>
            <w:vAlign w:val="top"/>
            <w:shd w:fill="18354A"/>
            <w:tcMar>
              <w:top w:w="90" w:type="dxa"/>
              <w:left w:w="90" w:type="dxa"/>
              <w:bottom w:w="90" w:type="dxa"/>
              <w:right w:w="90" w:type="dxa"/>
            </w:tcMar>
          </w:tcPr>
          <w:p>
            <w:pPr>
              <w:spacing w:after="60" w:line="247" w:lineRule="auto"/>
            </w:pPr>
            <w:r>
              <w:rPr>
                <w:b/>
                <w:color w:val="FFFFFF"/>
                <w:sz w:val="19"/>
              </w:rPr>
              <w:t>Ограничение</w:t>
            </w:r>
          </w:p>
        </w:tc>
      </w:tr>
      <w:tr>
        <w:trPr>
          <w:cantSplit/>
        </w:trPr>
        <w:tc>
          <w:tcPr>
            <w:tcW w:type="dxa" w:w="2324"/>
            <w:vAlign w:val="top"/>
            <w:shd w:fill="EDF3F6"/>
            <w:tcMar>
              <w:top w:w="90" w:type="dxa"/>
              <w:left w:w="90" w:type="dxa"/>
              <w:bottom w:w="90" w:type="dxa"/>
              <w:right w:w="90" w:type="dxa"/>
            </w:tcMar>
          </w:tcPr>
          <w:p>
            <w:pPr>
              <w:spacing w:after="60" w:line="247" w:lineRule="auto"/>
            </w:pPr>
            <w:r>
              <w:rPr>
                <w:sz w:val="19"/>
              </w:rPr>
              <w:t>PAL: CC BY 4.0 — тексты</w:t>
            </w:r>
          </w:p>
        </w:tc>
        <w:tc>
          <w:tcPr>
            <w:tcW w:type="dxa" w:w="3742"/>
            <w:vAlign w:val="top"/>
            <w:shd w:fill="EDF3F6"/>
            <w:tcMar>
              <w:top w:w="90" w:type="dxa"/>
              <w:left w:w="90" w:type="dxa"/>
              <w:bottom w:w="90" w:type="dxa"/>
              <w:right w:w="90" w:type="dxa"/>
            </w:tcMar>
          </w:tcPr>
          <w:p>
            <w:pPr>
              <w:spacing w:after="60" w:line="247" w:lineRule="auto"/>
            </w:pPr>
            <w:r>
              <w:rPr>
                <w:sz w:val="19"/>
              </w:rPr>
              <w:t>Зеркало транскрипции с атрибуцией; полнотекстовый индекс; embeddings; собственный перевод указанного текста.</w:t>
            </w:r>
          </w:p>
        </w:tc>
        <w:tc>
          <w:tcPr>
            <w:tcW w:type="dxa" w:w="3572"/>
            <w:vAlign w:val="top"/>
            <w:shd w:fill="EDF3F6"/>
            <w:tcMar>
              <w:top w:w="90" w:type="dxa"/>
              <w:left w:w="90" w:type="dxa"/>
              <w:bottom w:w="90" w:type="dxa"/>
              <w:right w:w="90" w:type="dxa"/>
            </w:tcMar>
          </w:tcPr>
          <w:p>
            <w:pPr>
              <w:spacing w:after="60" w:line="247" w:lineRule="auto"/>
            </w:pPr>
            <w:r>
              <w:rPr>
                <w:sz w:val="19"/>
              </w:rPr>
              <w:t>R003–R005, R008, R083, R086. Не чужие изображения; R086 без таблиц. Для пакета — только фактически входящие тексты.</w:t>
            </w:r>
          </w:p>
        </w:tc>
      </w:tr>
      <w:tr>
        <w:trPr>
          <w:cantSplit/>
        </w:trPr>
        <w:tc>
          <w:tcPr>
            <w:tcW w:type="dxa" w:w="2324"/>
            <w:vAlign w:val="top"/>
            <w:shd w:fill="FFFFFF"/>
            <w:tcMar>
              <w:top w:w="90" w:type="dxa"/>
              <w:left w:w="90" w:type="dxa"/>
              <w:bottom w:w="90" w:type="dxa"/>
              <w:right w:w="90" w:type="dxa"/>
            </w:tcMar>
          </w:tcPr>
          <w:p>
            <w:pPr>
              <w:spacing w:after="60" w:line="247" w:lineRule="auto"/>
            </w:pPr>
            <w:r>
              <w:rPr>
                <w:sz w:val="19"/>
              </w:rPr>
              <w:t>PAL: CC BY 4.0 — каталог</w:t>
            </w:r>
          </w:p>
        </w:tc>
        <w:tc>
          <w:tcPr>
            <w:tcW w:type="dxa" w:w="3742"/>
            <w:vAlign w:val="top"/>
            <w:shd w:fill="FFFFFF"/>
            <w:tcMar>
              <w:top w:w="90" w:type="dxa"/>
              <w:left w:w="90" w:type="dxa"/>
              <w:bottom w:w="90" w:type="dxa"/>
              <w:right w:w="90" w:type="dxa"/>
            </w:tcMar>
          </w:tcPr>
          <w:p>
            <w:pPr>
              <w:spacing w:after="60" w:line="247" w:lineRule="auto"/>
            </w:pPr>
            <w:r>
              <w:rPr>
                <w:sz w:val="19"/>
              </w:rPr>
              <w:t>Зеркалирование и индексирование метаданных, в том числе официальной выгрузки.</w:t>
            </w:r>
          </w:p>
        </w:tc>
        <w:tc>
          <w:tcPr>
            <w:tcW w:type="dxa" w:w="3572"/>
            <w:vAlign w:val="top"/>
            <w:shd w:fill="FFFFFF"/>
            <w:tcMar>
              <w:top w:w="90" w:type="dxa"/>
              <w:left w:w="90" w:type="dxa"/>
              <w:bottom w:w="90" w:type="dxa"/>
              <w:right w:w="90" w:type="dxa"/>
            </w:tcMar>
          </w:tcPr>
          <w:p>
            <w:pPr>
              <w:spacing w:after="60" w:line="247" w:lineRule="auto"/>
            </w:pPr>
            <w:r>
              <w:rPr>
                <w:sz w:val="19"/>
              </w:rPr>
              <w:t>R001–R002, R079–R082, R084. Это не разрешение на полные тексты или все фото описанных рукописей.</w:t>
            </w:r>
          </w:p>
        </w:tc>
      </w:tr>
      <w:tr>
        <w:trPr>
          <w:cantSplit/>
        </w:trPr>
        <w:tc>
          <w:tcPr>
            <w:tcW w:type="dxa" w:w="2324"/>
            <w:vAlign w:val="top"/>
            <w:shd w:fill="EDF3F6"/>
            <w:tcMar>
              <w:top w:w="90" w:type="dxa"/>
              <w:left w:w="90" w:type="dxa"/>
              <w:bottom w:w="90" w:type="dxa"/>
              <w:right w:w="90" w:type="dxa"/>
            </w:tcMar>
          </w:tcPr>
          <w:p>
            <w:pPr>
              <w:spacing w:after="60" w:line="247" w:lineRule="auto"/>
            </w:pPr>
            <w:r>
              <w:rPr>
                <w:sz w:val="19"/>
              </w:rPr>
              <w:t>PDM конкретных объектов</w:t>
            </w:r>
          </w:p>
        </w:tc>
        <w:tc>
          <w:tcPr>
            <w:tcW w:type="dxa" w:w="3742"/>
            <w:vAlign w:val="top"/>
            <w:shd w:fill="EDF3F6"/>
            <w:tcMar>
              <w:top w:w="90" w:type="dxa"/>
              <w:left w:w="90" w:type="dxa"/>
              <w:bottom w:w="90" w:type="dxa"/>
              <w:right w:w="90" w:type="dxa"/>
            </w:tcMar>
          </w:tcPr>
          <w:p>
            <w:pPr>
              <w:spacing w:after="60" w:line="247" w:lineRule="auto"/>
            </w:pPr>
            <w:r>
              <w:rPr>
                <w:sz w:val="19"/>
              </w:rPr>
              <w:t>Факсимиле, OCR и текстовые производные в пределах отмеченного объекта.</w:t>
            </w:r>
          </w:p>
        </w:tc>
        <w:tc>
          <w:tcPr>
            <w:tcW w:type="dxa" w:w="3572"/>
            <w:vAlign w:val="top"/>
            <w:shd w:fill="EDF3F6"/>
            <w:tcMar>
              <w:top w:w="90" w:type="dxa"/>
              <w:left w:w="90" w:type="dxa"/>
              <w:bottom w:w="90" w:type="dxa"/>
              <w:right w:w="90" w:type="dxa"/>
            </w:tcMar>
          </w:tcPr>
          <w:p>
            <w:pPr>
              <w:spacing w:after="60" w:line="247" w:lineRule="auto"/>
            </w:pPr>
            <w:r>
              <w:rPr>
                <w:sz w:val="19"/>
              </w:rPr>
              <w:t>e-rara R011/R065; Finna R067; Wellcome R074. PDM — маркировка отсутствия известных авторских ограничений, не лицензия и не оценка всех внешних материалов.</w:t>
            </w:r>
          </w:p>
        </w:tc>
      </w:tr>
      <w:tr>
        <w:trPr>
          <w:cantSplit/>
        </w:trPr>
        <w:tc>
          <w:tcPr>
            <w:tcW w:type="dxa" w:w="2324"/>
            <w:vAlign w:val="top"/>
            <w:shd w:fill="FFFFFF"/>
            <w:tcMar>
              <w:top w:w="90" w:type="dxa"/>
              <w:left w:w="90" w:type="dxa"/>
              <w:bottom w:w="90" w:type="dxa"/>
              <w:right w:w="90" w:type="dxa"/>
            </w:tcMar>
          </w:tcPr>
          <w:p>
            <w:pPr>
              <w:spacing w:after="60" w:line="247" w:lineRule="auto"/>
            </w:pPr>
            <w:r>
              <w:rPr>
                <w:sz w:val="19"/>
              </w:rPr>
              <w:t>CC BY-NC-ND 4.0</w:t>
            </w:r>
          </w:p>
        </w:tc>
        <w:tc>
          <w:tcPr>
            <w:tcW w:type="dxa" w:w="3742"/>
            <w:vAlign w:val="top"/>
            <w:shd w:fill="FFFFFF"/>
            <w:tcMar>
              <w:top w:w="90" w:type="dxa"/>
              <w:left w:w="90" w:type="dxa"/>
              <w:bottom w:w="90" w:type="dxa"/>
              <w:right w:w="90" w:type="dxa"/>
            </w:tcMar>
          </w:tcPr>
          <w:p>
            <w:pPr>
              <w:spacing w:after="60" w:line="247" w:lineRule="auto"/>
            </w:pPr>
            <w:r>
              <w:rPr>
                <w:sz w:val="19"/>
              </w:rPr>
              <w:t>Некомерческое размещение неизменных официальных PDF с атрибуцией и уведомлениями.</w:t>
            </w:r>
          </w:p>
        </w:tc>
        <w:tc>
          <w:tcPr>
            <w:tcW w:type="dxa" w:w="3572"/>
            <w:vAlign w:val="top"/>
            <w:shd w:fill="FFFFFF"/>
            <w:tcMar>
              <w:top w:w="90" w:type="dxa"/>
              <w:left w:w="90" w:type="dxa"/>
              <w:bottom w:w="90" w:type="dxa"/>
              <w:right w:w="90" w:type="dxa"/>
            </w:tcMar>
          </w:tcPr>
          <w:p>
            <w:pPr>
              <w:spacing w:after="60" w:line="247" w:lineRule="auto"/>
            </w:pPr>
            <w:r>
              <w:rPr>
                <w:sz w:val="19"/>
              </w:rPr>
              <w:t>R072–R073. Публичные переработанные OCR/переводы и машинные производные автоматически не разрешены этими тегами.</w:t>
            </w:r>
          </w:p>
        </w:tc>
      </w:tr>
      <w:tr>
        <w:trPr>
          <w:cantSplit/>
        </w:trPr>
        <w:tc>
          <w:tcPr>
            <w:tcW w:type="dxa" w:w="2324"/>
            <w:vAlign w:val="top"/>
            <w:shd w:fill="EDF3F6"/>
            <w:tcMar>
              <w:top w:w="90" w:type="dxa"/>
              <w:left w:w="90" w:type="dxa"/>
              <w:bottom w:w="90" w:type="dxa"/>
              <w:right w:w="90" w:type="dxa"/>
            </w:tcMar>
          </w:tcPr>
          <w:p>
            <w:pPr>
              <w:spacing w:after="60" w:line="247" w:lineRule="auto"/>
            </w:pPr>
            <w:r>
              <w:rPr>
                <w:sz w:val="19"/>
              </w:rPr>
              <w:t>SIEPM, DARE, RRP, Augustana</w:t>
            </w:r>
          </w:p>
        </w:tc>
        <w:tc>
          <w:tcPr>
            <w:tcW w:type="dxa" w:w="3742"/>
            <w:vAlign w:val="top"/>
            <w:shd w:fill="EDF3F6"/>
            <w:tcMar>
              <w:top w:w="90" w:type="dxa"/>
              <w:left w:w="90" w:type="dxa"/>
              <w:bottom w:w="90" w:type="dxa"/>
              <w:right w:w="90" w:type="dxa"/>
            </w:tcMar>
          </w:tcPr>
          <w:p>
            <w:pPr>
              <w:spacing w:after="60" w:line="247" w:lineRule="auto"/>
            </w:pPr>
            <w:r>
              <w:rPr>
                <w:sz w:val="19"/>
              </w:rPr>
              <w:t>Внешние ссылки; подтверждённое чтение/скачивание; исследовательские копии там, где это покрывают условия.</w:t>
            </w:r>
          </w:p>
        </w:tc>
        <w:tc>
          <w:tcPr>
            <w:tcW w:type="dxa" w:w="3572"/>
            <w:vAlign w:val="top"/>
            <w:shd w:fill="EDF3F6"/>
            <w:tcMar>
              <w:top w:w="90" w:type="dxa"/>
              <w:left w:w="90" w:type="dxa"/>
              <w:bottom w:w="90" w:type="dxa"/>
              <w:right w:w="90" w:type="dxa"/>
            </w:tcMar>
          </w:tcPr>
          <w:p>
            <w:pPr>
              <w:spacing w:after="60" w:line="247" w:lineRule="auto"/>
            </w:pPr>
            <w:r>
              <w:rPr>
                <w:sz w:val="19"/>
              </w:rPr>
              <w:t>Наличие файла не равно открытой лицензии. Для зеркала, публичного индекса и embeddings требуются отдельные основания.</w:t>
            </w:r>
          </w:p>
        </w:tc>
      </w:tr>
      <w:tr>
        <w:trPr>
          <w:cantSplit/>
        </w:trPr>
        <w:tc>
          <w:tcPr>
            <w:tcW w:type="dxa" w:w="2324"/>
            <w:vAlign w:val="top"/>
            <w:shd w:fill="FFFFFF"/>
            <w:tcMar>
              <w:top w:w="90" w:type="dxa"/>
              <w:left w:w="90" w:type="dxa"/>
              <w:bottom w:w="90" w:type="dxa"/>
              <w:right w:w="90" w:type="dxa"/>
            </w:tcMar>
          </w:tcPr>
          <w:p>
            <w:pPr>
              <w:spacing w:after="60" w:line="247" w:lineRule="auto"/>
            </w:pPr>
            <w:r>
              <w:rPr>
                <w:sz w:val="19"/>
              </w:rPr>
              <w:t>Защищённые издания и базы</w:t>
            </w:r>
          </w:p>
        </w:tc>
        <w:tc>
          <w:tcPr>
            <w:tcW w:type="dxa" w:w="3742"/>
            <w:vAlign w:val="top"/>
            <w:shd w:fill="FFFFFF"/>
            <w:tcMar>
              <w:top w:w="90" w:type="dxa"/>
              <w:left w:w="90" w:type="dxa"/>
              <w:bottom w:w="90" w:type="dxa"/>
              <w:right w:w="90" w:type="dxa"/>
            </w:tcMar>
          </w:tcPr>
          <w:p>
            <w:pPr>
              <w:spacing w:after="60" w:line="247" w:lineRule="auto"/>
            </w:pPr>
            <w:r>
              <w:rPr>
                <w:sz w:val="19"/>
              </w:rPr>
              <w:t>Покупка, preview, библиотечный или институциональный путь, библиографическая карточка.</w:t>
            </w:r>
          </w:p>
        </w:tc>
        <w:tc>
          <w:tcPr>
            <w:tcW w:type="dxa" w:w="3572"/>
            <w:vAlign w:val="top"/>
            <w:shd w:fill="FFFFFF"/>
            <w:tcMar>
              <w:top w:w="90" w:type="dxa"/>
              <w:left w:w="90" w:type="dxa"/>
              <w:bottom w:w="90" w:type="dxa"/>
              <w:right w:w="90" w:type="dxa"/>
            </w:tcMar>
          </w:tcPr>
          <w:p>
            <w:pPr>
              <w:spacing w:after="60" w:line="247" w:lineRule="auto"/>
            </w:pPr>
            <w:r>
              <w:rPr>
                <w:sz w:val="19"/>
              </w:rPr>
              <w:t>Avicenna/Aristoteles Latinus, Lejeune, Smith, Taylor, Toomer, Dodds, Plato Latinus. Доступ пользователя не даёт ToS права распространять книгу.</w:t>
            </w:r>
          </w:p>
        </w:tc>
      </w:tr>
      <w:tr>
        <w:trPr>
          <w:cantSplit/>
        </w:trPr>
        <w:tc>
          <w:tcPr>
            <w:tcW w:type="dxa" w:w="2324"/>
            <w:vAlign w:val="top"/>
            <w:shd w:fill="EDF3F6"/>
            <w:tcMar>
              <w:top w:w="90" w:type="dxa"/>
              <w:left w:w="90" w:type="dxa"/>
              <w:bottom w:w="90" w:type="dxa"/>
              <w:right w:w="90" w:type="dxa"/>
            </w:tcMar>
          </w:tcPr>
          <w:p>
            <w:pPr>
              <w:spacing w:after="60" w:line="247" w:lineRule="auto"/>
            </w:pPr>
            <w:r>
              <w:rPr>
                <w:sz w:val="19"/>
              </w:rPr>
              <w:t>Русский Liber de causis</w:t>
            </w:r>
          </w:p>
        </w:tc>
        <w:tc>
          <w:tcPr>
            <w:tcW w:type="dxa" w:w="3742"/>
            <w:vAlign w:val="top"/>
            <w:shd w:fill="EDF3F6"/>
            <w:tcMar>
              <w:top w:w="90" w:type="dxa"/>
              <w:left w:w="90" w:type="dxa"/>
              <w:bottom w:w="90" w:type="dxa"/>
              <w:right w:w="90" w:type="dxa"/>
            </w:tcMar>
          </w:tcPr>
          <w:p>
            <w:pPr>
              <w:spacing w:after="60" w:line="247" w:lineRule="auto"/>
            </w:pPr>
            <w:r>
              <w:rPr>
                <w:sz w:val="19"/>
              </w:rPr>
              <w:t>Ссылка на официальный PDF; проверка некоммерческого использования как приоритет.</w:t>
            </w:r>
          </w:p>
        </w:tc>
        <w:tc>
          <w:tcPr>
            <w:tcW w:type="dxa" w:w="3572"/>
            <w:vAlign w:val="top"/>
            <w:shd w:fill="EDF3F6"/>
            <w:tcMar>
              <w:top w:w="90" w:type="dxa"/>
              <w:left w:w="90" w:type="dxa"/>
              <w:bottom w:w="90" w:type="dxa"/>
              <w:right w:w="90" w:type="dxa"/>
            </w:tcMar>
          </w:tcPr>
          <w:p>
            <w:pPr>
              <w:spacing w:after="60" w:line="247" w:lineRule="auto"/>
            </w:pPr>
            <w:r>
              <w:rPr>
                <w:sz w:val="19"/>
              </w:rPr>
              <w:t>R085: заявлена CC BY-NC 4.0, но архивный PDF и применимость уведомления ещё не проверены.</w:t>
            </w:r>
          </w:p>
        </w:tc>
      </w:tr>
    </w:tbl>
    <w:p>
      <w:pPr>
        <w:spacing w:after="0"/>
      </w:pPr>
    </w:p>
    <w:p>
      <w:pPr>
        <w:pStyle w:val="Caption"/>
      </w:pPr>
      <w:r>
        <w:t xml:space="preserve">Официальные основания: </w:t>
      </w:r>
      <w:hyperlink r:id="rId51">
        <w:r>
          <w:rPr>
            <w:color w:val="17627C"/>
            <w:u w:val="single"/>
          </w:rPr>
          <w:t>PAL: разделение лицензий</w:t>
        </w:r>
      </w:hyperlink>
      <w:r>
        <w:t xml:space="preserve"> · </w:t>
      </w:r>
      <w:hyperlink r:id="rId80">
        <w:r>
          <w:rPr>
            <w:color w:val="17627C"/>
            <w:u w:val="single"/>
          </w:rPr>
          <w:t>PAL texts: LICENSE</w:t>
        </w:r>
      </w:hyperlink>
      <w:r>
        <w:t xml:space="preserve"> · </w:t>
      </w:r>
      <w:hyperlink r:id="rId43">
        <w:r>
          <w:rPr>
            <w:color w:val="17627C"/>
            <w:u w:val="single"/>
          </w:rPr>
          <w:t>Wellcome MS Arabic155</w:t>
        </w:r>
      </w:hyperlink>
      <w:r>
        <w:t xml:space="preserve"> · </w:t>
      </w:r>
      <w:hyperlink r:id="rId33">
        <w:r>
          <w:rPr>
            <w:color w:val="17627C"/>
            <w:u w:val="single"/>
          </w:rPr>
          <w:t>Finna: Theorica</w:t>
        </w:r>
      </w:hyperlink>
    </w:p>
    <w:p>
      <w:r>
        <w:t>Для Jowett на Project Gutenberg положительные теги зеркала, индекса и embeddings ограничены свободным текстом в США. RIGHTS_REVIEW_REQUIRED относится к использованию вне США и к компонентам сверх этого текста. Это не противоречие двух тегов: у них разные области действия. В автоматической обработке оговорка должна останавливать расширение разрешения на иные юрисдикции.</w:t>
      </w:r>
      <w:r>
        <w:t xml:space="preserve"> </w:t>
      </w:r>
      <w:hyperlink r:id="rId71">
        <w:r>
          <w:rPr>
            <w:color w:val="17627C"/>
            <w:u w:val="single"/>
          </w:rPr>
          <w:t>[R060]</w:t>
        </w:r>
      </w:hyperlink>
      <w:r>
        <w:t xml:space="preserve"> · </w:t>
      </w:r>
      <w:hyperlink r:id="rId72">
        <w:r>
          <w:rPr>
            <w:color w:val="17627C"/>
            <w:u w:val="single"/>
          </w:rPr>
          <w:t>[R061]</w:t>
        </w:r>
      </w:hyperlink>
    </w:p>
    <w:p>
      <w:r>
        <w:t>Для собственного перевода ToS наиболее ясная исходная база находится в транскрипциях PAL, а также в конкретных PDM-факсимиле. В арабском Almagest можно переводить только транскрибированную прозу; в Theorica Pantegni — соответствующую часть одного свидетеля; в MS Arabic155 — арабский текст именно этого позднего списка. Новые критические реконструкции, тексты переводчиков-посредников и защищённые аппараты не очищаются возрастом автора.</w:t>
      </w:r>
    </w:p>
    <w:p>
      <w:r>
        <w:t>OCR, публичный полнотекстовый индекс и embeddings оценивались раздельно. Для уже открытой электронной транскрипции OCR обычно не требуется. Отсутствие тега не обязательно означает запрет: иногда отсутствует достаточная доказательная база. Напротив, FREE_DOWNLOAD описывает доступ, а не разрешение на распространение или машинную обработку.</w:t>
      </w:r>
    </w:p>
    <w:p>
      <w:pPr>
        <w:pStyle w:val="Heading1"/>
      </w:pPr>
      <w:r>
        <w:t>5. Характерные правовые и библиографические тонкости</w:t>
      </w:r>
    </w:p>
    <w:p>
      <w:pPr>
        <w:pStyle w:val="Heading2"/>
      </w:pPr>
      <w:r>
        <w:t>Старый титул, новый цифровой объект</w:t>
      </w:r>
    </w:p>
    <w:p>
      <w:r>
        <w:t>Проверенный Avicenna Opera показывает практическую ловушку: титул 1508 г. сосуществует в файле с уведомлением о репринте 1961. Нельзя автоматически датировать все страницы и все права первой датой. У научных книг необходимо отличать исходную публикацию, перепечатку, дату eBook и современную электронную подготовку.</w:t>
      </w:r>
      <w:r>
        <w:t xml:space="preserve"> </w:t>
      </w:r>
      <w:hyperlink r:id="rId13">
        <w:r>
          <w:rPr>
            <w:color w:val="17627C"/>
            <w:u w:val="single"/>
          </w:rPr>
          <w:t>[R013]</w:t>
        </w:r>
      </w:hyperlink>
      <w:r>
        <w:t xml:space="preserve"> · </w:t>
      </w:r>
      <w:hyperlink r:id="rId25">
        <w:r>
          <w:rPr>
            <w:color w:val="17627C"/>
            <w:u w:val="single"/>
          </w:rPr>
          <w:t>[R077]</w:t>
        </w:r>
      </w:hyperlink>
    </w:p>
    <w:p>
      <w:pPr>
        <w:pStyle w:val="Heading2"/>
      </w:pPr>
      <w:r>
        <w:t>Смешанные компоненты и машинные форматы</w:t>
      </w:r>
    </w:p>
    <w:p>
      <w:r>
        <w:t>PAL открывает разные компоненты на разных условиях; текстовые JPEG-диаграммы в транскрипции Geber требуют отделения от лицензированного текста. IIIF, TEI, TXT, ALTO и JSON — форматы/интерфейсы, а не лицензии. Так, у e-rara найдены машинные производные конкретного PDM-объекта, а у DARE экспортируемый текст не получил от этого разрешения на зеркало.</w:t>
      </w:r>
      <w:r>
        <w:t xml:space="preserve"> </w:t>
      </w:r>
      <w:hyperlink r:id="rId49">
        <w:r>
          <w:rPr>
            <w:color w:val="17627C"/>
            <w:u w:val="single"/>
          </w:rPr>
          <w:t>[R011]</w:t>
        </w:r>
      </w:hyperlink>
      <w:r>
        <w:t xml:space="preserve"> · </w:t>
      </w:r>
      <w:hyperlink r:id="rId21">
        <w:r>
          <w:rPr>
            <w:color w:val="17627C"/>
            <w:u w:val="single"/>
          </w:rPr>
          <w:t>[R040]</w:t>
        </w:r>
      </w:hyperlink>
      <w:r>
        <w:t xml:space="preserve"> · </w:t>
      </w:r>
      <w:hyperlink r:id="rId26">
        <w:r>
          <w:rPr>
            <w:color w:val="17627C"/>
            <w:u w:val="single"/>
          </w:rPr>
          <w:t>[R083]</w:t>
        </w:r>
      </w:hyperlink>
    </w:p>
    <w:p>
      <w:pPr>
        <w:pStyle w:val="Heading2"/>
      </w:pPr>
      <w:r>
        <w:t>Научная полнота не равна технической доступности</w:t>
      </w:r>
    </w:p>
    <w:p>
      <w:r>
        <w:t>Открытый файл может содержать один том, один свидетель или неполный сохранившийся текст. Поздний список полного «Канона» не является полной историей его вариантов. Критический De animalibus XI–XIV не равен всем 19 книгам; проза арабского Almagest без таблиц не является полным цифровым математическим объектом.</w:t>
      </w:r>
      <w:r>
        <w:t xml:space="preserve"> </w:t>
      </w:r>
      <w:hyperlink r:id="rId43">
        <w:r>
          <w:rPr>
            <w:color w:val="17627C"/>
            <w:u w:val="single"/>
          </w:rPr>
          <w:t>[R074]</w:t>
        </w:r>
      </w:hyperlink>
      <w:r>
        <w:t xml:space="preserve"> · </w:t>
      </w:r>
      <w:hyperlink r:id="rId25">
        <w:r>
          <w:rPr>
            <w:color w:val="17627C"/>
            <w:u w:val="single"/>
          </w:rPr>
          <w:t>[R077]</w:t>
        </w:r>
      </w:hyperlink>
      <w:r>
        <w:t xml:space="preserve"> · </w:t>
      </w:r>
      <w:hyperlink r:id="rId31">
        <w:r>
          <w:rPr>
            <w:color w:val="17627C"/>
            <w:u w:val="single"/>
          </w:rPr>
          <w:t>[R086]</w:t>
        </w:r>
      </w:hyperlink>
    </w:p>
    <w:p>
      <w:pPr>
        <w:pStyle w:val="Heading2"/>
      </w:pPr>
      <w:r>
        <w:t>Некоммерческое использование — полезный, но не общий пропуск</w:t>
      </w:r>
    </w:p>
    <w:p>
      <w:r>
        <w:t>Некоммерческий характер ToS делает NC-материалы практически важными. Однако NC не снимает ND, условия атрибуции и исключения для чужих материалов. Для R072–R073 реестр поддерживает неизменные PDF. Для русского Liber de causis нужна дополнительная проверка архивного файла; заявление внизу страницы не было механически превращено в разрешение на любой слой выпуска.</w:t>
      </w:r>
      <w:r>
        <w:t xml:space="preserve"> </w:t>
      </w:r>
      <w:hyperlink r:id="rId24">
        <w:r>
          <w:rPr>
            <w:color w:val="17627C"/>
            <w:u w:val="single"/>
          </w:rPr>
          <w:t>[R072]</w:t>
        </w:r>
      </w:hyperlink>
      <w:r>
        <w:t xml:space="preserve"> · </w:t>
      </w:r>
      <w:hyperlink r:id="rId46">
        <w:r>
          <w:rPr>
            <w:color w:val="17627C"/>
            <w:u w:val="single"/>
          </w:rPr>
          <w:t>[R073]</w:t>
        </w:r>
      </w:hyperlink>
      <w:r>
        <w:t xml:space="preserve"> · </w:t>
      </w:r>
      <w:hyperlink r:id="rId75">
        <w:r>
          <w:rPr>
            <w:color w:val="17627C"/>
            <w:u w:val="single"/>
          </w:rPr>
          <w:t>[R085]</w:t>
        </w:r>
      </w:hyperlink>
    </w:p>
    <w:p>
      <w:pPr>
        <w:pStyle w:val="Heading2"/>
      </w:pPr>
      <w:r>
        <w:t>Ошибки загрузки не переписаны в историю корпуса</w:t>
      </w:r>
    </w:p>
    <w:p>
      <w:r>
        <w:t>403, cache miss, JavaScript-просмотрщик и предел размера файла означают ограничения данной проверки. Они не доказывают отсутствие оцифровки или нелегальность доступа. Проверенные каталоги и адреса сохранены, а фактическая загрузка описана отдельно. Точно так же каталожная карточка печатной книги не названа цифровой выдачей.</w:t>
      </w:r>
    </w:p>
    <w:p>
      <w:r>
        <w:br w:type="page"/>
      </w:r>
    </w:p>
    <w:p>
      <w:pPr>
        <w:pStyle w:val="Heading1"/>
      </w:pPr>
      <w:r>
        <w:t>6. Пробелы и дальнейший поиск</w:t>
      </w:r>
    </w:p>
    <w:p>
      <w:r>
        <w:t>Текущий пакет не заявляет исчерпания корпуса: новые предметные связи продолжают обнаруживаться, а часть просмотрщиков и файлов оказалась недоступна инструменту. Вместо замены результата общими порталами сохранено разработанное ядро, а остаток сведён к 25 конкретным записям gaps. Приоритеты P0/P1/P2 относятся к полезности следующей проверки, не к значимости произведения.</w:t>
      </w:r>
    </w:p>
    <w:p>
      <w:pPr>
        <w:pStyle w:val="Heading2"/>
      </w:pPr>
      <w:r>
        <w:t>Восемь адресных направлений</w:t>
      </w:r>
    </w:p>
    <w:tbl>
      <w:tblPr>
        <w:tblW w:type="auto" w:w="0"/>
        <w:jc w:val="center"/>
        <w:tblLayout w:type="fixed"/>
        <w:tblLook w:firstColumn="1" w:firstRow="1" w:lastColumn="0" w:lastRow="0" w:noHBand="0" w:noVBand="1" w:val="04A0"/>
      </w:tblPr>
      <w:tblGrid>
        <w:gridCol w:w="2891"/>
        <w:gridCol w:w="6746"/>
      </w:tblGrid>
      <w:tr>
        <w:trPr>
          <w:tblHeader/>
          <w:cantSplit/>
        </w:trPr>
        <w:tc>
          <w:tcPr>
            <w:tcW w:type="dxa" w:w="2891"/>
            <w:vAlign w:val="top"/>
            <w:shd w:fill="18354A"/>
            <w:tcMar>
              <w:top w:w="90" w:type="dxa"/>
              <w:left w:w="90" w:type="dxa"/>
              <w:bottom w:w="90" w:type="dxa"/>
              <w:right w:w="90" w:type="dxa"/>
            </w:tcMar>
          </w:tcPr>
          <w:p>
            <w:pPr>
              <w:spacing w:after="60" w:line="247" w:lineRule="auto"/>
            </w:pPr>
            <w:r>
              <w:rPr>
                <w:b/>
                <w:color w:val="FFFFFF"/>
                <w:sz w:val="19"/>
              </w:rPr>
              <w:t>Направление</w:t>
            </w:r>
          </w:p>
        </w:tc>
        <w:tc>
          <w:tcPr>
            <w:tcW w:type="dxa" w:w="6746"/>
            <w:vAlign w:val="top"/>
            <w:shd w:fill="18354A"/>
            <w:tcMar>
              <w:top w:w="90" w:type="dxa"/>
              <w:left w:w="90" w:type="dxa"/>
              <w:bottom w:w="90" w:type="dxa"/>
              <w:right w:w="90" w:type="dxa"/>
            </w:tcMar>
          </w:tcPr>
          <w:p>
            <w:pPr>
              <w:spacing w:after="60" w:line="247" w:lineRule="auto"/>
            </w:pPr>
            <w:r>
              <w:rPr>
                <w:b/>
                <w:color w:val="FFFFFF"/>
                <w:sz w:val="19"/>
              </w:rPr>
              <w:t>Следующий проверяемый результат</w:t>
            </w:r>
          </w:p>
        </w:tc>
      </w:tr>
      <w:tr>
        <w:trPr>
          <w:cantSplit/>
        </w:trPr>
        <w:tc>
          <w:tcPr>
            <w:tcW w:type="dxa" w:w="2891"/>
            <w:vAlign w:val="top"/>
            <w:shd w:fill="EDF3F6"/>
            <w:tcMar>
              <w:top w:w="90" w:type="dxa"/>
              <w:left w:w="90" w:type="dxa"/>
              <w:bottom w:w="90" w:type="dxa"/>
              <w:right w:w="90" w:type="dxa"/>
            </w:tcMar>
          </w:tcPr>
          <w:p>
            <w:pPr>
              <w:spacing w:after="60" w:line="247" w:lineRule="auto"/>
            </w:pPr>
            <w:r>
              <w:rPr>
                <w:sz w:val="19"/>
              </w:rPr>
              <w:t>1. Ранний Аристотель и Платон</w:t>
              <w:br/>
              <w:t>G002, G003, G013, G021</w:t>
            </w:r>
          </w:p>
        </w:tc>
        <w:tc>
          <w:tcPr>
            <w:tcW w:type="dxa" w:w="6746"/>
            <w:vAlign w:val="top"/>
            <w:shd w:fill="EDF3F6"/>
            <w:tcMar>
              <w:top w:w="90" w:type="dxa"/>
              <w:left w:w="90" w:type="dxa"/>
              <w:bottom w:w="90" w:type="dxa"/>
              <w:right w:w="90" w:type="dxa"/>
            </w:tcMar>
          </w:tcPr>
          <w:p>
            <w:pPr>
              <w:spacing w:after="60" w:line="247" w:lineRule="auto"/>
            </w:pPr>
            <w:r>
              <w:rPr>
                <w:sz w:val="19"/>
              </w:rPr>
              <w:t>Получить именно Meteorologica I–III Герарда и De mineralibus, а не позднюю замену; закрепить факсимиле Meno/Phaedo Аристиппа; проверить остальные тома зоологии Скота и исходные греческие/оптические свидетели.</w:t>
            </w:r>
          </w:p>
        </w:tc>
      </w:tr>
      <w:tr>
        <w:trPr>
          <w:cantSplit/>
        </w:trPr>
        <w:tc>
          <w:tcPr>
            <w:tcW w:type="dxa" w:w="2891"/>
            <w:vAlign w:val="top"/>
            <w:shd w:fill="FFFFFF"/>
            <w:tcMar>
              <w:top w:w="90" w:type="dxa"/>
              <w:left w:w="90" w:type="dxa"/>
              <w:bottom w:w="90" w:type="dxa"/>
              <w:right w:w="90" w:type="dxa"/>
            </w:tcMar>
          </w:tcPr>
          <w:p>
            <w:pPr>
              <w:spacing w:after="60" w:line="247" w:lineRule="auto"/>
            </w:pPr>
            <w:r>
              <w:rPr>
                <w:sz w:val="19"/>
              </w:rPr>
              <w:t>2. Arabic → Latin Авиценны и аль-Газали</w:t>
              <w:br/>
              <w:t>G006–G009</w:t>
            </w:r>
          </w:p>
        </w:tc>
        <w:tc>
          <w:tcPr>
            <w:tcW w:type="dxa" w:w="6746"/>
            <w:vAlign w:val="top"/>
            <w:shd w:fill="FFFFFF"/>
            <w:tcMar>
              <w:top w:w="90" w:type="dxa"/>
              <w:left w:w="90" w:type="dxa"/>
              <w:bottom w:w="90" w:type="dxa"/>
              <w:right w:w="90" w:type="dxa"/>
            </w:tcMar>
          </w:tcPr>
          <w:p>
            <w:pPr>
              <w:spacing w:after="60" w:line="247" w:lineRule="auto"/>
            </w:pPr>
            <w:r>
              <w:rPr>
                <w:sz w:val="19"/>
              </w:rPr>
              <w:t>Сверить библиографию Avicenna Latinus, особенно De anima IV–V; найти арабские al-Nafs/Ilāhiyyāt и Maqāṣid. Для Liber de causis — арабский текст и рабочий архивный PDF русского перевода.</w:t>
            </w:r>
          </w:p>
        </w:tc>
      </w:tr>
      <w:tr>
        <w:trPr>
          <w:cantSplit/>
        </w:trPr>
        <w:tc>
          <w:tcPr>
            <w:tcW w:type="dxa" w:w="2891"/>
            <w:vAlign w:val="top"/>
            <w:shd w:fill="EDF3F6"/>
            <w:tcMar>
              <w:top w:w="90" w:type="dxa"/>
              <w:left w:w="90" w:type="dxa"/>
              <w:bottom w:w="90" w:type="dxa"/>
              <w:right w:w="90" w:type="dxa"/>
            </w:tcMar>
          </w:tcPr>
          <w:p>
            <w:pPr>
              <w:spacing w:after="60" w:line="247" w:lineRule="auto"/>
            </w:pPr>
            <w:r>
              <w:rPr>
                <w:sz w:val="19"/>
              </w:rPr>
              <w:t>3. Медицина и материальные свидетели</w:t>
              <w:br/>
              <w:t>G004, G005, G017, G018</w:t>
            </w:r>
          </w:p>
        </w:tc>
        <w:tc>
          <w:tcPr>
            <w:tcW w:type="dxa" w:w="6746"/>
            <w:vAlign w:val="top"/>
            <w:shd w:fill="EDF3F6"/>
            <w:tcMar>
              <w:top w:w="90" w:type="dxa"/>
              <w:left w:w="90" w:type="dxa"/>
              <w:bottom w:w="90" w:type="dxa"/>
              <w:right w:w="90" w:type="dxa"/>
            </w:tcMar>
          </w:tcPr>
          <w:p>
            <w:pPr>
              <w:spacing w:after="60" w:line="247" w:lineRule="auto"/>
            </w:pPr>
            <w:r>
              <w:rPr>
                <w:sz w:val="19"/>
              </w:rPr>
              <w:t>Открыть BnF grec2293 и определить права изображений; проверить латинский Canon1490 и арабский1593; расширить Theorica к Practica и источнику al-Majūsī; извлечь медицинские пункты Commemoratio.</w:t>
            </w:r>
          </w:p>
        </w:tc>
      </w:tr>
      <w:tr>
        <w:trPr>
          <w:cantSplit/>
        </w:trPr>
        <w:tc>
          <w:tcPr>
            <w:tcW w:type="dxa" w:w="2891"/>
            <w:vAlign w:val="top"/>
            <w:shd w:fill="FFFFFF"/>
            <w:tcMar>
              <w:top w:w="90" w:type="dxa"/>
              <w:left w:w="90" w:type="dxa"/>
              <w:bottom w:w="90" w:type="dxa"/>
              <w:right w:w="90" w:type="dxa"/>
            </w:tcMar>
          </w:tcPr>
          <w:p>
            <w:pPr>
              <w:spacing w:after="60" w:line="247" w:lineRule="auto"/>
            </w:pPr>
            <w:r>
              <w:rPr>
                <w:sz w:val="19"/>
              </w:rPr>
              <w:t>4. DARE и собственно Averroes Latinus</w:t>
              <w:br/>
              <w:t>G001</w:t>
            </w:r>
          </w:p>
        </w:tc>
        <w:tc>
          <w:tcPr>
            <w:tcW w:type="dxa" w:w="6746"/>
            <w:vAlign w:val="top"/>
            <w:shd w:fill="FFFFFF"/>
            <w:tcMar>
              <w:top w:w="90" w:type="dxa"/>
              <w:left w:w="90" w:type="dxa"/>
              <w:bottom w:w="90" w:type="dxa"/>
              <w:right w:w="90" w:type="dxa"/>
            </w:tcMar>
          </w:tcPr>
          <w:p>
            <w:pPr>
              <w:spacing w:after="60" w:line="247" w:lineRule="auto"/>
            </w:pPr>
            <w:r>
              <w:rPr>
                <w:sz w:val="19"/>
              </w:rPr>
              <w:t>Сопоставить старые textid с новым FT-каталогом; по каждой версии проверить действующий HTML/TEI/PDF, полноту и лицензию. Не выдавать универсальный статус всему DARE.</w:t>
            </w:r>
          </w:p>
        </w:tc>
      </w:tr>
      <w:tr>
        <w:trPr>
          <w:cantSplit/>
        </w:trPr>
        <w:tc>
          <w:tcPr>
            <w:tcW w:type="dxa" w:w="2891"/>
            <w:vAlign w:val="top"/>
            <w:shd w:fill="EDF3F6"/>
            <w:tcMar>
              <w:top w:w="90" w:type="dxa"/>
              <w:left w:w="90" w:type="dxa"/>
              <w:bottom w:w="90" w:type="dxa"/>
              <w:right w:w="90" w:type="dxa"/>
            </w:tcMar>
          </w:tcPr>
          <w:p>
            <w:pPr>
              <w:spacing w:after="60" w:line="247" w:lineRule="auto"/>
            </w:pPr>
            <w:r>
              <w:rPr>
                <w:sz w:val="19"/>
              </w:rPr>
              <w:t>5. Гундисалин и аль-Фараби</w:t>
              <w:br/>
              <w:t>G010–G012</w:t>
            </w:r>
          </w:p>
        </w:tc>
        <w:tc>
          <w:tcPr>
            <w:tcW w:type="dxa" w:w="6746"/>
            <w:vAlign w:val="top"/>
            <w:shd w:fill="EDF3F6"/>
            <w:tcMar>
              <w:top w:w="90" w:type="dxa"/>
              <w:left w:w="90" w:type="dxa"/>
              <w:bottom w:w="90" w:type="dxa"/>
              <w:right w:w="90" w:type="dxa"/>
            </w:tcMar>
          </w:tcPr>
          <w:p>
            <w:pPr>
              <w:spacing w:after="60" w:line="247" w:lineRule="auto"/>
            </w:pPr>
            <w:r>
              <w:rPr>
                <w:sz w:val="19"/>
              </w:rPr>
              <w:t>Получить полный файл Baur1903 и проверить версию; для других сочинений Гундисалина доказать связь с переводимыми текстами; разделить арабский Iḥṣāʾ, латинские версии и De intellectu.</w:t>
            </w:r>
          </w:p>
        </w:tc>
      </w:tr>
      <w:tr>
        <w:trPr>
          <w:cantSplit/>
        </w:trPr>
        <w:tc>
          <w:tcPr>
            <w:tcW w:type="dxa" w:w="2891"/>
            <w:vAlign w:val="top"/>
            <w:shd w:fill="FFFFFF"/>
            <w:tcMar>
              <w:top w:w="90" w:type="dxa"/>
              <w:left w:w="90" w:type="dxa"/>
              <w:bottom w:w="90" w:type="dxa"/>
              <w:right w:w="90" w:type="dxa"/>
            </w:tcMar>
          </w:tcPr>
          <w:p>
            <w:pPr>
              <w:spacing w:after="60" w:line="247" w:lineRule="auto"/>
            </w:pPr>
            <w:r>
              <w:rPr>
                <w:sz w:val="19"/>
              </w:rPr>
              <w:t>6. Математика, астрономия и таблицы</w:t>
              <w:br/>
              <w:t>G014–G016, G022</w:t>
            </w:r>
          </w:p>
        </w:tc>
        <w:tc>
          <w:tcPr>
            <w:tcW w:type="dxa" w:w="6746"/>
            <w:vAlign w:val="top"/>
            <w:shd w:fill="FFFFFF"/>
            <w:tcMar>
              <w:top w:w="90" w:type="dxa"/>
              <w:left w:w="90" w:type="dxa"/>
              <w:bottom w:w="90" w:type="dxa"/>
              <w:right w:w="90" w:type="dxa"/>
            </w:tcMar>
          </w:tcPr>
          <w:p>
            <w:pPr>
              <w:spacing w:after="60" w:line="247" w:lineRule="auto"/>
            </w:pPr>
            <w:r>
              <w:rPr>
                <w:sz w:val="19"/>
              </w:rPr>
              <w:t>По BnF lat.9335 начать с Algebra, Menelaus, Banū Mūsā и оптики; проверить al-Biṭrūjī/Скота; установить точные таблицы DISHAS и лицензии, а не только общий адрес проекта.</w:t>
            </w:r>
          </w:p>
        </w:tc>
      </w:tr>
      <w:tr>
        <w:trPr>
          <w:cantSplit/>
        </w:trPr>
        <w:tc>
          <w:tcPr>
            <w:tcW w:type="dxa" w:w="2891"/>
            <w:vAlign w:val="top"/>
            <w:shd w:fill="EDF3F6"/>
            <w:tcMar>
              <w:top w:w="90" w:type="dxa"/>
              <w:left w:w="90" w:type="dxa"/>
              <w:bottom w:w="90" w:type="dxa"/>
              <w:right w:w="90" w:type="dxa"/>
            </w:tcMar>
          </w:tcPr>
          <w:p>
            <w:pPr>
              <w:spacing w:after="60" w:line="247" w:lineRule="auto"/>
            </w:pPr>
            <w:r>
              <w:rPr>
                <w:sz w:val="19"/>
              </w:rPr>
              <w:t>7. Русские и библиотечные входы</w:t>
              <w:br/>
              <w:t>G019, G020, G024</w:t>
            </w:r>
          </w:p>
        </w:tc>
        <w:tc>
          <w:tcPr>
            <w:tcW w:type="dxa" w:w="6746"/>
            <w:vAlign w:val="top"/>
            <w:shd w:fill="EDF3F6"/>
            <w:tcMar>
              <w:top w:w="90" w:type="dxa"/>
              <w:left w:w="90" w:type="dxa"/>
              <w:bottom w:w="90" w:type="dxa"/>
              <w:right w:w="90" w:type="dxa"/>
            </w:tcMar>
          </w:tcPr>
          <w:p>
            <w:pPr>
              <w:spacing w:after="60" w:line="247" w:lineRule="auto"/>
            </w:pPr>
            <w:r>
              <w:rPr>
                <w:sz w:val="19"/>
              </w:rPr>
              <w:t>Подтвердить по официальным карточкам отдельные книги русского «Канона», русский «Альмагест» и переводы Šifāʾ; найти авторизованный полный текст критических testimonia Герарда.</w:t>
            </w:r>
          </w:p>
        </w:tc>
      </w:tr>
      <w:tr>
        <w:trPr>
          <w:cantSplit/>
        </w:trPr>
        <w:tc>
          <w:tcPr>
            <w:tcW w:type="dxa" w:w="2891"/>
            <w:vAlign w:val="top"/>
            <w:shd w:fill="FFFFFF"/>
            <w:tcMar>
              <w:top w:w="90" w:type="dxa"/>
              <w:left w:w="90" w:type="dxa"/>
              <w:bottom w:w="90" w:type="dxa"/>
              <w:right w:w="90" w:type="dxa"/>
            </w:tcMar>
          </w:tcPr>
          <w:p>
            <w:pPr>
              <w:spacing w:after="60" w:line="247" w:lineRule="auto"/>
            </w:pPr>
            <w:r>
              <w:rPr>
                <w:sz w:val="19"/>
              </w:rPr>
              <w:t>8. Ранние издания и поздняя рецепция</w:t>
              <w:br/>
              <w:t>G023, G025</w:t>
            </w:r>
          </w:p>
        </w:tc>
        <w:tc>
          <w:tcPr>
            <w:tcW w:type="dxa" w:w="6746"/>
            <w:vAlign w:val="top"/>
            <w:shd w:fill="FFFFFF"/>
            <w:tcMar>
              <w:top w:w="90" w:type="dxa"/>
              <w:left w:w="90" w:type="dxa"/>
              <w:bottom w:w="90" w:type="dxa"/>
              <w:right w:w="90" w:type="dxa"/>
            </w:tcMar>
          </w:tcPr>
          <w:p>
            <w:pPr>
              <w:spacing w:after="60" w:line="247" w:lineRule="auto"/>
            </w:pPr>
            <w:r>
              <w:rPr>
                <w:sz w:val="19"/>
              </w:rPr>
              <w:t>Проверить комплектность PDF SIEPM, новые страницы репринтов и юрисдикцию; добавлять Бэкона/Руфа и других комментаторов только через доказуемую цитату или конкретную версию исходного корпуса.</w:t>
            </w:r>
          </w:p>
        </w:tc>
      </w:tr>
    </w:tbl>
    <w:p>
      <w:pPr>
        <w:spacing w:after="0"/>
      </w:pPr>
    </w:p>
    <w:p>
      <w:r>
        <w:t>Среди полностью не закрытых цифровых входов особенно важны ранние компоненты Corpus Vetustius, собственно латинские Meno/Phaedo, изображения Parisinus Graecus 2293, арабские философские части Šifāʾ и Maqāṣid, а также полная предметная проверка медицинского каталога Герарда. Для них наличие каталогов или другого перевода не выдано за полнотекстовое покрытие.</w:t>
      </w:r>
    </w:p>
    <w:p>
      <w:r>
        <w:t>Внепериодный остаток не отброшен: арабские предшественники Pantegni, комментарийные слои Герсонида, новые версии Мёрбеке, ранняя печать и современные русские переводы остаются частью карты. У al-Biṭrūjī, русских изданий и ряда астрологических кандидатов требуется дополнительное подтверждение доступа или самой точной корпусной связи. Их поздняя/ранняя дата не является причиной пробела.</w:t>
      </w:r>
    </w:p>
    <w:p>
      <w:r>
        <w:t>Отдельно не найден подтверждённый Controlled Digital Lending или свободно регистрируемый библиотечный заём для конкретной нужной книги. Поэтому в XLSX не добавлены фиктивные library_borrow/free_registration. Наличие экземпляра на открытой полке, подписной базы и preview отражено своим фактическим режимом.</w:t>
      </w:r>
    </w:p>
    <w:p>
      <w:pPr>
        <w:pStyle w:val="Heading1"/>
      </w:pPr>
      <w:r>
        <w:t>7. Итоговая оценка</w:t>
      </w:r>
    </w:p>
    <w:p>
      <w:r>
        <w:t>Корпус покрыт широко на уровне центральных произведений, переводных версий и реально полезных входов, но не исчерпывающе по всем рукописям, медицинским и математическим трактатам. Особенно сильна птолемеевская линия: латинские и арабские транскрипции, факсимиле печати, комментарийные родственники и каталогизация. Латинский Авиценна и Аверроэс представлены старыми сборниками и современными научными версиями; доступность не означает одинаковых прав.</w:t>
      </w:r>
    </w:p>
    <w:p>
      <w:r>
        <w:t>Переводы на современные языки лучше обеспечены по-английски, дополнены немецкими, французскими, испанским и русским входами. Для русского слоя полнота заметно ниже. Греческие исходные тексты и некоторые точные средневековые латинские версии требуют дополнительной item-level работы.</w:t>
      </w:r>
    </w:p>
    <w:p>
      <w:r>
        <w:t>Наиболее свободный слой — лицензированные текстовые транскрипции и метаданные PAL, а также отдельные PDM-факсимиле e-rara, Finna и Wellcome. Главные ограничения — права современных редакций и переводов, неодинаковые правила фотографий, условия SIEPM и техническая недоступность части DARE/репозиторных файлов.</w:t>
      </w:r>
    </w:p>
    <w:p>
      <w:r>
        <w:t>Пакет пригоден для передачи Codex как исследовательский реестр: стабильный T2-23, простые record_id, отдельные access/coverage/rights/verification и явные gaps. Он не является разрешением на автоматическое массовое копирование. Сначала можно импортировать ссылки и библиографические карточки; для полных текстов отбирать только доказанные права в их указанной области действия.</w:t>
      </w:r>
    </w:p>
    <w:p>
      <w:pPr>
        <w:pStyle w:val="Heading2"/>
      </w:pPr>
      <w:r>
        <w:t>Как читать ссылки и ограничения</w:t>
      </w:r>
    </w:p>
    <w:p>
      <w:pPr>
        <w:pStyle w:val="Caption"/>
      </w:pPr>
      <w:r>
        <w:t>Все [R…] в отчёте — активные ссылки на landing_url соответствующей записи XLSX. Для проверки прав следует дополнительно открыть поле rights_evidence_url этой записи. Номер G… относится к листу gaps. Поля coverage и verification_status читаются вместе: официально предложенный полный файл мог не загрузиться в инструменте, а успешно открытая страница могла оказаться лишь каталогом.</w:t>
      </w:r>
    </w:p>
    <w:sectPr w:rsidR="00FC693F" w:rsidRPr="0006063C" w:rsidSect="00034616">
      <w:headerReference w:type="default" r:id="rId9"/>
      <w:footerReference w:type="default" r:id="rId10"/>
      <w:pgSz w:w="11906" w:h="16838"/>
      <w:pgMar w:top="1020" w:right="1134" w:bottom="1020" w:left="1134" w:header="397" w:footer="39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677D88"/>
        <w:sz w:val="16"/>
      </w:rPr>
      <w:t xml:space="preserve">T2-23  •  04.09.2026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color w:val="677D88"/>
        <w:sz w:val="16"/>
      </w:rPr>
      <w:t>TREE OF SOPHIA  /  CORPUS &amp; RIGHTS RESEARCH</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9" w:lineRule="auto" w:after="120"/>
    </w:pPr>
    <w:rPr>
      <w:rFonts w:ascii="Calibri" w:hAnsi="Calibri"/>
      <w:color w:val="253746"/>
      <w:sz w:val="22"/>
      <w:lang w:val="ru-RU"/>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Calibri" w:hAnsi="Calibri"/>
      <w:b/>
      <w:bCs/>
      <w:color w:val="215D74"/>
      <w:sz w:val="36"/>
      <w:szCs w:val="28"/>
      <w:lang w:val="ru-RU"/>
    </w:rPr>
  </w:style>
  <w:style w:type="paragraph" w:styleId="Heading2">
    <w:name w:val="heading 2"/>
    <w:basedOn w:val="Normal"/>
    <w:next w:val="Normal"/>
    <w:link w:val="Heading2Char"/>
    <w:uiPriority w:val="9"/>
    <w:unhideWhenUsed/>
    <w:qFormat/>
    <w:rsid w:val="00FC693F"/>
    <w:pPr>
      <w:keepNext/>
      <w:keepLines/>
      <w:spacing w:before="180" w:after="120"/>
      <w:outlineLvl w:val="1"/>
    </w:pPr>
    <w:rPr>
      <w:rFonts w:asciiTheme="majorHAnsi" w:eastAsiaTheme="majorEastAsia" w:hAnsiTheme="majorHAnsi" w:cstheme="majorBidi" w:ascii="Calibri" w:hAnsi="Calibri"/>
      <w:b/>
      <w:bCs/>
      <w:color w:val="215D74"/>
      <w:sz w:val="26"/>
      <w:szCs w:val="26"/>
      <w:lang w:val="ru-RU"/>
    </w:rPr>
  </w:style>
  <w:style w:type="paragraph" w:styleId="Heading3">
    <w:name w:val="heading 3"/>
    <w:basedOn w:val="Normal"/>
    <w:next w:val="Normal"/>
    <w:link w:val="Heading3Char"/>
    <w:uiPriority w:val="9"/>
    <w:unhideWhenUsed/>
    <w:qFormat/>
    <w:rsid w:val="00FC693F"/>
    <w:pPr>
      <w:keepNext/>
      <w:keepLines/>
      <w:spacing w:before="180" w:after="120"/>
      <w:outlineLvl w:val="2"/>
    </w:pPr>
    <w:rPr>
      <w:rFonts w:asciiTheme="majorHAnsi" w:eastAsiaTheme="majorEastAsia" w:hAnsiTheme="majorHAnsi" w:cstheme="majorBidi" w:ascii="Calibri" w:hAnsi="Calibri"/>
      <w:b/>
      <w:bCs/>
      <w:color w:val="215D74"/>
      <w:sz w:val="22"/>
      <w:lang w:val="ru-RU"/>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b/>
      <w:color w:val="18354A"/>
      <w:spacing w:val="5"/>
      <w:kern w:val="28"/>
      <w:sz w:val="56"/>
      <w:szCs w:val="52"/>
      <w:lang w:val="ru-RU"/>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line="259" w:lineRule="auto"/>
    </w:pPr>
    <w:rPr>
      <w:rFonts w:ascii="Calibri" w:hAnsi="Calibri"/>
      <w:color w:val="253746"/>
      <w:sz w:val="22"/>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after="120"/>
    </w:pPr>
    <w:rPr>
      <w:rFonts w:ascii="Calibri" w:hAnsi="Calibri"/>
      <w:b/>
      <w:bCs/>
      <w:color w:val="546873"/>
      <w:sz w:val="18"/>
      <w:szCs w:val="18"/>
      <w:lang w:val="ru-RU"/>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ptolemaeus.badw.de/print/1/70/text/1" TargetMode="External"/><Relationship Id="rId12" Type="http://schemas.openxmlformats.org/officeDocument/2006/relationships/hyperlink" Target="https://wellcomecollection.org/works/xu9845jw" TargetMode="External"/><Relationship Id="rId13" Type="http://schemas.openxmlformats.org/officeDocument/2006/relationships/hyperlink" Target="https://drive.google.com/file/d/1NIC-Eh9UqyU1f9JY6YhB9ky06sSm6W1B/view" TargetMode="External"/><Relationship Id="rId14" Type="http://schemas.openxmlformats.org/officeDocument/2006/relationships/hyperlink" Target="https://drive.google.com/file/d/19q0MMgCcLN612l9nyjE1w0emM0Qfv3NY/view" TargetMode="External"/><Relationship Id="rId15" Type="http://schemas.openxmlformats.org/officeDocument/2006/relationships/hyperlink" Target="https://www.hs-augsburg.de/~harsch/Chronologia/Lspost12/DeCausis/cau_libr.html" TargetMode="External"/><Relationship Id="rId16" Type="http://schemas.openxmlformats.org/officeDocument/2006/relationships/hyperlink" Target="https://research.manchester.ac.uk/en/publications/the-parisinus-graecus-2293-as-a-document-of-scientific-activity-i/" TargetMode="External"/><Relationship Id="rId17" Type="http://schemas.openxmlformats.org/officeDocument/2006/relationships/hyperlink" Target="https://wellcomecollection.org/works/zfk7z2jq" TargetMode="External"/><Relationship Id="rId18" Type="http://schemas.openxmlformats.org/officeDocument/2006/relationships/hyperlink" Target="https://drive.google.com/file/d/1RwzJAPSrpPwyfE7AbFYVjKmoQY7vMbXD/view" TargetMode="External"/><Relationship Id="rId19" Type="http://schemas.openxmlformats.org/officeDocument/2006/relationships/hyperlink" Target="https://drive.google.com/file/d/16FDhHZpPEJSLdWR7syzZ_btzN4e3emR9/view" TargetMode="External"/><Relationship Id="rId20" Type="http://schemas.openxmlformats.org/officeDocument/2006/relationships/hyperlink" Target="https://drive.google.com/file/d/1hp5pTxyPdNAaZhcDkl6YRguf1mwwF-pe/view" TargetMode="External"/><Relationship Id="rId21" Type="http://schemas.openxmlformats.org/officeDocument/2006/relationships/hyperlink" Target="https://dare.uni-koeln.de/app/fulltexts/FT106" TargetMode="External"/><Relationship Id="rId22" Type="http://schemas.openxmlformats.org/officeDocument/2006/relationships/hyperlink" Target="https://one.thomas.uni-koeln.de/s/Y3y6Kdxqgmzx85e" TargetMode="External"/><Relationship Id="rId23" Type="http://schemas.openxmlformats.org/officeDocument/2006/relationships/hyperlink" Target="https://one.thomas.uni-koeln.de/s/3zegBJBRbWDkyry" TargetMode="External"/><Relationship Id="rId24" Type="http://schemas.openxmlformats.org/officeDocument/2006/relationships/hyperlink" Target="https://ptolemaeus.badw.de/files/PAL-Texts_1.pdf?export=" TargetMode="External"/><Relationship Id="rId25" Type="http://schemas.openxmlformats.org/officeDocument/2006/relationships/hyperlink" Target="https://www.degruyterbrill.com/document/isbn/9789004451001/html" TargetMode="External"/><Relationship Id="rId26" Type="http://schemas.openxmlformats.org/officeDocument/2006/relationships/hyperlink" Target="https://ptolemaeus.badw.de/print/73/91/text/1" TargetMode="External"/><Relationship Id="rId27" Type="http://schemas.openxmlformats.org/officeDocument/2006/relationships/hyperlink" Target="https://ptolemaeus.badw.de/ms/480" TargetMode="External"/><Relationship Id="rId28" Type="http://schemas.openxmlformats.org/officeDocument/2006/relationships/hyperlink" Target="https://ptolemaeus.badw.de/work/200" TargetMode="External"/><Relationship Id="rId29" Type="http://schemas.openxmlformats.org/officeDocument/2006/relationships/hyperlink" Target="https://ptolemaeus.badw.de/work/201" TargetMode="External"/><Relationship Id="rId30" Type="http://schemas.openxmlformats.org/officeDocument/2006/relationships/hyperlink" Target="https://ptolemaeus.badw.de/work/304" TargetMode="External"/><Relationship Id="rId31" Type="http://schemas.openxmlformats.org/officeDocument/2006/relationships/hyperlink" Target="https://ptolemaeus.badw.de/ms/668/970/text/1" TargetMode="External"/><Relationship Id="rId32" Type="http://schemas.openxmlformats.org/officeDocument/2006/relationships/hyperlink" Target="https://www.corpusthomisticum.org/cdc01.html" TargetMode="External"/><Relationship Id="rId33" Type="http://schemas.openxmlformats.org/officeDocument/2006/relationships/hyperlink" Target="https://www.finna.fi/Record/doria.10024_69831" TargetMode="External"/><Relationship Id="rId34" Type="http://schemas.openxmlformats.org/officeDocument/2006/relationships/hyperlink" Target="https://www.kb.nl/en/discover-admire/masterpieces/liber-pantegni" TargetMode="External"/><Relationship Id="rId35" Type="http://schemas.openxmlformats.org/officeDocument/2006/relationships/hyperlink" Target="https://academic.oup.com/book/54551" TargetMode="External"/><Relationship Id="rId36" Type="http://schemas.openxmlformats.org/officeDocument/2006/relationships/hyperlink" Target="https://one.thomas.uni-koeln.de/s/pnpKDD32i25yoFN" TargetMode="External"/><Relationship Id="rId37" Type="http://schemas.openxmlformats.org/officeDocument/2006/relationships/hyperlink" Target="https://www.brepols.net/products/IS-9782503530802-1" TargetMode="External"/><Relationship Id="rId38" Type="http://schemas.openxmlformats.org/officeDocument/2006/relationships/hyperlink" Target="https://drive.google.com/file/d/19KgmLM_vUlq6MQwihjV7k0lF7KEQCJRh/view" TargetMode="External"/><Relationship Id="rId39" Type="http://schemas.openxmlformats.org/officeDocument/2006/relationships/hyperlink" Target="https://drive.google.com/file/d/19uMnb_xU2ABl7ezpK30BSzc9arFX8xd0/view" TargetMode="External"/><Relationship Id="rId40" Type="http://schemas.openxmlformats.org/officeDocument/2006/relationships/hyperlink" Target="https://drive.google.com/file/d/1AXg-RW-pPMLHpUuyp2NSwARgH_4agO_q/view" TargetMode="External"/><Relationship Id="rId41" Type="http://schemas.openxmlformats.org/officeDocument/2006/relationships/hyperlink" Target="https://www.e-rara.ch/zut/content/titleinfo/2886167" TargetMode="External"/><Relationship Id="rId42" Type="http://schemas.openxmlformats.org/officeDocument/2006/relationships/hyperlink" Target="https://online-exhibit.aub.edu.lb/items/show/3076" TargetMode="External"/><Relationship Id="rId43" Type="http://schemas.openxmlformats.org/officeDocument/2006/relationships/hyperlink" Target="https://wellcomecollection.org/works/wuwth5sx" TargetMode="External"/><Relationship Id="rId44" Type="http://schemas.openxmlformats.org/officeDocument/2006/relationships/hyperlink" Target="https://dare.uni-koeln.de/project/dare-publications/" TargetMode="External"/><Relationship Id="rId45" Type="http://schemas.openxmlformats.org/officeDocument/2006/relationships/hyperlink" Target="https://www.brepols.net/series/ald-o" TargetMode="External"/><Relationship Id="rId46" Type="http://schemas.openxmlformats.org/officeDocument/2006/relationships/hyperlink" Target="https://ptolemaeus.badw.de/files/PAL-Studies_3,2.pdf?export=" TargetMode="External"/><Relationship Id="rId47" Type="http://schemas.openxmlformats.org/officeDocument/2006/relationships/hyperlink" Target="https://ptolemaeus.badw.de/work/22" TargetMode="External"/><Relationship Id="rId48" Type="http://schemas.openxmlformats.org/officeDocument/2006/relationships/hyperlink" Target="https://ptolemaeus.badw.de/ms/227/327/text/1" TargetMode="External"/><Relationship Id="rId49" Type="http://schemas.openxmlformats.org/officeDocument/2006/relationships/hyperlink" Target="https://www.e-rara.ch/zut/content/titleinfo/47575" TargetMode="External"/><Relationship Id="rId50" Type="http://schemas.openxmlformats.org/officeDocument/2006/relationships/hyperlink" Target="https://www.jstor.org/stable/j.ctvzxx967" TargetMode="External"/><Relationship Id="rId51" Type="http://schemas.openxmlformats.org/officeDocument/2006/relationships/hyperlink" Target="https://ptolemaeus.badw.de/licenses" TargetMode="External"/><Relationship Id="rId52" Type="http://schemas.openxmlformats.org/officeDocument/2006/relationships/hyperlink" Target="https://gitlab.lrz.de/badw-data/pal-texts" TargetMode="External"/><Relationship Id="rId53" Type="http://schemas.openxmlformats.org/officeDocument/2006/relationships/hyperlink" Target="https://ptolemaeus.badw.de/ms/138/207/1r" TargetMode="External"/><Relationship Id="rId54" Type="http://schemas.openxmlformats.org/officeDocument/2006/relationships/hyperlink" Target="https://ptolemaeus.badw.de/ms/187/275/1r" TargetMode="External"/><Relationship Id="rId55" Type="http://schemas.openxmlformats.org/officeDocument/2006/relationships/hyperlink" Target="https://ptolemaeus.badw.de/ms/480/660/text/1" TargetMode="External"/><Relationship Id="rId56" Type="http://schemas.openxmlformats.org/officeDocument/2006/relationships/hyperlink" Target="https://www.vrin.fr/livre/9782711690053/liber-de-anima-seu-sextus-de-naturalibus-partes-i-iii" TargetMode="External"/><Relationship Id="rId57" Type="http://schemas.openxmlformats.org/officeDocument/2006/relationships/hyperlink" Target="https://www.vrin.fr/livre/9782801700846/liber-de-philosophia-prima-sice-scientia-divina-partes-i-iv" TargetMode="External"/><Relationship Id="rId58" Type="http://schemas.openxmlformats.org/officeDocument/2006/relationships/hyperlink" Target="https://www.vrin.fr/livre/9782801701560/liber-de-philosophia-prima-sice-scientia-divina-partes-v-x" TargetMode="External"/><Relationship Id="rId59" Type="http://schemas.openxmlformats.org/officeDocument/2006/relationships/hyperlink" Target="https://www.vrin.fr/livre/9789068314533/liber-primus-naturalium-de-causis-et-principiis-naturalium" TargetMode="External"/><Relationship Id="rId60" Type="http://schemas.openxmlformats.org/officeDocument/2006/relationships/hyperlink" Target="https://www.vrin.fr/livre/9789068312461/liber-quartus-naturalium-de-actionibus-et-passionibus" TargetMode="External"/><Relationship Id="rId61" Type="http://schemas.openxmlformats.org/officeDocument/2006/relationships/hyperlink" Target="https://www.vrin.fr/livre/9789068310962/liber-tertius-naturalium-de-generatione-et-corruptione" TargetMode="External"/><Relationship Id="rId62" Type="http://schemas.openxmlformats.org/officeDocument/2006/relationships/hyperlink" Target="https://www.vrin.fr/livre/9782711628223/logica" TargetMode="External"/><Relationship Id="rId63" Type="http://schemas.openxmlformats.org/officeDocument/2006/relationships/hyperlink" Target="https://www.vrin.fr/livre/9782711600403/la-metaphysique-du-shifa" TargetMode="External"/><Relationship Id="rId64" Type="http://schemas.openxmlformats.org/officeDocument/2006/relationships/hyperlink" Target="https://drive.google.com/file/d/16ON1kIa8xfwrBAGcs3DzroaQIjyqMNC_/view" TargetMode="External"/><Relationship Id="rId65" Type="http://schemas.openxmlformats.org/officeDocument/2006/relationships/hyperlink" Target="https://drive.google.com/file/d/1BO8fgm9BQtlaPp2Y7i3zyIZfdkm4zNjZ/view" TargetMode="External"/><Relationship Id="rId66" Type="http://schemas.openxmlformats.org/officeDocument/2006/relationships/hyperlink" Target="https://drive.google.com/file/d/1AuLAe3okAdionkge8LErMkDv4Jseh-0x/view" TargetMode="External"/><Relationship Id="rId67" Type="http://schemas.openxmlformats.org/officeDocument/2006/relationships/hyperlink" Target="https://yalebooks.yale.edu/book/9780300178296/long-commentary-on-the-de-anima-of-aristotle/" TargetMode="External"/><Relationship Id="rId68" Type="http://schemas.openxmlformats.org/officeDocument/2006/relationships/hyperlink" Target="https://rrp.stanford.edu/averroes-cited.shtml" TargetMode="External"/><Relationship Id="rId69" Type="http://schemas.openxmlformats.org/officeDocument/2006/relationships/hyperlink" Target="https://www.brepols.net/products/IS-9789004033177-1" TargetMode="External"/><Relationship Id="rId70" Type="http://schemas.openxmlformats.org/officeDocument/2006/relationships/hyperlink" Target="https://www.brepols.net/products/IS-9782503534725-1" TargetMode="External"/><Relationship Id="rId71" Type="http://schemas.openxmlformats.org/officeDocument/2006/relationships/hyperlink" Target="https://www.gutenberg.org/ebooks/1643" TargetMode="External"/><Relationship Id="rId72" Type="http://schemas.openxmlformats.org/officeDocument/2006/relationships/hyperlink" Target="https://www.gutenberg.org/ebooks/1658" TargetMode="External"/><Relationship Id="rId73" Type="http://schemas.openxmlformats.org/officeDocument/2006/relationships/hyperlink" Target="https://www.hs-augsburg.de/~harsch/Chronologia/Lspost12/DeCausis/cau_germ.html" TargetMode="External"/><Relationship Id="rId74" Type="http://schemas.openxmlformats.org/officeDocument/2006/relationships/hyperlink" Target="https://helvia.uco.es/handle/10396/23005" TargetMode="External"/><Relationship Id="rId75" Type="http://schemas.openxmlformats.org/officeDocument/2006/relationships/hyperlink" Target="https://ife.iphras.ru/article/view/9734/" TargetMode="External"/><Relationship Id="rId76" Type="http://schemas.openxmlformats.org/officeDocument/2006/relationships/hyperlink" Target="https://www.pennpress.org/9780871698629/ptolemys-theory-of-visual-perception/" TargetMode="External"/><Relationship Id="rId77" Type="http://schemas.openxmlformats.org/officeDocument/2006/relationships/hyperlink" Target="https://meiner-elibrary.de/book/121/uumlber-die-wissenschaften" TargetMode="External"/><Relationship Id="rId78" Type="http://schemas.openxmlformats.org/officeDocument/2006/relationships/hyperlink" Target="https://freidok.uni-freiburg.de/data/6612" TargetMode="External"/><Relationship Id="rId79" Type="http://schemas.openxmlformats.org/officeDocument/2006/relationships/hyperlink" Target="https://www.cambridge.org/core/journals/science-in-context/article/abs/coherence-of-the-arabiclatin-translation-program-in-toledo-in-the-twelfth-century/E898FAE696E4D7EA152616BEB6D92345" TargetMode="External"/><Relationship Id="rId80" Type="http://schemas.openxmlformats.org/officeDocument/2006/relationships/hyperlink" Target="https://gitlab.lrz.de/badw-data/pal-texts/-/blob/master/LICENSE.m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ToS Corpus &amp; Rights Registry — T2-23</dc:title>
  <dc:subject>Толедо, Сицилия и Южная Италия: корпус и законные пути доступа</dc:subject>
  <dc:creator>Tree of Sophia</dc:creator>
  <cp:keywords>ToS; T2-23; corpus; rights; Toledo; Sicily</cp:keywords>
  <dc:description>generated by python-docx</dc:description>
  <cp:lastModifiedBy/>
  <cp:revision>1</cp:revision>
  <dcterms:created xsi:type="dcterms:W3CDTF">2013-12-23T23:15:00Z</dcterms:created>
  <dcterms:modified xsi:type="dcterms:W3CDTF">2013-12-23T23:15:00Z</dcterms:modified>
  <cp:category/>
</cp:coreProperties>
</file>