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Liberation Sans" w:hAnsi="Liberation Sans"/>
          <w:b/>
          <w:color w:val="52606D"/>
          <w:sz w:val="22"/>
        </w:rPr>
        <w:t>ToS CORPUS &amp; RIGHTS REGISTRY</w:t>
      </w:r>
    </w:p>
    <w:p>
      <w:pPr>
        <w:pStyle w:val="Title"/>
        <w:jc w:val="center"/>
      </w:pPr>
      <w:r>
        <w:t>A09 — Индская цивилизация,</w:t>
        <w:br/>
        <w:t>знаки, печати и предел реконструкции</w:t>
      </w:r>
    </w:p>
    <w:p>
      <w:pPr>
        <w:pStyle w:val="SubtitleToS"/>
        <w:jc w:val="center"/>
      </w:pPr>
      <w:r>
        <w:t>Исследовательский пакет законных путей доступа,</w:t>
        <w:br/>
        <w:t>прав и практического использования для Древа Софии</w:t>
      </w:r>
    </w:p>
    <w:p>
      <w:pPr>
        <w:jc w:val="center"/>
      </w:pPr>
      <w:r>
        <w:rPr>
          <w:color w:val="0F4C5C"/>
          <w:sz w:val="22"/>
        </w:rPr>
        <w:t>━━━━━━━━━━━━━━━━━━━━━━━━━━━━━━━━━━━━━━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b/>
          <w:color w:val="1F2937"/>
          <w:sz w:val="21"/>
        </w:rPr>
        <w:t>ID: A09   •   статус: C   •   уверенность исходной строки: 5</w:t>
      </w:r>
    </w:p>
    <w:p>
      <w:pPr>
        <w:spacing w:before="140"/>
        <w:jc w:val="center"/>
      </w:pPr>
      <w:r>
        <w:rPr>
          <w:sz w:val="19"/>
        </w:rPr>
        <w:t>Проверка веб-доступа и прав: 3 сентября 2026 года</w:t>
      </w:r>
    </w:p>
    <w:p>
      <w:pPr>
        <w:pStyle w:val="Callout"/>
        <w:jc w:val="left"/>
        <w:shd w:fill="E8F3F5"/>
        <w:contextualSpacing/>
      </w:pPr>
      <w:r>
        <w:t>Главный результат: корпус материально богат, но семантически нерасшифрован. Самый свободный слой найден не в современных сводных корпусах, а в отдельных музейных изображениях и метаданных CC0, открытых научных статьях CC BY и некоторых исторических изданиях с требующей юрисдикционной проверки пометой out of copyright.</w:t>
      </w:r>
    </w:p>
    <w:p>
      <w:pPr>
        <w:pStyle w:val="SmallNote"/>
        <w:jc w:val="center"/>
      </w:pPr>
      <w:r>
        <w:t>Это исследовательская карта доступа и прав, а не юридическое заключение. Каждый положительный вывод ограничен указанными в XLSX полями rights_scope и coverage.</w:t>
      </w:r>
    </w:p>
    <w:p>
      <w:r>
        <w:br w:type="page"/>
      </w:r>
    </w:p>
    <w:p>
      <w:pPr>
        <w:pStyle w:val="Heading1"/>
      </w:pPr>
      <w:r>
        <w:t>Состав пакета</w:t>
      </w:r>
    </w:p>
    <w:p>
      <w:r>
        <w:t>Пакет состоит из этого отчёта и реестра ToS_Corpus_Rights_A09_registry.xlsx. В XLSX одна строка означает один практически отличимый путь доступа к произведению, корпусу, конкретному свидетелю, версии, цифровому объекту или сервису.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5783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1757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Объём</w:t>
            </w:r>
          </w:p>
        </w:tc>
      </w:tr>
      <w:tr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registry</w:t>
            </w:r>
          </w:p>
        </w:tc>
        <w:tc>
          <w:tcPr>
            <w:tcW w:type="dxa" w:w="5783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Пути чтения, скачивания, покупки, каталожного и машиночитаемого доступа; раздельная карта прав и рекомендаций ToS.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76 записи</w:t>
            </w:r>
          </w:p>
        </w:tc>
      </w:tr>
      <w:tr>
        <w:tc>
          <w:tcPr>
            <w:tcW w:type="dxa" w:w="181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gaps</w:t>
            </w:r>
          </w:p>
        </w:tc>
        <w:tc>
          <w:tcPr>
            <w:tcW w:type="dxa" w:w="5783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Важные объекты, для которых не найден или не проверен пригодный item-level цифровой вход.</w:t>
            </w:r>
          </w:p>
        </w:tc>
        <w:tc>
          <w:tcPr>
            <w:tcW w:type="dxa" w:w="1757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14 направлений</w:t>
            </w:r>
          </w:p>
        </w:tc>
      </w:tr>
      <w:tr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report</w:t>
            </w:r>
          </w:p>
        </w:tc>
        <w:tc>
          <w:tcPr>
            <w:tcW w:type="dxa" w:w="5783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Сводный паспорт, охват, лучшие входы, карта прав, тонкости, пробелы и итоговая оценка.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7 разделов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b/>
        </w:rPr>
        <w:t xml:space="preserve">Исходный документ: </w:t>
      </w:r>
      <w:r>
        <w:t>ToS Deep Research_ A09 — Индская цивилизация, знаки, печати и предел реконструкции.docx.</w:t>
      </w:r>
      <w:r>
        <w:t xml:space="preserve"> Исходный DR не редактировался; ID A09 и статус C сохранены.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ID / строка ToS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A09 / строка 18 Таблицы I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Название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Южная Азия — Индская цивилизация: знаки, печати и предел реконструкции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Исходный статус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C — знаковая/письменная система и объектный корпус существуют, но философский корпус не реконструируется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Исходная уверенность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5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Хронологическое ядро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Mature Harappan, примерно c. 2600–1900 до н. э.; ранние знаковые предпосылки и поздние сравнения включены только как ореол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География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Харрапа, Мохенджо-Даро, Дхолавира; более широкий Индский ареал; внешние контакты с Месопотамией, Оманом и Иранским плато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Язык / письменность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Неустановленный язык или языки; нерасшифрованная система индских знаков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Исходный DR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ToS Deep Research_ A09 — Индская цивилизация, знаки, печати и предел реконструкции.docx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Дата проверки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2026-09-03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Языки поиска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английский, русский, немецкий, французский; названия и идентификаторы на языках каталогов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Ядро корпуса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Печати, оттиски, малые таблички, надписанная керамика, редкие металлические объекты, Dholavira Signboard; Mahadevan M77, CISI, ICIT и поздние цифровые корпуса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Искомые типы объектов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work; corpus; physical_witness; translation_or_edition; digital_text_or_facsimile; dataset_or_api; digital_project_or_catalogue; secondary_navigation</w:t>
            </w:r>
          </w:p>
        </w:tc>
      </w:tr>
    </w:tbl>
    <w:p>
      <w:pPr>
        <w:spacing w:after="0"/>
      </w:pPr>
    </w:p>
    <w:p>
      <w:r>
        <w:t>Методическая граница исходного DR принята без смягчения: повторяемость, порядок и позиционные ограничения знаков позволяют исследовать формальную структуру, но не дают права объявлять прочтение, жанр, школу, автора, канон или философское учение. Поэтому реестр строится вокруг объектов, свидетелей, корпусов и режимов доступа, а не вокруг вымышленных «хараппских текстов».</w:t>
      </w:r>
    </w:p>
    <w:p>
      <w:pPr>
        <w:pStyle w:val="Heading2"/>
      </w:pPr>
      <w:r>
        <w:t>Количественный контур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005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134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Число</w:t>
            </w:r>
          </w:p>
        </w:tc>
        <w:tc>
          <w:tcPr>
            <w:tcW w:type="dxa" w:w="5499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Как читать</w:t>
            </w:r>
          </w:p>
        </w:tc>
      </w:tr>
      <w:tr>
        <w:tc>
          <w:tcPr>
            <w:tcW w:type="dxa" w:w="300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Всего путей доступа</w:t>
            </w:r>
          </w:p>
        </w:tc>
        <w:tc>
          <w:tcPr>
            <w:tcW w:type="dxa" w:w="113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76</w:t>
            </w:r>
          </w:p>
        </w:tc>
        <w:tc>
          <w:tcPr>
            <w:tcW w:type="dxa" w:w="549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Отдельная запись = отличимый объект, версия, репозиторий или правовой режим.</w:t>
            </w:r>
          </w:p>
        </w:tc>
      </w:tr>
      <w:tr>
        <w:tc>
          <w:tcPr>
            <w:tcW w:type="dxa" w:w="300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Конкретные физические свидетели</w:t>
            </w:r>
          </w:p>
        </w:tc>
        <w:tc>
          <w:tcPr>
            <w:tcW w:type="dxa" w:w="113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18</w:t>
            </w:r>
          </w:p>
        </w:tc>
        <w:tc>
          <w:tcPr>
            <w:tcW w:type="dxa" w:w="5499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Печати, музейные объекты, современные реплики и один месопотамский контактный свидетель.</w:t>
            </w:r>
          </w:p>
        </w:tc>
      </w:tr>
      <w:tr>
        <w:tc>
          <w:tcPr>
            <w:tcW w:type="dxa" w:w="300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Корпусные/издательские версии</w:t>
            </w:r>
          </w:p>
        </w:tc>
        <w:tc>
          <w:tcPr>
            <w:tcW w:type="dxa" w:w="113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18</w:t>
            </w:r>
          </w:p>
        </w:tc>
        <w:tc>
          <w:tcPr>
            <w:tcW w:type="dxa" w:w="549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M77, CISI, Fuls, исторические отчёты и другие версии.</w:t>
            </w:r>
          </w:p>
        </w:tc>
      </w:tr>
      <w:tr>
        <w:tc>
          <w:tcPr>
            <w:tcW w:type="dxa" w:w="300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Современные исследовательские работы</w:t>
            </w:r>
          </w:p>
        </w:tc>
        <w:tc>
          <w:tcPr>
            <w:tcW w:type="dxa" w:w="113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8</w:t>
            </w:r>
          </w:p>
        </w:tc>
        <w:tc>
          <w:tcPr>
            <w:tcW w:type="dxa" w:w="5499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Вычислительные, лингвистические и функциональные дискуссии.</w:t>
            </w:r>
          </w:p>
        </w:tc>
      </w:tr>
      <w:tr>
        <w:tc>
          <w:tcPr>
            <w:tcW w:type="dxa" w:w="300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Dataset/API</w:t>
            </w:r>
          </w:p>
        </w:tc>
        <w:tc>
          <w:tcPr>
            <w:tcW w:type="dxa" w:w="113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11</w:t>
            </w:r>
          </w:p>
        </w:tc>
        <w:tc>
          <w:tcPr>
            <w:tcW w:type="dxa" w:w="549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Интерактивные корпуса, музейные API, open-data выгрузки и код.</w:t>
            </w:r>
          </w:p>
        </w:tc>
      </w:tr>
      <w:tr>
        <w:tc>
          <w:tcPr>
            <w:tcW w:type="dxa" w:w="300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Свободное скачивание</w:t>
            </w:r>
          </w:p>
        </w:tc>
        <w:tc>
          <w:tcPr>
            <w:tcW w:type="dxa" w:w="113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44</w:t>
            </w:r>
          </w:p>
        </w:tc>
        <w:tc>
          <w:tcPr>
            <w:tcW w:type="dxa" w:w="5499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Наличие скачивания само по себе не означает право зеркалирования.</w:t>
            </w:r>
          </w:p>
        </w:tc>
      </w:tr>
      <w:tr>
        <w:tc>
          <w:tcPr>
            <w:tcW w:type="dxa" w:w="300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Сильный открытый reuse</w:t>
            </w:r>
          </w:p>
        </w:tc>
        <w:tc>
          <w:tcPr>
            <w:tcW w:type="dxa" w:w="113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12</w:t>
            </w:r>
          </w:p>
        </w:tc>
        <w:tc>
          <w:tcPr>
            <w:tcW w:type="dxa" w:w="549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Главным образом CC0/public-domain музейные данные и изображения.</w:t>
            </w:r>
          </w:p>
        </w:tc>
      </w:tr>
      <w:tr>
        <w:tc>
          <w:tcPr>
            <w:tcW w:type="dxa" w:w="300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Reuse с атрибуцией</w:t>
            </w:r>
          </w:p>
        </w:tc>
        <w:tc>
          <w:tcPr>
            <w:tcW w:type="dxa" w:w="113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13</w:t>
            </w:r>
          </w:p>
        </w:tc>
        <w:tc>
          <w:tcPr>
            <w:tcW w:type="dxa" w:w="5499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CC BY, CC BY-SA, Etalab, MIT/Apache и иные ограниченные области действия.</w:t>
            </w:r>
          </w:p>
        </w:tc>
      </w:tr>
      <w:tr>
        <w:tc>
          <w:tcPr>
            <w:tcW w:type="dxa" w:w="300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Требуют ручной проверки</w:t>
            </w:r>
          </w:p>
        </w:tc>
        <w:tc>
          <w:tcPr>
            <w:tcW w:type="dxa" w:w="113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53</w:t>
            </w:r>
          </w:p>
        </w:tc>
        <w:tc>
          <w:tcPr>
            <w:tcW w:type="dxa" w:w="549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Смешанные права, item-level неопределённость, jurisdiction или third-party content.</w:t>
            </w:r>
          </w:p>
        </w:tc>
      </w:tr>
    </w:tbl>
    <w:p>
      <w:pPr>
        <w:spacing w:after="0"/>
      </w:pPr>
    </w:p>
    <w:p>
      <w:r>
        <w:t>По содержанию это примерно две дюжины именованных произведений, корпусных семейств и инфраструктурных линий, плюс 18 конкретных физических свидетелей. Число 76 не следует понимать как 76 разных древних произведений: пять томов CISI, несколько музейных печатей и альтернативные версии одной статьи сознательно считаются отдельными путями доступа.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Ядро, извлечённое из исходного DR</w:t>
      </w:r>
    </w:p>
    <w:p>
      <w:r>
        <w:t>Из исходного DR в ядро исследования перенесены: система индских знаков; steatite stamp seals; clay sealings; pottery graffiti и inscribed pottery; miniature tablets; copper/bronze objects; Dholavira Signboard; классический конкорданс Mahadevan 1977; фотографический Corpus of Indus Seals and Inscriptions; ICIT и современные цифровые нормализации. Удержаны также brevity problem, политика вариантов знака, порядок и позиционные ограничения, отсутствие билингвы, спор writing/proto-writing и конкурирующие административные, эмблематические и лингвистические модели.</w:t>
      </w:r>
    </w:p>
    <w:p>
      <w:r>
        <w:t>Никакие древние авторские имена, переводная цепь, комментарийная традиция или канонизация не были добавлены, потому что источник их не поддерживает. Вместо жанров философского письма реестр различает материальные классы знаконосителей.</w:t>
      </w:r>
    </w:p>
    <w:p>
      <w:pPr>
        <w:pStyle w:val="Heading2"/>
      </w:pPr>
      <w:r>
        <w:t>2.2. Что добавил веб-поиск</w:t>
      </w:r>
    </w:p>
    <w:p>
      <w:r>
        <w:t>Веб-поиск существенно расширил DR в четырёх направлениях. Во-первых, найдены конкретные законные входы в M77, пять томов CISI, ICIT, Fuls и IndusScript.in. Во-вторых, собран item-level слой из музеев: пять объектов Met, три Cleveland, шесть British Museum, три Penn Museum и один Louvre. В-третьих, добавлены машиночитаемые музейные API и bulk-выгрузки. В-четвёртых, выделены права на современные статьи и код, включая CC BY, MIT, Apache-2.0 и смешанные third-party ограничения.</w:t>
      </w:r>
    </w:p>
    <w:p>
      <w:r>
        <w:t>Особенно важна коррекция привычного ожидания: наиболее свободное изображение индского знаконосителя часто находится не в специализированном CISI/ICIT, а на item-level странице музея, где конкретный объект и цифровое изображение явно помечены Public Domain/CC0.</w:t>
      </w:r>
    </w:p>
    <w:p>
      <w:pPr>
        <w:pStyle w:val="Heading2"/>
      </w:pPr>
      <w:r>
        <w:t>2.3. Поиск назад во времени: antecedent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Antecedent-объект</w:t>
            </w:r>
          </w:p>
        </w:tc>
        <w:tc>
          <w:tcPr>
            <w:tcW w:type="dxa" w:w="2948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Лучший вход</w:t>
            </w:r>
          </w:p>
        </w:tc>
        <w:tc>
          <w:tcPr>
            <w:tcW w:type="dxa" w:w="4365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Конкретная связь с A09</w:t>
            </w:r>
          </w:p>
        </w:tc>
      </w:tr>
      <w:tr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Ранние хараппские метки</w:t>
            </w:r>
          </w:p>
        </w:tc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Harappa expert Q&amp;A и 90-slide archive</w:t>
            </w:r>
          </w:p>
        </w:tc>
        <w:tc>
          <w:tcPr>
            <w:tcW w:type="dxa" w:w="436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Показывают предпосылки в Ravi/Kot Diji и необходимость отделять ранние pot marks от зрелых последовательностей.</w:t>
            </w:r>
          </w:p>
        </w:tc>
      </w:tr>
      <w:tr>
        <w:tc>
          <w:tcPr>
            <w:tcW w:type="dxa" w:w="232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Прото-клинопись и административные корпуса</w:t>
            </w:r>
          </w:p>
        </w:tc>
        <w:tc>
          <w:tcPr>
            <w:tcW w:type="dxa" w:w="2948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CDLI text/data и image layers</w:t>
            </w:r>
          </w:p>
        </w:tc>
        <w:tc>
          <w:tcPr>
            <w:tcW w:type="dxa" w:w="436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Сравнительная модель кратких административных записей; не доказанный источник или родословная.</w:t>
            </w:r>
          </w:p>
        </w:tc>
      </w:tr>
      <w:tr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Месопотамско-индский контакт</w:t>
            </w:r>
          </w:p>
        </w:tc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Лувр AO 22310 — Шу-илишу, переводчик Meluhha</w:t>
            </w:r>
          </w:p>
        </w:tc>
        <w:tc>
          <w:tcPr>
            <w:tcW w:type="dxa" w:w="436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Читаемый внешний свидетель контакта и языкового посредничества; не билингва к индским знакам.</w:t>
            </w:r>
          </w:p>
        </w:tc>
      </w:tr>
      <w:tr>
        <w:tc>
          <w:tcPr>
            <w:tcW w:type="dxa" w:w="232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Широкие сети обмена</w:t>
            </w:r>
          </w:p>
        </w:tc>
        <w:tc>
          <w:tcPr>
            <w:tcW w:type="dxa" w:w="2948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UNESCO Dholavira; археологические отчёты</w:t>
            </w:r>
          </w:p>
        </w:tc>
        <w:tc>
          <w:tcPr>
            <w:tcW w:type="dxa" w:w="436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Объясняют среду стандартов, печатей, весов и торговли без перехода к доказанному заимствованию письма.</w:t>
            </w:r>
          </w:p>
        </w:tc>
      </w:tr>
    </w:tbl>
    <w:p>
      <w:pPr>
        <w:spacing w:after="0"/>
      </w:pPr>
    </w:p>
    <w:p>
      <w:pPr>
        <w:pStyle w:val="Heading2"/>
      </w:pPr>
      <w:r>
        <w:t>2.4. Поиск вперёд: сохранение, рецепция и спор</w:t>
      </w:r>
    </w:p>
    <w:p>
      <w:r>
        <w:t>Поскольку древней текстовой передачи нет, поздний контур A09 состоит не из комментариев к прочитанному тексту, а из археологического и корпусного afterlife. Сюда входят Marshall, Mackay, Vats и Hunter; Mahadevan M77; CISI; ICIT и Fuls; Parpola; Farmer–Sproat–Witzel; статистические и сетевые модели; современные функциональные гипотезы и AI/OCR-код.</w:t>
      </w:r>
    </w:p>
    <w:p>
      <w:r>
        <w:t>Граница с поздней Южной Азией сохранена как contested frontier. tngraffiti.in, megalithic graffiti и отдельные сравнительные страницы включены только потому, что они формируют реальную линию рецепции и поиска; ни одна из них не помечена как доказанное продолжение индского письма.</w:t>
      </w:r>
    </w:p>
    <w:p>
      <w:pPr>
        <w:pStyle w:val="Heading2"/>
      </w:pPr>
      <w:r>
        <w:t>2.5. Распределение по relevance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5102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relevance</w:t>
            </w:r>
          </w:p>
        </w:tc>
        <w:tc>
          <w:tcPr>
            <w:tcW w:type="dxa" w:w="1701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Записей</w:t>
            </w:r>
          </w:p>
        </w:tc>
      </w:tr>
      <w:tr>
        <w:tc>
          <w:tcPr>
            <w:tcW w:type="dxa" w:w="510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core</w:t>
            </w:r>
          </w:p>
        </w:tc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27</w:t>
            </w:r>
          </w:p>
        </w:tc>
      </w:tr>
      <w:tr>
        <w:tc>
          <w:tcPr>
            <w:tcW w:type="dxa" w:w="5102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same_corpus_or_tradition</w:t>
            </w:r>
          </w:p>
        </w:tc>
        <w:tc>
          <w:tcPr>
            <w:tcW w:type="dxa" w:w="1701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5</w:t>
            </w:r>
          </w:p>
        </w:tc>
      </w:tr>
      <w:tr>
        <w:tc>
          <w:tcPr>
            <w:tcW w:type="dxa" w:w="510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antecedent</w:t>
            </w:r>
          </w:p>
        </w:tc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6</w:t>
            </w:r>
          </w:p>
        </w:tc>
      </w:tr>
      <w:tr>
        <w:tc>
          <w:tcPr>
            <w:tcW w:type="dxa" w:w="5102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commentary_or_reception</w:t>
            </w:r>
          </w:p>
        </w:tc>
        <w:tc>
          <w:tcPr>
            <w:tcW w:type="dxa" w:w="1701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10</w:t>
            </w:r>
          </w:p>
        </w:tc>
      </w:tr>
      <w:tr>
        <w:tc>
          <w:tcPr>
            <w:tcW w:type="dxa" w:w="510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transmission_or_preservation</w:t>
            </w:r>
          </w:p>
        </w:tc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8</w:t>
            </w:r>
          </w:p>
        </w:tc>
      </w:tr>
      <w:tr>
        <w:tc>
          <w:tcPr>
            <w:tcW w:type="dxa" w:w="5102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supporting</w:t>
            </w:r>
          </w:p>
        </w:tc>
        <w:tc>
          <w:tcPr>
            <w:tcW w:type="dxa" w:w="1701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5</w:t>
            </w:r>
          </w:p>
        </w:tc>
      </w:tr>
      <w:tr>
        <w:tc>
          <w:tcPr>
            <w:tcW w:type="dxa" w:w="510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boundary</w:t>
            </w:r>
          </w:p>
        </w:tc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3</w:t>
            </w:r>
          </w:p>
        </w:tc>
      </w:tr>
      <w:tr>
        <w:tc>
          <w:tcPr>
            <w:tcW w:type="dxa" w:w="5102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infrastructure</w:t>
            </w:r>
          </w:p>
        </w:tc>
        <w:tc>
          <w:tcPr>
            <w:tcW w:type="dxa" w:w="1701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9</w:t>
            </w:r>
          </w:p>
        </w:tc>
      </w:tr>
      <w:tr>
        <w:tc>
          <w:tcPr>
            <w:tcW w:type="dxa" w:w="510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secondary_navigation</w:t>
            </w:r>
          </w:p>
        </w:tc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7"/>
              </w:rPr>
              <w:t>3</w:t>
            </w:r>
          </w:p>
        </w:tc>
      </w:tr>
    </w:tbl>
    <w:p>
      <w:pPr>
        <w:spacing w:after="0"/>
      </w:pPr>
    </w:p>
    <w:p>
      <w:r>
        <w:t>Отсутствие continuation-записей является содержательным результатом, а не пробелом классификации: доказанного прямого продолжения самой индской знаковой системы не найдено. Поздние материалы поэтому распределены между transmission_or_preservation, commentary_or_reception и boundary.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3.1. Mahadevan M77</w:t>
      </w:r>
    </w:p>
    <w:p>
      <w:r>
        <w:t>Лучший бесплатный вход в классический конкорданс — Tamil Digital Library: полное чтение и PDF. Это главный практический вариант для сверки нумерации знаков и старого стандарта корпуса.</w:t>
      </w:r>
    </w:p>
    <w:p>
      <w:r>
        <w:rPr>
          <w:b/>
        </w:rPr>
        <w:t xml:space="preserve">Доступ: </w:t>
      </w:r>
      <w:hyperlink r:id="rId11">
        <w:r>
          <w:rPr>
            <w:color w:val="1D4ED8"/>
            <w:u w:val="single"/>
            <w:rFonts w:ascii="Liberation Sans" w:hAnsi="Liberation Sans"/>
          </w:rPr>
          <w:t>Tamil Digital Library — The Indus Script</w:t>
        </w:r>
      </w:hyperlink>
      <w:r>
        <w:t>. Права на современную редакцию и PDF не открыты: сохранять исследовательскую копию можно, но зеркалирование не рекомендовано.</w:t>
      </w:r>
    </w:p>
    <w:p>
      <w:pPr>
        <w:pStyle w:val="Heading2"/>
      </w:pPr>
      <w:r>
        <w:t>3.2. CISI</w:t>
      </w:r>
    </w:p>
    <w:p>
      <w:r>
        <w:t>Лучший научный фотографический корпус — CISI. Официальный законный путь сейчас прежде всего покупка отдельных томов у Tiedekirja и библиотечная работа. Полного открытого авторизованного цифрового CISI не найдено. Университет Хельсинки даёт надёжные метаданные для 3.1 и 3.2, но не полный текст.</w:t>
      </w:r>
    </w:p>
    <w:p>
      <w:r>
        <w:rPr>
          <w:b/>
        </w:rPr>
        <w:t xml:space="preserve">Официальный издатель: </w:t>
      </w:r>
      <w:hyperlink r:id="rId12">
        <w:r>
          <w:rPr>
            <w:color w:val="1D4ED8"/>
            <w:u w:val="single"/>
            <w:rFonts w:ascii="Liberation Sans" w:hAnsi="Liberation Sans"/>
          </w:rPr>
          <w:t>CISI volume pages</w:t>
        </w:r>
      </w:hyperlink>
    </w:p>
    <w:p>
      <w:pPr>
        <w:pStyle w:val="Heading2"/>
      </w:pPr>
      <w:r>
        <w:t>3.3. ICIT, Fuls и IndusScript.in</w:t>
      </w:r>
    </w:p>
    <w:p>
      <w:r>
        <w:t>Лучший интерактивный аналитический корпус — ICIT, но доступ выдаётся после обращения к администратору. IndusScript.in даёт удобный бесплатный web-интерфейс, а Corpus of Indus Inscriptions Андреаса Фульса доступен для чтения/скачивания через авторский ResearchGate upload и для покупки в печати. Ни один из этих путей не даёт бесспорного права на открытое зеркалирование полного корпуса.</w:t>
      </w:r>
    </w:p>
    <w:p>
      <w:hyperlink r:id="rId13">
        <w:r>
          <w:rPr>
            <w:color w:val="1D4ED8"/>
            <w:u w:val="single"/>
            <w:rFonts w:ascii="Liberation Sans" w:hAnsi="Liberation Sans"/>
          </w:rPr>
          <w:t>ICIT</w:t>
        </w:r>
      </w:hyperlink>
      <w:r>
        <w:t xml:space="preserve">  •  </w:t>
      </w:r>
      <w:hyperlink r:id="rId14">
        <w:r>
          <w:rPr>
            <w:color w:val="1D4ED8"/>
            <w:u w:val="single"/>
            <w:rFonts w:ascii="Liberation Sans" w:hAnsi="Liberation Sans"/>
          </w:rPr>
          <w:t>IndusScript.in</w:t>
        </w:r>
      </w:hyperlink>
      <w:r>
        <w:t xml:space="preserve">  •  </w:t>
      </w:r>
      <w:hyperlink r:id="rId15">
        <w:r>
          <w:rPr>
            <w:color w:val="1D4ED8"/>
            <w:u w:val="single"/>
            <w:rFonts w:ascii="Liberation Sans" w:hAnsi="Liberation Sans"/>
          </w:rPr>
          <w:t>Fuls corpus</w:t>
        </w:r>
      </w:hyperlink>
    </w:p>
    <w:p>
      <w:pPr>
        <w:pStyle w:val="Heading2"/>
      </w:pPr>
      <w:r>
        <w:t>3.4. Конкретные печати и изображения</w:t>
      </w:r>
    </w:p>
    <w:p>
      <w:r>
        <w:t>Лучшие свободные item-level facsimile-входы — Met и Cleveland Museum of Art. У них не просто бесплатные изображения, а ясный CC0/Open Access слой, пригодный для зеркалирования, OCR/трассировки, полнотекстового индекса метаданных и embeddings в пределах конкретных объектов.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3288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Что даёт</w:t>
            </w:r>
          </w:p>
        </w:tc>
        <w:tc>
          <w:tcPr>
            <w:tcW w:type="dxa" w:w="1757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Права</w:t>
            </w:r>
          </w:p>
        </w:tc>
        <w:tc>
          <w:tcPr>
            <w:tcW w:type="dxa" w:w="2324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Вход</w:t>
            </w:r>
          </w:p>
        </w:tc>
      </w:tr>
      <w:tr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Met 49.40.1</w:t>
            </w:r>
          </w:p>
        </w:tc>
        <w:tc>
          <w:tcPr>
            <w:tcW w:type="dxa" w:w="32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unicorn + incense burner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Public Domain / CC0</w:t>
            </w:r>
          </w:p>
        </w:tc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см. гиперссылку ниже</w:t>
            </w:r>
          </w:p>
        </w:tc>
      </w:tr>
      <w:tr>
        <w:tc>
          <w:tcPr>
            <w:tcW w:type="dxa" w:w="1701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Met 49.40.4</w:t>
            </w:r>
          </w:p>
        </w:tc>
        <w:tc>
          <w:tcPr>
            <w:tcW w:type="dxa" w:w="3288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bar-shaped plaque seal</w:t>
            </w:r>
          </w:p>
        </w:tc>
        <w:tc>
          <w:tcPr>
            <w:tcW w:type="dxa" w:w="1757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Public Domain / CC0</w:t>
            </w:r>
          </w:p>
        </w:tc>
        <w:tc>
          <w:tcPr>
            <w:tcW w:type="dxa" w:w="232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см. гиперссылку ниже</w:t>
            </w:r>
          </w:p>
        </w:tc>
      </w:tr>
      <w:tr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CMA 1973.160</w:t>
            </w:r>
          </w:p>
        </w:tc>
        <w:tc>
          <w:tcPr>
            <w:tcW w:type="dxa" w:w="32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two-horned bull + inscription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CC0</w:t>
            </w:r>
          </w:p>
        </w:tc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см. гиперссылку ниже</w:t>
            </w:r>
          </w:p>
        </w:tc>
      </w:tr>
      <w:tr>
        <w:tc>
          <w:tcPr>
            <w:tcW w:type="dxa" w:w="1701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CMA 1973.161</w:t>
            </w:r>
          </w:p>
        </w:tc>
        <w:tc>
          <w:tcPr>
            <w:tcW w:type="dxa" w:w="3288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unicorn + inscription</w:t>
            </w:r>
          </w:p>
        </w:tc>
        <w:tc>
          <w:tcPr>
            <w:tcW w:type="dxa" w:w="1757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CC0</w:t>
            </w:r>
          </w:p>
        </w:tc>
        <w:tc>
          <w:tcPr>
            <w:tcW w:type="dxa" w:w="232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см. гиперссылку ниже</w:t>
            </w:r>
          </w:p>
        </w:tc>
      </w:tr>
    </w:tbl>
    <w:p>
      <w:pPr>
        <w:spacing w:after="0"/>
      </w:pPr>
    </w:p>
    <w:p>
      <w:pPr>
        <w:pStyle w:val="SmallNote"/>
      </w:pPr>
      <w:hyperlink r:id="rId16">
        <w:r>
          <w:rPr>
            <w:color w:val="1D4ED8"/>
            <w:u w:val="single"/>
            <w:rFonts w:ascii="Liberation Sans" w:hAnsi="Liberation Sans"/>
          </w:rPr>
          <w:t>Met 49.40.1</w:t>
        </w:r>
      </w:hyperlink>
      <w:r>
        <w:t xml:space="preserve">  |  </w:t>
      </w:r>
      <w:hyperlink r:id="rId17">
        <w:r>
          <w:rPr>
            <w:color w:val="1D4ED8"/>
            <w:u w:val="single"/>
            <w:rFonts w:ascii="Liberation Sans" w:hAnsi="Liberation Sans"/>
          </w:rPr>
          <w:t>Met 49.40.4</w:t>
        </w:r>
      </w:hyperlink>
      <w:r>
        <w:t xml:space="preserve">  |  </w:t>
      </w:r>
      <w:hyperlink r:id="rId18">
        <w:r>
          <w:rPr>
            <w:color w:val="1D4ED8"/>
            <w:u w:val="single"/>
            <w:rFonts w:ascii="Liberation Sans" w:hAnsi="Liberation Sans"/>
          </w:rPr>
          <w:t>CMA 1973.160</w:t>
        </w:r>
      </w:hyperlink>
      <w:r>
        <w:t xml:space="preserve">  |  </w:t>
      </w:r>
      <w:hyperlink r:id="rId19">
        <w:r>
          <w:rPr>
            <w:color w:val="1D4ED8"/>
            <w:u w:val="single"/>
            <w:rFonts w:ascii="Liberation Sans" w:hAnsi="Liberation Sans"/>
          </w:rPr>
          <w:t>CMA 1973.161</w:t>
        </w:r>
      </w:hyperlink>
    </w:p>
    <w:p>
      <w:r>
        <w:t>British Museum остаётся важным каталогом, но его item-level страницы вернули 403 при проверке; поэтому записи сохранены как metadata/link-only с низкой уверенностью прав. Penn Museum даёт изображения современных гипсовых реплик и разрешает ограниченное некоммерческое образовательное использование, но это не оригинальные свидетели.</w:t>
      </w:r>
    </w:p>
    <w:p>
      <w:pPr>
        <w:pStyle w:val="Heading2"/>
      </w:pPr>
      <w:r>
        <w:t>3.5. Dholavira Signboard</w:t>
      </w:r>
    </w:p>
    <w:p>
      <w:r>
        <w:t>Лучший контекст — страница UNESCO, где описание объекта лицензировано CC BY-SA 3.0 IGO. Лучший свободно скачиваемый знаковый образ — SVG-схема десяти знаков на Wikimedia Commons под CC BY-SA 4.0. Это схема, а не фотография оригинальных элементов; item-level музейная запись оригинала не найдена.</w:t>
      </w:r>
    </w:p>
    <w:p>
      <w:hyperlink r:id="rId20">
        <w:r>
          <w:rPr>
            <w:color w:val="1D4ED8"/>
            <w:u w:val="single"/>
            <w:rFonts w:ascii="Liberation Sans" w:hAnsi="Liberation Sans"/>
          </w:rPr>
          <w:t>UNESCO Dholavira</w:t>
        </w:r>
      </w:hyperlink>
      <w:r>
        <w:t xml:space="preserve">  •  </w:t>
      </w:r>
      <w:hyperlink r:id="rId21">
        <w:r>
          <w:rPr>
            <w:color w:val="1D4ED8"/>
            <w:u w:val="single"/>
            <w:rFonts w:ascii="Liberation Sans" w:hAnsi="Liberation Sans"/>
          </w:rPr>
          <w:t>Dholavira Signboard SVG</w:t>
        </w:r>
      </w:hyperlink>
    </w:p>
    <w:p>
      <w:pPr>
        <w:pStyle w:val="Heading2"/>
      </w:pPr>
      <w:r>
        <w:t>3.6. Таблички, sealings и керамика</w:t>
      </w:r>
    </w:p>
    <w:p>
      <w:r>
        <w:t>Лучший бесплатный исследовательский просмотр сейчас даёт Harappa.com: 90-slide compilation, статьи о painted pottery, recent discoveries и miniature tablets. Но сайт прямо запрещает включать материалы в AI/ML training data и использовать их для разработки, обучения или настройки моделей. Поэтому это отличный link/read слой и слабый reuse слой.</w:t>
      </w:r>
    </w:p>
    <w:p>
      <w:hyperlink r:id="rId22">
        <w:r>
          <w:rPr>
            <w:color w:val="1D4ED8"/>
            <w:u w:val="single"/>
            <w:rFonts w:ascii="Liberation Sans" w:hAnsi="Liberation Sans"/>
          </w:rPr>
          <w:t>Around the Indus in 90 Slides</w:t>
        </w:r>
      </w:hyperlink>
      <w:r>
        <w:t xml:space="preserve">  •  </w:t>
      </w:r>
      <w:hyperlink r:id="rId23">
        <w:r>
          <w:rPr>
            <w:color w:val="1D4ED8"/>
            <w:u w:val="single"/>
            <w:rFonts w:ascii="Liberation Sans" w:hAnsi="Liberation Sans"/>
          </w:rPr>
          <w:t>Painted Indus Script on ceramics</w:t>
        </w:r>
      </w:hyperlink>
    </w:p>
    <w:p>
      <w:pPr>
        <w:pStyle w:val="Heading2"/>
      </w:pPr>
      <w:r>
        <w:t>3.7. Старые отчёты и публичнодоменный слой</w:t>
      </w:r>
    </w:p>
    <w:p>
      <w:r>
        <w:t>Лучшие старые полные издания — цифровые копии Marshall 1931, Mackay 1937/1938, Vats 1940 и Hunter 1934 в Digital Library of India/Internet Archive. Они дают тексты, OCR и многочисленные plates. Несколько item records помечены Out_of_copyright, но эта репозиторная помета не равна гарантии общественного достояния во всех юрисдикциях. Поэтому в реестре разрешены локальная исследовательская копия, OCR, индекс и embeddings, а зеркалирование оставлено на ручную проверку.</w:t>
      </w:r>
    </w:p>
    <w:p>
      <w:hyperlink r:id="rId24">
        <w:r>
          <w:rPr>
            <w:color w:val="1D4ED8"/>
            <w:u w:val="single"/>
            <w:rFonts w:ascii="Liberation Sans" w:hAnsi="Liberation Sans"/>
          </w:rPr>
          <w:t>Marshall, vol. I</w:t>
        </w:r>
      </w:hyperlink>
      <w:r>
        <w:t xml:space="preserve">  •  </w:t>
      </w:r>
      <w:hyperlink r:id="rId25">
        <w:r>
          <w:rPr>
            <w:color w:val="1D4ED8"/>
            <w:u w:val="single"/>
            <w:rFonts w:ascii="Liberation Sans" w:hAnsi="Liberation Sans"/>
          </w:rPr>
          <w:t>Mackay, vol. I</w:t>
        </w:r>
      </w:hyperlink>
      <w:r>
        <w:t xml:space="preserve">  •  </w:t>
      </w:r>
      <w:hyperlink r:id="rId26">
        <w:r>
          <w:rPr>
            <w:color w:val="1D4ED8"/>
            <w:u w:val="single"/>
            <w:rFonts w:ascii="Liberation Sans" w:hAnsi="Liberation Sans"/>
          </w:rPr>
          <w:t>Vats, vol. I</w:t>
        </w:r>
      </w:hyperlink>
      <w:r>
        <w:t xml:space="preserve">  •  </w:t>
      </w:r>
      <w:hyperlink r:id="rId27">
        <w:r>
          <w:rPr>
            <w:color w:val="1D4ED8"/>
            <w:u w:val="single"/>
            <w:rFonts w:ascii="Liberation Sans" w:hAnsi="Liberation Sans"/>
          </w:rPr>
          <w:t>Hunter 1934</w:t>
        </w:r>
      </w:hyperlink>
    </w:p>
    <w:p>
      <w:pPr>
        <w:pStyle w:val="Heading2"/>
      </w:pPr>
      <w:r>
        <w:t>3.8. Машиночитаемые и открытые научные варианты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Ресурс</w:t>
            </w:r>
          </w:p>
        </w:tc>
        <w:tc>
          <w:tcPr>
            <w:tcW w:type="dxa" w:w="3685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Формат / права</w:t>
            </w:r>
          </w:p>
        </w:tc>
        <w:tc>
          <w:tcPr>
            <w:tcW w:type="dxa" w:w="3515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Практический приоритет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Met Open Access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JSON API + CC0 metadata/OA image URLs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Самый чистый item-level automated ingestion.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Cleveland Open Access</w:t>
            </w:r>
          </w:p>
        </w:tc>
        <w:tc>
          <w:tcPr>
            <w:tcW w:type="dxa" w:w="368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API + JSON/CSV + CC0 images/data</w:t>
            </w:r>
          </w:p>
        </w:tc>
        <w:tc>
          <w:tcPr>
            <w:tcW w:type="dxa" w:w="351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Сильный альтернативный музейный слой.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Penn metadata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CSV, CC BY 4.0; images excluded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Навигация и metadata graph.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CDLI text/data</w:t>
            </w:r>
          </w:p>
        </w:tc>
        <w:tc>
          <w:tcPr>
            <w:tcW w:type="dxa" w:w="368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CSV/TSV/JSON/ATF/RDF и др.; custom academic reuse</w:t>
            </w:r>
          </w:p>
        </w:tc>
        <w:tc>
          <w:tcPr>
            <w:tcW w:type="dxa" w:w="351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Antecedent comparison, not lineage.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PLOS n-grams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HTML/PDF/XML, CC BY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Лучший полностью открытый computational article.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Nature HSS articles</w:t>
            </w:r>
          </w:p>
        </w:tc>
        <w:tc>
          <w:tcPr>
            <w:tcW w:type="dxa" w:w="368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HTML/PDF, CC BY 4.0</w:t>
            </w:r>
          </w:p>
        </w:tc>
        <w:tc>
          <w:tcPr>
            <w:tcW w:type="dxa" w:w="351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Открытый текст; third-party images проверять отдельно.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GitHub WIP corpus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JSON/MIT at repository layer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Полезен после provenance review.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OCR repositories</w:t>
            </w:r>
          </w:p>
        </w:tc>
        <w:tc>
          <w:tcPr>
            <w:tcW w:type="dxa" w:w="368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Apache-2.0 code</w:t>
            </w:r>
          </w:p>
        </w:tc>
        <w:tc>
          <w:tcPr>
            <w:tcW w:type="dxa" w:w="351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Код открыт, training images — нет.</w:t>
            </w:r>
          </w:p>
        </w:tc>
      </w:tr>
    </w:tbl>
    <w:p>
      <w:pPr>
        <w:spacing w:after="0"/>
      </w:pPr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4.1. Потенциально можно зеркалировать</w:t>
      </w:r>
    </w:p>
    <w:p>
      <w:r>
        <w:t>Без дополнительного разрешения наиболее уверенно зеркалируются конкретные CC0/Public Domain изображения и метаданные Met и Cleveland; историческая иллюстрация AO 22310 на Commons; CC BY статьи PLOS и Nature; MIT/Apache-2.0 код в пределах собственных файлов репозитория. Для CC BY и MIT/Apache требуется сохранять атрибуцию и уведомления; для CC0 атрибуция юридически не обязательна, но научно желательна.</w:t>
      </w:r>
    </w:p>
    <w:p>
      <w:r>
        <w:t>Wikimedia Dholavira SVG и фотография IndusValleySeals.JPG допускают распространение и переработку с атрибуцией и ShareAlike. UNESCO допускает reuse текста property description под CC BY-SA 3.0 IGO, но не переносит эту лицензию на фотографии и карты.</w:t>
      </w:r>
    </w:p>
    <w:p>
      <w:pPr>
        <w:pStyle w:val="Heading2"/>
      </w:pPr>
      <w:r>
        <w:t>4.2. Некоммерческое или условно-образовательное использование</w:t>
      </w:r>
    </w:p>
    <w:p>
      <w:r>
        <w:t>Penn Museum collection images разрешены для некоммерческого образовательного и личного использования в описанном объёме; Louvre medium-format images — для перечисленных частных, музеографических, научных и образовательных целей с credit/permalink; CDLI images — прежде всего для студентов, исследователей и публичного некоммерческого ознакомления. Во всех трёх случаях это институциональные условия, а не универсальная Creative Commons лицензия.</w:t>
      </w:r>
    </w:p>
    <w:p>
      <w:pPr>
        <w:pStyle w:val="Heading2"/>
      </w:pPr>
      <w:r>
        <w:t>4.3. Бесплатно читать или скачать, но не переиздавать</w:t>
      </w:r>
    </w:p>
    <w:p>
      <w:r>
        <w:t>К этой группе относятся Mahadevan PDF в Tamil Digital Library, Harappa.com, Fuls на ResearchGate, ICIT/IndusScript.in, большинство arXiv preprints и официально доступный EJVS PDF. Для них LINK_OK, FREE_READ/FREE_DOWNLOAD и LOCAL_RESEARCH_COPY не означают MIRROR_OK.</w:t>
      </w:r>
    </w:p>
    <w:p>
      <w:pPr>
        <w:pStyle w:val="Heading2"/>
      </w:pPr>
      <w:r>
        <w:t>4.4. Purchase / library / metadata-only</w:t>
      </w:r>
    </w:p>
    <w:p>
      <w:r>
        <w:t>CISI остаётся главным современным научным фотографическим корпусом, но в найденных официальных входах доступен как покупка отдельных томов и библиотечная консультация. University of Helsinki pages — metadata-only. British Museum records оставлены link-only из-за невозможности проверить item-level rights во время прохода.</w:t>
      </w:r>
    </w:p>
    <w:p>
      <w:pPr>
        <w:pStyle w:val="Heading2"/>
      </w:pPr>
      <w:r>
        <w:t>4.5. OCR, полнотекстовый индекс и embeddings — раздельная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814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Объём реестра</w:t>
            </w:r>
          </w:p>
        </w:tc>
        <w:tc>
          <w:tcPr>
            <w:tcW w:type="dxa" w:w="4932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Главное условие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OCR</w:t>
            </w:r>
          </w:p>
        </w:tc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22 записей</w:t>
            </w:r>
          </w:p>
        </w:tc>
        <w:tc>
          <w:tcPr>
            <w:tcW w:type="dxa" w:w="49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Разрешён прежде всего для CC0/CC BY/CC BY-SA объектов и локальных исторических сканов; scope всегда item-level.</w:t>
            </w:r>
          </w:p>
        </w:tc>
      </w:tr>
      <w:tr>
        <w:tc>
          <w:tcPr>
            <w:tcW w:type="dxa" w:w="283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Публичный полнотекстовый индекс</w:t>
            </w:r>
          </w:p>
        </w:tc>
        <w:tc>
          <w:tcPr>
            <w:tcW w:type="dxa" w:w="181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32 записей</w:t>
            </w:r>
          </w:p>
        </w:tc>
        <w:tc>
          <w:tcPr>
            <w:tcW w:type="dxa" w:w="4932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Сильнее всего для открытого текста/метаданных. Защищённый PDF не включать автоматически.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Embeddings</w:t>
            </w:r>
          </w:p>
        </w:tc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32 записей</w:t>
            </w:r>
          </w:p>
        </w:tc>
        <w:tc>
          <w:tcPr>
            <w:tcW w:type="dxa" w:w="49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Допустимы там, где лицензия разрешает переработку/машиночитаемое использование; Harappa materials исключить без разрешения.</w:t>
            </w:r>
          </w:p>
        </w:tc>
      </w:tr>
      <w:tr>
        <w:tc>
          <w:tcPr>
            <w:tcW w:type="dxa" w:w="283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Зеркалирование без условий</w:t>
            </w:r>
          </w:p>
        </w:tc>
        <w:tc>
          <w:tcPr>
            <w:tcW w:type="dxa" w:w="181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12 записей</w:t>
            </w:r>
          </w:p>
        </w:tc>
        <w:tc>
          <w:tcPr>
            <w:tcW w:type="dxa" w:w="4932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Главным образом CC0/Public Domain item-level assets.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Зеркалирование с атрибуцией</w:t>
            </w:r>
          </w:p>
        </w:tc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13 записей</w:t>
            </w:r>
          </w:p>
        </w:tc>
        <w:tc>
          <w:tcPr>
            <w:tcW w:type="dxa" w:w="49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Проверять ShareAlike, third-party exclusions и component scope.</w:t>
            </w:r>
          </w:p>
        </w:tc>
      </w:tr>
      <w:tr>
        <w:tc>
          <w:tcPr>
            <w:tcW w:type="dxa" w:w="2835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Некоммерческое зеркалирование</w:t>
            </w:r>
          </w:p>
        </w:tc>
        <w:tc>
          <w:tcPr>
            <w:tcW w:type="dxa" w:w="181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5 записей</w:t>
            </w:r>
          </w:p>
        </w:tc>
        <w:tc>
          <w:tcPr>
            <w:tcW w:type="dxa" w:w="4932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6"/>
              </w:rPr>
              <w:t>Не выходить за образовательный/научный режим учреждения.</w:t>
            </w:r>
          </w:p>
        </w:tc>
      </w:tr>
    </w:tbl>
    <w:p>
      <w:pPr>
        <w:spacing w:after="0"/>
      </w:pPr>
    </w:p>
    <w:p>
      <w:pPr>
        <w:pStyle w:val="Heading2"/>
      </w:pPr>
      <w:r>
        <w:t>4.6. Собственный перевод ToS</w:t>
      </w:r>
    </w:p>
    <w:p>
      <w:pPr>
        <w:pStyle w:val="Callout"/>
        <w:shd w:fill="FFF7E6"/>
        <w:contextualSpacing/>
      </w:pPr>
      <w:r>
        <w:t>Для самого индского корпуса безусловный OWN_TRANSLATION_POSSIBLE не ставится: нет общепринятого чтения, языка и дешифрованного оригинального слоя. Открытая фотография позволяет создать собственную трассировку или sign-level transcription, но не перевод смысла.</w:t>
      </w:r>
    </w:p>
    <w:p>
      <w:r>
        <w:t>Два положительных OWN_TRANSLATION_POSSIBLE в XLSX относятся только к месопотамскому antecedent AO 22310: читаемой аккадской надписи о Шу-илишу, переводчике Meluhha, и её открытой мета-/факсимильной основе. Это перевод внешнего свидетельства контакта, а не перевод индской надписи.</w:t>
      </w:r>
    </w:p>
    <w:p>
      <w:r>
        <w:t>Открытые CC BY статьи PLOS/Nature можно переводить как современные научные работы с атрибуцией. В own_translation_basis это обозначено отдельно, чтобы такой перевод не смешивался с дешифровкой древних знаков.</w:t>
      </w:r>
    </w:p>
    <w:p>
      <w:pPr>
        <w:pStyle w:val="Heading1"/>
      </w:pPr>
      <w:r>
        <w:t>5. Характерные правовые тонкости</w:t>
      </w:r>
    </w:p>
    <w:p>
      <w:r>
        <w:rPr>
          <w:b/>
          <w:color w:val="0F4C5C"/>
        </w:rPr>
        <w:t xml:space="preserve">Древний объект ≠ свободная современная фотография. </w:t>
      </w:r>
      <w:r>
        <w:t>Печать III тыс. до н. э. может быть вне авторского права, но CISI photograph, музейный снимок, tracing, sign font и database normalization имеют самостоятельные права.</w:t>
      </w:r>
    </w:p>
    <w:p>
      <w:r>
        <w:rPr>
          <w:b/>
          <w:color w:val="0F4C5C"/>
        </w:rPr>
        <w:t xml:space="preserve">Download ≠ republication. </w:t>
      </w:r>
      <w:r>
        <w:t>Tamil Digital Library, ResearchGate, arXiv и Harappa могут законно давать файл для чтения, не предоставляя ToS право зеркалировать его.</w:t>
      </w:r>
    </w:p>
    <w:p>
      <w:r>
        <w:rPr>
          <w:b/>
          <w:color w:val="0F4C5C"/>
        </w:rPr>
        <w:t xml:space="preserve">Open code ≠ open corpus. </w:t>
      </w:r>
      <w:r>
        <w:t>Apache-2.0 OCR code не лицензирует Harappa/RMRL/CISI images. MIT repository license не устраняет provenance третьих лиц в JSON.</w:t>
      </w:r>
    </w:p>
    <w:p>
      <w:r>
        <w:rPr>
          <w:b/>
          <w:color w:val="0F4C5C"/>
        </w:rPr>
        <w:t xml:space="preserve">Одна страница может иметь четыре правовых слоя. </w:t>
      </w:r>
      <w:r>
        <w:t>Nature article text CC BY; отдельная CISI photograph used by permission; underlying ancient seal; platform terms. Реестр описывает их раздельно.</w:t>
      </w:r>
    </w:p>
    <w:p>
      <w:r>
        <w:rPr>
          <w:b/>
          <w:color w:val="0F4C5C"/>
        </w:rPr>
        <w:t xml:space="preserve">ShareAlike действует на адаптацию. </w:t>
      </w:r>
      <w:r>
        <w:t>Dholavira SVG и Commons museum photo можно перерабатывать, но производный материал должен сохранять совместимый SA-режим и атрибуцию.</w:t>
      </w:r>
    </w:p>
    <w:p>
      <w:r>
        <w:rPr>
          <w:b/>
          <w:color w:val="0F4C5C"/>
        </w:rPr>
        <w:t xml:space="preserve">Institutional educational permission — не CC. </w:t>
      </w:r>
      <w:r>
        <w:t>Penn, Louvre и CDLI дают полезные некоммерческие/научные разрешения, однако область действий уже и зависит от условий учреждения.</w:t>
      </w:r>
    </w:p>
    <w:p>
      <w:r>
        <w:rPr>
          <w:b/>
          <w:color w:val="0F4C5C"/>
        </w:rPr>
        <w:t xml:space="preserve">Harappa имеет специальное AI/ML ограничение. </w:t>
      </w:r>
      <w:r>
        <w:t>Даже некоммерческий ToS не должен использовать материалы сайта для training/tuning или включать их в training data без письменного разрешения.</w:t>
      </w:r>
    </w:p>
    <w:p>
      <w:r>
        <w:rPr>
          <w:b/>
          <w:color w:val="0F4C5C"/>
        </w:rPr>
        <w:t xml:space="preserve">Out_of_copyright — доказательство, но не глобальная гарантия. </w:t>
      </w:r>
      <w:r>
        <w:t>DLI/Internet Archive metadata поддерживает исследовательский вывод, но публикация 1931–1940 гг. может иметь разный статус по странам и компонентам.</w:t>
      </w:r>
    </w:p>
    <w:p>
      <w:r>
        <w:rPr>
          <w:b/>
          <w:color w:val="0F4C5C"/>
        </w:rPr>
        <w:t xml:space="preserve">Public Domain Mark — не лицензия. </w:t>
      </w:r>
      <w:r>
        <w:t>Она фиксирует заявленный статус объекта; для международного распространения всё равно полезно хранить rationale и jurisdiction.</w:t>
      </w:r>
    </w:p>
    <w:p>
      <w:r>
        <w:rPr>
          <w:b/>
          <w:color w:val="0F4C5C"/>
        </w:rPr>
        <w:t xml:space="preserve">Права на метаданные ≠ права на images. </w:t>
      </w:r>
      <w:r>
        <w:t>Penn CSV CC BY, Louvre Etalab JSON, Met bulk CC0 и музейные photographs должны храниться как отдельные scope.</w:t>
      </w:r>
    </w:p>
    <w:p>
      <w:pPr>
        <w:pStyle w:val="Heading1"/>
      </w:pPr>
      <w:r>
        <w:t>6. Пробелы и дальнейший поиск</w:t>
      </w:r>
    </w:p>
    <w:p>
      <w:r>
        <w:t>Реестр завершает доступное ядро, но несколько важных объектных классов пока представлены через статьи и агрегаторы, а не через права-ясные item-level записи. Они вынесены на лист gaps, чтобы Codex не принял молчание за отсутствие материала.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Приоритетный пробел</w:t>
            </w:r>
          </w:p>
        </w:tc>
        <w:tc>
          <w:tcPr>
            <w:tcW w:type="dxa" w:w="3969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Почему важен</w:t>
            </w:r>
          </w:p>
        </w:tc>
        <w:tc>
          <w:tcPr>
            <w:tcW w:type="dxa" w:w="3118"/>
            <w:shd w:fill="0F4C5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Следующий точный ход</w:t>
            </w:r>
          </w:p>
        </w:tc>
      </w:tr>
      <w:tr>
        <w:tc>
          <w:tcPr>
            <w:tcW w:type="dxa" w:w="24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Original Dholavira signboard elements / findspot record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UNESCO and open schematics were found, but no stable item-level ASI museum/catalog page with photographs and component-level rights was located.</w:t>
            </w:r>
          </w:p>
        </w:tc>
        <w:tc>
          <w:tcPr>
            <w:tcW w:type="dxa" w:w="311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site:asi.nic.in Dholavira signboard ten signs museum inventory photograph</w:t>
            </w:r>
          </w:p>
        </w:tc>
      </w:tr>
      <w:tr>
        <w:tc>
          <w:tcPr>
            <w:tcW w:type="dxa" w:w="249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Harappa miniature tablets discovered in 1997</w:t>
            </w:r>
          </w:p>
        </w:tc>
        <w:tc>
          <w:tcPr>
            <w:tcW w:type="dxa" w:w="3969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Rao and Harappa articles discuss them, but no open, stable item-level museum or excavation database entries with catalog numbers and rights were found.</w:t>
            </w:r>
          </w:p>
        </w:tc>
        <w:tc>
          <w:tcPr>
            <w:tcW w:type="dxa" w:w="3118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"miniature tablets" Harappa 1997 Meadow Kenoyer inventory number</w:t>
            </w:r>
          </w:p>
        </w:tc>
      </w:tr>
      <w:tr>
        <w:tc>
          <w:tcPr>
            <w:tcW w:type="dxa" w:w="24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Clay sealings with reverse-side package/locking impressions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Examples appear in articles and photographic corpora, but no consolidated item-level legal access set was verified.</w:t>
            </w:r>
          </w:p>
        </w:tc>
        <w:tc>
          <w:tcPr>
            <w:tcW w:type="dxa" w:w="311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Indus clay sealing reverse impression museum collection inventory</w:t>
            </w:r>
          </w:p>
        </w:tc>
      </w:tr>
      <w:tr>
        <w:tc>
          <w:tcPr>
            <w:tcW w:type="dxa" w:w="249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Inscribed pottery and pottery graffiti object records</w:t>
            </w:r>
          </w:p>
        </w:tc>
        <w:tc>
          <w:tcPr>
            <w:tcW w:type="dxa" w:w="3969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Harappa visual/article access exists, but a rights-clear object-level dataset or museum series was not identified.</w:t>
            </w:r>
          </w:p>
        </w:tc>
        <w:tc>
          <w:tcPr>
            <w:tcW w:type="dxa" w:w="3118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Harappa inscribed pottery sherd museum object Indus script open access</w:t>
            </w:r>
          </w:p>
        </w:tc>
      </w:tr>
      <w:tr>
        <w:tc>
          <w:tcPr>
            <w:tcW w:type="dxa" w:w="24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Copper/bronze objects bearing Indus signs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The DR identifies this medium, but no sufficiently authoritative item-level digital entry with stable rights evidence was found in the completed pass.</w:t>
            </w:r>
          </w:p>
        </w:tc>
        <w:tc>
          <w:tcPr>
            <w:tcW w:type="dxa" w:w="311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"Indus script" copper tablet museum accession</w:t>
            </w:r>
          </w:p>
        </w:tc>
      </w:tr>
      <w:tr>
        <w:tc>
          <w:tcPr>
            <w:tcW w:type="dxa" w:w="249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Complete authorized digital CISI corpus</w:t>
            </w:r>
          </w:p>
        </w:tc>
        <w:tc>
          <w:tcPr>
            <w:tcW w:type="dxa" w:w="3969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Official purchase and metadata routes exist; no lawful full digital facsimile or licensed dataset covering all published volumes was found.</w:t>
            </w:r>
          </w:p>
        </w:tc>
        <w:tc>
          <w:tcPr>
            <w:tcW w:type="dxa" w:w="3118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"Corpus of Indus Seals and Inscriptions" digital edition license</w:t>
            </w:r>
          </w:p>
        </w:tc>
      </w:tr>
      <w:tr>
        <w:tc>
          <w:tcPr>
            <w:tcW w:type="dxa" w:w="24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ICIT bulk export/API and explicit data license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The current portal offers permission-based access, but no public bulk-download endpoint or component license was located.</w:t>
            </w:r>
          </w:p>
        </w:tc>
        <w:tc>
          <w:tcPr>
            <w:tcW w:type="dxa" w:w="311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site:epigraphica.de ICIT license API download Indus corpus</w:t>
            </w:r>
          </w:p>
        </w:tc>
      </w:tr>
      <w:tr>
        <w:tc>
          <w:tcPr>
            <w:tcW w:type="dxa" w:w="249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IndusScript.in item-level provenance and reuse terms</w:t>
            </w:r>
          </w:p>
        </w:tc>
        <w:tc>
          <w:tcPr>
            <w:tcW w:type="dxa" w:w="3969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The web app is useful and officially linked by RMRL, but dataset, glyph, image and API rights are not separated.</w:t>
            </w:r>
          </w:p>
        </w:tc>
        <w:tc>
          <w:tcPr>
            <w:tcW w:type="dxa" w:w="3118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site:indusscript.in terms license data download</w:t>
            </w:r>
          </w:p>
        </w:tc>
      </w:tr>
      <w:tr>
        <w:tc>
          <w:tcPr>
            <w:tcW w:type="dxa" w:w="24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tngraffiti.in dataset license and temporal scope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The official collaboration is confirmed, but a clear license and authoritative statement of which periods/objects are included were not found.</w:t>
            </w:r>
          </w:p>
        </w:tc>
        <w:tc>
          <w:tcPr>
            <w:tcW w:type="dxa" w:w="311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site:tngraffiti.in license terms dataset Tamil Nadu graffiti</w:t>
            </w:r>
          </w:p>
        </w:tc>
      </w:tr>
      <w:tr>
        <w:tc>
          <w:tcPr>
            <w:tcW w:type="dxa" w:w="2494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Pakistan museum item-level portals for Mohenjo-daro/Harappa seals</w:t>
            </w:r>
          </w:p>
        </w:tc>
        <w:tc>
          <w:tcPr>
            <w:tcW w:type="dxa" w:w="3969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Open museum records from Met/Cleveland were found, but stable Pakistani national/provincial museum item pages with downloadable images and rights were not identified.</w:t>
            </w:r>
          </w:p>
        </w:tc>
        <w:tc>
          <w:tcPr>
            <w:tcW w:type="dxa" w:w="3118"/>
            <w:shd w:fill="F8FAFC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5"/>
              </w:rPr>
              <w:t>site:gov.pk museum Mohenjo-daro seal collection object</w:t>
            </w:r>
          </w:p>
        </w:tc>
      </w:tr>
    </w:tbl>
    <w:p>
      <w:pPr>
        <w:spacing w:after="0"/>
      </w:pPr>
    </w:p>
    <w:p>
      <w:pPr>
        <w:pStyle w:val="Heading2"/>
      </w:pPr>
      <w:r>
        <w:t>Targeted follow-up</w:t>
      </w:r>
    </w:p>
    <w:p>
      <w:pPr>
        <w:pStyle w:val="ListNumber"/>
        <w:spacing w:after="50"/>
      </w:pPr>
      <w:r>
        <w:t>Запросить у Archaeological Survey of India или Dholavira site museum item-level запись десяти signboard elements, photographs и reproduction policy.</w:t>
      </w:r>
    </w:p>
    <w:p>
      <w:pPr>
        <w:pStyle w:val="ListNumber"/>
        <w:spacing w:after="50"/>
      </w:pPr>
      <w:r>
        <w:t>Связаться с Bryan K. Wells / Andreas Fuls по ICIT: access account, bulk export, API, permitted local indexing, public embeddings и citation requirements.</w:t>
      </w:r>
    </w:p>
    <w:p>
      <w:pPr>
        <w:pStyle w:val="ListNumber"/>
        <w:spacing w:after="50"/>
      </w:pPr>
      <w:r>
        <w:t>Запросить у RMRL component map для IndusScript.in: provenance каждого sign image, database license, permitted scraping и scholarly reuse.</w:t>
      </w:r>
    </w:p>
    <w:p>
      <w:pPr>
        <w:pStyle w:val="ListNumber"/>
        <w:spacing w:after="50"/>
      </w:pPr>
      <w:r>
        <w:t>Провести отдельный Pakistan museum pass по National Museum Karachi, Mohenjo-daro Museum и Harappa Museum с accession-number queries.</w:t>
      </w:r>
    </w:p>
    <w:p>
      <w:pPr>
        <w:pStyle w:val="ListNumber"/>
        <w:spacing w:after="50"/>
      </w:pPr>
      <w:r>
        <w:t>Собрать inventory-number list miniature tablets, clay sealings, inscribed pottery и copper/bronze objects из CISI/Harappa reports, затем искать каждый номер отдельно.</w:t>
      </w:r>
    </w:p>
    <w:p>
      <w:pPr>
        <w:pStyle w:val="ListNumber"/>
        <w:spacing w:after="50"/>
      </w:pPr>
      <w:r>
        <w:t>Проверить полные права и отдельные файлы Dholavira nomination dossier, maps и media, не распространяя CC BY-SA description на весь пакет.</w:t>
      </w:r>
    </w:p>
    <w:p>
      <w:pPr>
        <w:pStyle w:val="ListNumber"/>
        <w:spacing w:after="50"/>
      </w:pPr>
      <w:r>
        <w:t>Найти exact code/data repository Nair 2026 и отдельно проверить лицензии synthetic baselines, ICIT-derived data и generated outputs.</w:t>
      </w:r>
    </w:p>
    <w:p>
      <w:pPr>
        <w:pStyle w:val="ListNumber"/>
        <w:spacing w:after="50"/>
      </w:pPr>
      <w:r>
        <w:t>Провести юрисдикционный review Marshall/Mackay/Vats/Hunter перед публичным зеркалированием; до него использовать только локальный OCR/index.</w:t>
      </w:r>
    </w:p>
    <w:p>
      <w:pPr>
        <w:pStyle w:val="ListNumber"/>
        <w:spacing w:after="50"/>
      </w:pPr>
      <w:r>
        <w:t>Выделить отдельный Russian-language scholarly navigation pass, исключая страницы, объявляющие сенсационную дешифровку без проверяемого корпуса.</w:t>
      </w:r>
    </w:p>
    <w:p>
      <w:r>
        <w:t>За пределами периода дополнительно обнаружены South Indian megalithic/graffiti comparisons и современные computational baselines. Они включены как boundary/commentary, но не повышены до continuation. Связь с Brahmi и более поздней письменностью по-прежнему требует доказательств, которых в найденном корпусе нет.</w:t>
      </w:r>
    </w:p>
    <w:p>
      <w:pPr>
        <w:pStyle w:val="Heading1"/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Покрытие корпуса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Хорошее для центральных корпусов, основных медиумов, открытых музейных объектов и современной дискуссии; неполное на уровне item-level объектов в Индии и Пакистане.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Оригиналы / свидетели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Избирательно сильные: Met и Cleveland дают права-ясные facsimile; British Museum и Harappa информативны, но reuse ограничен; sealings/tablets/pottery требуют дальнейшей инвентаризации.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Переводы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Для индских надписей отсутствуют по содержательной причине: общепринятой дешифровки нет. Переводимы только современные исследования и читаемые внешние testimonia.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Наиболее свободный слой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CC0 museum images/data; CC BY articles; CC BY/SA Commons/UNESCO text; Penn metadata CC BY; Louvre record data Etalab; selected open code.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Главные ограничения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Современные photographic corpora CISI, unclear database licenses, third-party images, Harappa AI/ML prohibition, jurisdiction of 1931–1940 editions.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Статус A09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Оставить C. Расширение доступа не создаёт читаемого философского корпуса.</w:t>
            </w:r>
          </w:p>
        </w:tc>
      </w:tr>
      <w:tr>
        <w:tc>
          <w:tcPr>
            <w:tcW w:type="dxa" w:w="2494"/>
            <w:shd w:fill="E8F3F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sz w:val="17"/>
              </w:rPr>
              <w:t>Готовность к Codex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sz w:val="17"/>
              </w:rPr>
              <w:t>Да. XLSX имеет нормализованные поля, unique record_id, item-level URLs, rights_scope, evidence URLs, confidence и gaps; пригоден для последующей дедупликации и графового слоя.</w:t>
            </w:r>
          </w:p>
        </w:tc>
      </w:tr>
    </w:tbl>
    <w:p>
      <w:pPr>
        <w:spacing w:after="0"/>
      </w:pPr>
    </w:p>
    <w:p>
      <w:pPr>
        <w:pStyle w:val="Callout"/>
        <w:shd w:fill="ECFDF5"/>
        <w:contextualSpacing/>
      </w:pPr>
      <w:r>
        <w:t>Вердикт: результат пригоден для передачи Codex как исследовательский пакет. Он даёт широкую законную карту — от свободных CC0-печатей и CC BY статей до purchase-only CISI и permission-based ICIT — и при этом не пересекает главный эпистемический предел A09: наличие знаковой системы не превращается в доказанное чтение или философскую традицию.</w:t>
      </w:r>
    </w:p>
    <w:p>
      <w:pPr>
        <w:pStyle w:val="Heading2"/>
      </w:pPr>
      <w:r>
        <w:t>Ключевые evidence pages</w:t>
      </w:r>
    </w:p>
    <w:p>
      <w:pPr>
        <w:pStyle w:val="SmallNote"/>
        <w:spacing w:after="0"/>
      </w:pPr>
      <w:r>
        <w:t xml:space="preserve">• </w:t>
      </w:r>
      <w:hyperlink r:id="rId11">
        <w:r>
          <w:rPr>
            <w:color w:val="1D4ED8"/>
            <w:u w:val="single"/>
            <w:rFonts w:ascii="Liberation Sans" w:hAnsi="Liberation Sans"/>
          </w:rPr>
          <w:t>Tamil Digital Library / Mahadevan</w:t>
        </w:r>
      </w:hyperlink>
    </w:p>
    <w:p>
      <w:pPr>
        <w:pStyle w:val="SmallNote"/>
        <w:spacing w:after="0"/>
      </w:pPr>
      <w:r>
        <w:t xml:space="preserve">• </w:t>
      </w:r>
      <w:hyperlink r:id="rId28">
        <w:r>
          <w:rPr>
            <w:color w:val="1D4ED8"/>
            <w:u w:val="single"/>
            <w:rFonts w:ascii="Liberation Sans" w:hAnsi="Liberation Sans"/>
          </w:rPr>
          <w:t>RMRL Indus Research Centre</w:t>
        </w:r>
      </w:hyperlink>
    </w:p>
    <w:p>
      <w:pPr>
        <w:pStyle w:val="SmallNote"/>
        <w:spacing w:after="0"/>
      </w:pPr>
      <w:r>
        <w:t xml:space="preserve">• </w:t>
      </w:r>
      <w:hyperlink r:id="rId13">
        <w:r>
          <w:rPr>
            <w:color w:val="1D4ED8"/>
            <w:u w:val="single"/>
            <w:rFonts w:ascii="Liberation Sans" w:hAnsi="Liberation Sans"/>
          </w:rPr>
          <w:t>ICIT</w:t>
        </w:r>
      </w:hyperlink>
    </w:p>
    <w:p>
      <w:pPr>
        <w:pStyle w:val="SmallNote"/>
        <w:spacing w:after="0"/>
      </w:pPr>
      <w:r>
        <w:t xml:space="preserve">• </w:t>
      </w:r>
      <w:hyperlink r:id="rId29">
        <w:r>
          <w:rPr>
            <w:color w:val="1D4ED8"/>
            <w:u w:val="single"/>
            <w:rFonts w:ascii="Liberation Sans" w:hAnsi="Liberation Sans"/>
          </w:rPr>
          <w:t>Met Open Access</w:t>
        </w:r>
      </w:hyperlink>
    </w:p>
    <w:p>
      <w:pPr>
        <w:pStyle w:val="SmallNote"/>
        <w:spacing w:after="0"/>
      </w:pPr>
      <w:r>
        <w:t xml:space="preserve">• </w:t>
      </w:r>
      <w:hyperlink r:id="rId30">
        <w:r>
          <w:rPr>
            <w:color w:val="1D4ED8"/>
            <w:u w:val="single"/>
            <w:rFonts w:ascii="Liberation Sans" w:hAnsi="Liberation Sans"/>
          </w:rPr>
          <w:t>Cleveland Open Access</w:t>
        </w:r>
      </w:hyperlink>
    </w:p>
    <w:p>
      <w:pPr>
        <w:pStyle w:val="SmallNote"/>
        <w:spacing w:after="0"/>
      </w:pPr>
      <w:r>
        <w:t xml:space="preserve">• </w:t>
      </w:r>
      <w:hyperlink r:id="rId31">
        <w:r>
          <w:rPr>
            <w:color w:val="1D4ED8"/>
            <w:u w:val="single"/>
            <w:rFonts w:ascii="Liberation Sans" w:hAnsi="Liberation Sans"/>
          </w:rPr>
          <w:t>Penn object data</w:t>
        </w:r>
      </w:hyperlink>
    </w:p>
    <w:p>
      <w:pPr>
        <w:pStyle w:val="SmallNote"/>
        <w:spacing w:after="0"/>
      </w:pPr>
      <w:r>
        <w:t xml:space="preserve">• </w:t>
      </w:r>
      <w:hyperlink r:id="rId32">
        <w:r>
          <w:rPr>
            <w:color w:val="1D4ED8"/>
            <w:u w:val="single"/>
            <w:rFonts w:ascii="Liberation Sans" w:hAnsi="Liberation Sans"/>
          </w:rPr>
          <w:t>Harappa terms</w:t>
        </w:r>
      </w:hyperlink>
    </w:p>
    <w:p>
      <w:pPr>
        <w:pStyle w:val="SmallNote"/>
        <w:spacing w:after="0"/>
      </w:pPr>
      <w:r>
        <w:t xml:space="preserve">• </w:t>
      </w:r>
      <w:hyperlink r:id="rId20">
        <w:r>
          <w:rPr>
            <w:color w:val="1D4ED8"/>
            <w:u w:val="single"/>
            <w:rFonts w:ascii="Liberation Sans" w:hAnsi="Liberation Sans"/>
          </w:rPr>
          <w:t>UNESCO Dholavira</w:t>
        </w:r>
      </w:hyperlink>
    </w:p>
    <w:p>
      <w:pPr>
        <w:pStyle w:val="SmallNote"/>
        <w:spacing w:after="0"/>
      </w:pPr>
      <w:r>
        <w:t xml:space="preserve">• </w:t>
      </w:r>
      <w:hyperlink r:id="rId33">
        <w:r>
          <w:rPr>
            <w:color w:val="1D4ED8"/>
            <w:u w:val="single"/>
            <w:rFonts w:ascii="Liberation Sans" w:hAnsi="Liberation Sans"/>
          </w:rPr>
          <w:t>Louvre terms</w:t>
        </w:r>
      </w:hyperlink>
    </w:p>
    <w:p>
      <w:pPr>
        <w:pStyle w:val="SmallNote"/>
        <w:spacing w:after="0"/>
      </w:pPr>
      <w:r>
        <w:t xml:space="preserve">• </w:t>
      </w:r>
      <w:hyperlink r:id="rId34">
        <w:r>
          <w:rPr>
            <w:color w:val="1D4ED8"/>
            <w:u w:val="single"/>
            <w:rFonts w:ascii="Liberation Sans" w:hAnsi="Liberation Sans"/>
          </w:rPr>
          <w:t>CDLI terms</w:t>
        </w:r>
      </w:hyperlink>
    </w:p>
    <w:p>
      <w:pPr>
        <w:pStyle w:val="SmallNote"/>
        <w:spacing w:after="0"/>
      </w:pPr>
      <w:r>
        <w:t xml:space="preserve">• </w:t>
      </w:r>
      <w:hyperlink r:id="rId35">
        <w:r>
          <w:rPr>
            <w:color w:val="1D4ED8"/>
            <w:u w:val="single"/>
            <w:rFonts w:ascii="Liberation Sans" w:hAnsi="Liberation Sans"/>
          </w:rPr>
          <w:t>PLOS n-grams</w:t>
        </w:r>
      </w:hyperlink>
    </w:p>
    <w:p>
      <w:pPr>
        <w:pStyle w:val="SmallNote"/>
        <w:spacing w:after="0"/>
      </w:pPr>
      <w:r>
        <w:t xml:space="preserve">• </w:t>
      </w:r>
      <w:hyperlink r:id="rId36">
        <w:r>
          <w:rPr>
            <w:color w:val="1D4ED8"/>
            <w:u w:val="single"/>
            <w:rFonts w:ascii="Liberation Sans" w:hAnsi="Liberation Sans"/>
          </w:rPr>
          <w:t>Nature 2023 article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2606D"/>
        <w:sz w:val="15"/>
      </w:rPr>
      <w:t xml:space="preserve">A09 • проверено 2026-09-03 • 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2606D"/>
        <w:sz w:val="15"/>
      </w:rPr>
      <w:t>ToS Corpus &amp; Rights Registry • A09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 w:eastAsia="Liberation San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4C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4C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F4C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ToS">
    <w:name w:val="Subtitle ToS"/>
    <w:pPr>
      <w:spacing w:after="140"/>
    </w:pPr>
    <w:rPr>
      <w:rFonts w:ascii="Liberation Sans" w:hAnsi="Liberation Sans" w:eastAsia="Liberation Sans"/>
      <w:color w:val="52606D"/>
      <w:sz w:val="24"/>
    </w:rPr>
  </w:style>
  <w:style w:type="paragraph" w:customStyle="1" w:styleId="SmallNote">
    <w:name w:val="Small Note"/>
    <w:pPr>
      <w:spacing w:after="60" w:line="240" w:lineRule="auto"/>
    </w:pPr>
    <w:rPr>
      <w:rFonts w:ascii="Liberation Sans" w:hAnsi="Liberation Sans" w:eastAsia="Liberation Sans"/>
      <w:color w:val="52606D"/>
      <w:sz w:val="16"/>
    </w:rPr>
  </w:style>
  <w:style w:type="paragraph" w:customStyle="1" w:styleId="Callout">
    <w:name w:val="Callout"/>
    <w:pPr>
      <w:spacing w:before="100" w:after="120"/>
      <w:ind w:left="227" w:right="227"/>
    </w:pPr>
    <w:rPr>
      <w:rFonts w:ascii="Liberation Sans" w:hAnsi="Liberation Sans" w:eastAsia="Liberation Sans"/>
      <w:b/>
      <w:color w:val="0F4C5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amildigitallibrary.in/Articles/%E0%AE%A8%E0%AF%82%E0%AE%B2%E0%AF%8D-13854-The%20Indus%20script" TargetMode="External"/><Relationship Id="rId12" Type="http://schemas.openxmlformats.org/officeDocument/2006/relationships/hyperlink" Target="https://tiedekirja.fi/en/search?query=Corpus%20of%20Indus%20Seals%20and%20Inscriptions" TargetMode="External"/><Relationship Id="rId13" Type="http://schemas.openxmlformats.org/officeDocument/2006/relationships/hyperlink" Target="https://www.epigraphica.de/indus/menueindus.htm" TargetMode="External"/><Relationship Id="rId14" Type="http://schemas.openxmlformats.org/officeDocument/2006/relationships/hyperlink" Target="https://indusscript.in/" TargetMode="External"/><Relationship Id="rId15" Type="http://schemas.openxmlformats.org/officeDocument/2006/relationships/hyperlink" Target="https://www.researchgate.net/publication/373522666_Corpus_of_Indus_Inscriptions" TargetMode="External"/><Relationship Id="rId16" Type="http://schemas.openxmlformats.org/officeDocument/2006/relationships/hyperlink" Target="https://www.metmuseum.org/art/collection/search/324062" TargetMode="External"/><Relationship Id="rId17" Type="http://schemas.openxmlformats.org/officeDocument/2006/relationships/hyperlink" Target="https://www.metmuseum.org/art/collection/search/324065" TargetMode="External"/><Relationship Id="rId18" Type="http://schemas.openxmlformats.org/officeDocument/2006/relationships/hyperlink" Target="https://www.clevelandart.org/art/1973.160" TargetMode="External"/><Relationship Id="rId19" Type="http://schemas.openxmlformats.org/officeDocument/2006/relationships/hyperlink" Target="https://www.clevelandart.org/art/1973.161" TargetMode="External"/><Relationship Id="rId20" Type="http://schemas.openxmlformats.org/officeDocument/2006/relationships/hyperlink" Target="https://whc.unesco.org/en/list/1645/" TargetMode="External"/><Relationship Id="rId21" Type="http://schemas.openxmlformats.org/officeDocument/2006/relationships/hyperlink" Target="https://commons.wikimedia.org/wiki/File:Banner_at_the_North_Gate_of_Dholavira.svg" TargetMode="External"/><Relationship Id="rId22" Type="http://schemas.openxmlformats.org/officeDocument/2006/relationships/hyperlink" Target="https://www.harappa.com/slideshows/around-indus-90-slides-2" TargetMode="External"/><Relationship Id="rId23" Type="http://schemas.openxmlformats.org/officeDocument/2006/relationships/hyperlink" Target="https://www.harappa.com/content/painted-indus-script-ceramics-and-steatite-new-insights-indus-script-calligraphy-and" TargetMode="External"/><Relationship Id="rId24" Type="http://schemas.openxmlformats.org/officeDocument/2006/relationships/hyperlink" Target="https://archive.org/details/in.ernet.dli.2015.722" TargetMode="External"/><Relationship Id="rId25" Type="http://schemas.openxmlformats.org/officeDocument/2006/relationships/hyperlink" Target="https://archive.org/details/in.ernet.dli.2015.70071" TargetMode="External"/><Relationship Id="rId26" Type="http://schemas.openxmlformats.org/officeDocument/2006/relationships/hyperlink" Target="https://archive.org/details/in.gov.ignca.9842" TargetMode="External"/><Relationship Id="rId27" Type="http://schemas.openxmlformats.org/officeDocument/2006/relationships/hyperlink" Target="https://archive.org/details/in.ernet.dli.2015.283741" TargetMode="External"/><Relationship Id="rId28" Type="http://schemas.openxmlformats.org/officeDocument/2006/relationships/hyperlink" Target="https://rmrl.in/en/irc" TargetMode="External"/><Relationship Id="rId29" Type="http://schemas.openxmlformats.org/officeDocument/2006/relationships/hyperlink" Target="https://www.metmuseum.org/policies/image-resources" TargetMode="External"/><Relationship Id="rId30" Type="http://schemas.openxmlformats.org/officeDocument/2006/relationships/hyperlink" Target="https://www.clevelandart.org/open-access" TargetMode="External"/><Relationship Id="rId31" Type="http://schemas.openxmlformats.org/officeDocument/2006/relationships/hyperlink" Target="https://collections.penn.museum/collections/objects/data.php" TargetMode="External"/><Relationship Id="rId32" Type="http://schemas.openxmlformats.org/officeDocument/2006/relationships/hyperlink" Target="https://www.harappa.com/privacy-policy" TargetMode="External"/><Relationship Id="rId33" Type="http://schemas.openxmlformats.org/officeDocument/2006/relationships/hyperlink" Target="https://collections.louvre.fr/en/page/cgu" TargetMode="External"/><Relationship Id="rId34" Type="http://schemas.openxmlformats.org/officeDocument/2006/relationships/hyperlink" Target="https://cdli.earth/terms-of-use" TargetMode="External"/><Relationship Id="rId35" Type="http://schemas.openxmlformats.org/officeDocument/2006/relationships/hyperlink" Target="https://journals.plos.org/plosone/article?id=10.1371/journal.pone.0009506" TargetMode="External"/><Relationship Id="rId36" Type="http://schemas.openxmlformats.org/officeDocument/2006/relationships/hyperlink" Target="https://www.nature.com/articles/s41599-023-02320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A09</dc:title>
  <dc:subject>Индская цивилизация: корпус, доступ, права</dc:subject>
  <dc:creator>ToS / OpenAI research workflow</dc:creator>
  <cp:keywords>ToS, A09, Indus script, rights, corpus, seals, Dholavira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