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ИССЛЕДОВАТЕЛЬСКИЙ ПАКЕТ · CORPUS &amp; RIGHTS</w:t>
      </w:r>
    </w:p>
    <w:p>
      <w:pPr>
        <w:pStyle w:val="Title"/>
      </w:pPr>
      <w:r>
        <w:t>ToS Corpus &amp; Rights Registry</w:t>
      </w:r>
    </w:p>
    <w:p>
      <w:pPr>
        <w:pStyle w:val="Subtitle"/>
      </w:pPr>
      <w:r>
        <w:t>T2-14 — Суфийская метафизика</w:t>
        <w:br/>
        <w:t>и философская антропология</w:t>
      </w:r>
    </w:p>
    <w:p>
      <w:r>
        <w:t>87 маршрутов доступа · 36 записей о пробелах · статус мастер-строки A</w:t>
      </w:r>
    </w:p>
    <w:p>
      <w:r>
        <w:t>Главный результат — карта законного доступа, а не список только «свободных книг». В ней сохранены оригиналы, переводы, комментарии, рукописные карточки, открытые файлы, preview и покупки. Возможность читать отделена от возможности копировать, индексировать, переводить и распространять.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27"/>
      </w:tblGrid>
      <w:tr>
        <w:trPr>
          <w:tblHeader/>
        </w:trPr>
        <w:tc>
          <w:tcPr>
            <w:tcW w:type="dxa" w:w="4876"/>
            <w:shd w:fill="12394B"/>
          </w:tcPr>
          <w:p>
            <w:r>
              <w:rPr>
                <w:rFonts w:ascii="Carlito" w:hAnsi="Carlito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76"/>
            <w:shd w:fill="12394B"/>
          </w:tcPr>
          <w:p>
            <w:r>
              <w:rPr>
                <w:rFonts w:ascii="Carlito" w:hAnsi="Carlito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Мастер-строка</w:t>
            </w:r>
          </w:p>
        </w:tc>
        <w:tc>
          <w:tcPr>
            <w:tcW w:type="dxa" w:w="7427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Таблица II · T2-14 · запуск 14 · статус A · исходная уверенность 4/5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80"/>
            </w:pPr>
            <w:r>
              <w:rPr>
                <w:sz w:val="18"/>
              </w:rPr>
              <w:t>Исторические границы</w:t>
            </w:r>
          </w:p>
        </w:tc>
        <w:tc>
          <w:tcPr>
            <w:tcW w:type="dxa" w:w="7427"/>
            <w:vAlign w:val="top"/>
          </w:tcPr>
          <w:p>
            <w:pPr>
              <w:spacing w:after="80"/>
            </w:pPr>
            <w:r>
              <w:rPr>
                <w:sz w:val="18"/>
              </w:rPr>
              <w:t>Формирование: X–XIII вв.; письменная фиксация/передача: XI–XV вв.; канонизация/комментарий: XIII–XV вв.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Рабочее ядро DR</w:t>
            </w:r>
          </w:p>
        </w:tc>
        <w:tc>
          <w:tcPr>
            <w:tcW w:type="dxa" w:w="7427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Ибн ʿАраби, Кунави и непосредственно связанная комментарийная сеть XIII–XV вв.; операциональный горизонт до Джами, 1492.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80"/>
            </w:pPr>
            <w:r>
              <w:rPr>
                <w:sz w:val="18"/>
              </w:rPr>
              <w:t>Исходный документ</w:t>
            </w:r>
          </w:p>
        </w:tc>
        <w:tc>
          <w:tcPr>
            <w:tcW w:type="dxa" w:w="7427"/>
            <w:vAlign w:val="top"/>
          </w:tcPr>
          <w:p>
            <w:pPr>
              <w:spacing w:after="80"/>
            </w:pPr>
            <w:r>
              <w:rPr>
                <w:sz w:val="18"/>
              </w:rPr>
              <w:t>ToS Deep Research_ T2-14 — Суфийская метафизика и философская антропология(1).docx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Дата проверки</w:t>
            </w:r>
          </w:p>
        </w:tc>
        <w:tc>
          <w:tcPr>
            <w:tcW w:type="dxa" w:w="7427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4 сентября 2026 г.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80"/>
            </w:pPr>
            <w:r>
              <w:rPr>
                <w:sz w:val="18"/>
              </w:rPr>
              <w:t>Поставка</w:t>
            </w:r>
          </w:p>
        </w:tc>
        <w:tc>
          <w:tcPr>
            <w:tcW w:type="dxa" w:w="7427"/>
            <w:vAlign w:val="top"/>
          </w:tcPr>
          <w:p>
            <w:pPr>
              <w:spacing w:after="80"/>
            </w:pPr>
            <w:r>
              <w:rPr>
                <w:sz w:val="18"/>
              </w:rPr>
              <w:t>registry.xlsx: листы registry и gaps; настоящий DOCX — аналитический отчёт.</w:t>
            </w:r>
          </w:p>
        </w:tc>
      </w:tr>
    </w:tbl>
    <w:p>
      <w:r>
        <w:t>Из исходного DR взяты предмет, корпусные якоря, хронологические слои и направления передачи. Конкретные цифровые входы, редакции, переводчики, форматы и права проверялись заново на сайтах держателей, издателей и исследовательских проектов. ID, статус и мастер-хронология не изменены. Инструкции о графах, подузлах и будущей работе Codex внутри DR не выполнялись.</w:t>
      </w:r>
    </w:p>
    <w:p>
      <w:r>
        <w:t>Поиск проводился на русском, английском, арабском, персидском, турецком, французском и немецком; при расширении обнаружен существенный итальянский переводной слой в испаноязычной инфраструктуре журнала El Azufre Rojo. Использовались оригинальные названия, варианты транслитерации, номера RG, шифры рукописей, ISBN, DOI и устойчивые идентификаторы библиотек.</w:t>
      </w:r>
    </w:p>
    <w:p>
      <w:r>
        <w:t>Для доступа приоритет получили MIAS/MAP, университетские библиотеки NYU–Columbia–Princeton, официальные издатели Anqa, Paulist, Beshara, Litera, Pir Press и университетские журналы. Для идентификации — каталоги, научные издания и исследования конкретных текстов; для прав — item-level заявления, документация OpenITI, Tanzil и уведомления внутри PDF. Internet Archive включён не по одному факту наличия файла, а с институциональным происхождением старой печати. Wikisource использован как конкретный текстовый объект, не как Wikipedia. [R001–R002; R011–R017; R033–R041; R043; R068; R073–R085]</w:t>
      </w:r>
    </w:p>
    <w:p>
      <w:r>
        <w:t>В registry нет объектов, чья установленность опирается только на Wikipedia или анонимный пересказ. Неподтверждённые каталожные и поисковые кандидаты оставлены в gaps. Статус проверки различает открытый полный PDF, открытую карточку, опубликованную кнопку скачивания и неуспешную загрузку. Наличие карточки с PDF не обозначает, что все страницы файла уже получены и сверены.</w:t>
      </w:r>
    </w:p>
    <w:p>
      <w:r>
        <w:t>Обозначения R001–R087 в отчёте — сокращённые record_id T2-14-R001–T2-14-R087. Полные адреса доступа, доказательства прав, границы применимости и технические оговорки находятся в соответствующих строках XLSX. Это позволяет не дублировать 87 развёрнутых карточек в отчёте.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Что извлечено из DR</w:t>
      </w:r>
    </w:p>
    <w:p>
      <w:r>
        <w:t>Центральная ось — al-Futūḥāt al-Makkiyya и Fuṣūṣ al-ḥikam. Рядом стоят авторские Fihrist и Ijāza, поэтические Dīwān и Tarjumān al-ashwāq; корпус Кунави — Miftāḥ al-ghayb, al-Nuṣūṣ, Iʿjāz al-bayān и переписка с Ṭūsī; комментарии Джанди, Кашани, Кайсари, Хайдара Амули и Джами. Отдельно сохранена линия Фаргани, комментирующего поэму Ибн ал-Фарида. Для каждого из этих якорей есть конкретный доступ либо явная запись о недостающем первичном входе в gaps.</w:t>
      </w:r>
    </w:p>
    <w:p>
      <w:r>
        <w:t>Покрытие неравномерно. Futūḥāt получает полный четырёхтомный печатный комплект 1911 г., машиночитаемый текст и несколько переводных маршрутов. Fuṣūṣ получает арабский цифровой текст, полный русский перевод, современный английский перевод, комментарии и печатное факсимиле раннего свидетеля. Для Кунави удалось точнее локализовать рукописи, чем найти полные свободные оригиналы: каталожные записи и переводы отдельных разделов не выданы за полные сочинения. [R002; R010–R012; R020–R028; R047; R059–R065; R071–R074]</w:t>
      </w:r>
    </w:p>
    <w:p>
      <w:pPr>
        <w:pStyle w:val="Heading2"/>
      </w:pPr>
      <w:r>
        <w:t>Что добавлено живым поиском</w:t>
      </w:r>
    </w:p>
    <w:p>
      <w:r>
        <w:t>Авторский корпус расширен конкретными трактатами: al-Jalāl wa-l-jamāl, al-Fanāʾ fī l-mushāhada, Adab al-murīd, al-Mubashshirāt, Kitāb al-Isrāʾ, Kashf al-maʿnā, Ḥilyat al-abdāl, Mishkāt al-anwār, Kitāb al-Isfār, Mashāhid, al-Ittiḥād al-kawnī, Nasab al-khirqa, ʿAnqāʾ mughrib, Inshāʾ al-dawāʾir, Kitāb al-yaqīn, Kitāb al-ajwiba al-ʿarabiyya, Kitāb al-Ḥaqq и Kitāb al-Jalāla. Это не тематические параллели: каждый маршрут ведёт к названному авторскому произведению или его явно ограниченному переводу. [R003–R009; R014; R033–R041; R048–R049; R075–R080; R086]</w:t>
      </w:r>
    </w:p>
    <w:p>
      <w:r>
        <w:t>Внутри ближайшего круга добавлены al-Fukūk, завещание и комментарий к хадису №21 Кунави; Nafḥat al-rūḥ Джанди; Lamaʿāt ʿИраки; Lawāʾiḥ Джами; Qāb qawsayn и al-Insān al-kāmil Джили; комментарий Sitt al-ʿAjam к Mashāhid. Kitāb al-Inbāh Бадра ал-Хабаши и записи Ibn Sawdakīn учтены как свидетельства передачи, а не безусловные авторские сочинения Ибн ʿАраби. [R007–R008; R023; R032; R050–R052; R058; R063; R066–R067; R081–R082]</w:t>
      </w:r>
    </w:p>
    <w:p>
      <w:pPr>
        <w:pStyle w:val="Heading2"/>
      </w:pPr>
      <w:r>
        <w:t>Проход назад: реальные предшественники</w:t>
      </w:r>
    </w:p>
    <w:p>
      <w:r>
        <w:t>Коран включён как структурный источник герменевтики, а не как случайный общий религиозный фон. Ранняя теория святости ал-Хакима ат-Тирмизи связана с вопросами khatm и walāya, к которым обращается акбарийский корпус. Risāla Кушайри релевантна конкретному устройству суфийских разделов Futūḥāt и упоминаниям чтения в Rūḥ al-quds. Материал Ibn Masarra включён через исследование первичных свидетельств с арабским приложением и рецепцией у Ибн ʿАраби. При этом ранние тексты не превращены в реконструированную задним числом единую школу. [R043–R046]</w:t>
      </w:r>
    </w:p>
    <w:p>
      <w:r>
        <w:t>Ibn Qasī и Khalʿ al-naʿlayn оставлены как важный незавершённый маршрут к непосредственно комментируемому предшественнику. Для Sirr al-asrār, ал-Ниффари, ал-Тустари и Qūt al-qulūb сформулирована более узкая задача: сначала подтвердить конкретные цитаты и текстовые связи, затем добавлять нужные произведения. Их общая принадлежность суфизму сама по себе не послужила основанием для расширения registry.</w:t>
      </w:r>
    </w:p>
    <w:p>
      <w:pPr>
        <w:pStyle w:val="Heading2"/>
      </w:pPr>
      <w:r>
        <w:t>Проход вперёд: комментарии и сохранение</w:t>
      </w:r>
    </w:p>
    <w:p>
      <w:r>
        <w:t>За пределами XV века включены Lubb al-lubb Буснави (1623), его молитвенный и поэтический комментарийный материал, османский Miṣbāḥ al-asrār Анкарави, комментарий Бурсеви в английском переводе и фетва Ибн Камаля об Ибн ʿАраби. Их связь предметна: комментируемый текст, акбарийский понятийный аппарат либо прямо названный адресат правовой рецепции. В старом издании Кашани 1903 г. отдельно распознаны нижние постраничные выдержки из комментария Бали-эфенди XVI века: они не объявлены полным самостоятельным комментарием Бали. [R042; R053–R054; R061–R062; R085; R087]</w:t>
      </w:r>
    </w:p>
    <w:p>
      <w:r>
        <w:t>Могольская линия представлена al-Taswiya Мухибб Аллаха и предисловием Абу-л-Фазла к Razmnāma 1587 г. Для первого подтверждена авторская публикационная запись исследования-перевода, но полный файл не получен. Для второго доступны именно переводы выдержек в статье Pye, с прямой связью с taḥqīq; статья под CC BY 4.0 не делает свободным всё персидское предисловие или весь Razmnāma. [R055; R068]</w:t>
      </w:r>
    </w:p>
    <w:p>
      <w:r>
        <w:t>Релевантность распределена между core, same_corpus_or_tradition, antecedent, continuation, commentary_or_reception, transmission_or_preservation, infrastructure и secondary_navigation. Отдельные строки supporting или boundary не создавались ради заполнения всех возможных классов: пограничность фиксируется там, где она действительно нужна, в notes и gaps. Физические свидетели и каталожные карточки не смешаны с цифровым полным текстом.</w:t>
      </w:r>
    </w:p>
    <w:p>
      <w:pPr>
        <w:pStyle w:val="Heading2"/>
      </w:pPr>
      <w:r>
        <w:t>Количественный итог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17"/>
      </w:tblGrid>
      <w:tr>
        <w:trPr>
          <w:tblHeader/>
        </w:trPr>
        <w:tc>
          <w:tcPr>
            <w:tcW w:type="dxa" w:w="4876"/>
            <w:shd w:fill="12394B"/>
          </w:tcPr>
          <w:p>
            <w:r>
              <w:rPr>
                <w:rFonts w:ascii="Carlito" w:hAnsi="Carlito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876"/>
            <w:shd w:fill="12394B"/>
          </w:tcPr>
          <w:p>
            <w:r>
              <w:rPr>
                <w:rFonts w:ascii="Carlito" w:hAnsi="Carlito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Практически отличимые маршруты</w:t>
            </w:r>
          </w:p>
        </w:tc>
        <w:tc>
          <w:tcPr>
            <w:tcW w:type="dxa" w:w="6917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87 записей registry, включая частичный доступ и метаданные.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/>
            </w:pPr>
            <w:r>
              <w:rPr>
                <w:sz w:val="18"/>
              </w:rPr>
              <w:t>Первичные единицы</w:t>
            </w:r>
          </w:p>
        </w:tc>
        <w:tc>
          <w:tcPr>
            <w:tcW w:type="dxa" w:w="6917"/>
            <w:vAlign w:val="top"/>
          </w:tcPr>
          <w:p>
            <w:pPr>
              <w:spacing w:after="80"/>
            </w:pPr>
            <w:r>
              <w:rPr>
                <w:sz w:val="18"/>
              </w:rPr>
              <w:t>Около 60 укрупнённых произведений и текстовых групп в рабочем подсчёте; составные издания не искусственно разложены на каждую главу.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Пробелы и кандидаты</w:t>
            </w:r>
          </w:p>
        </w:tc>
        <w:tc>
          <w:tcPr>
            <w:tcW w:type="dxa" w:w="6917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36 записей gaps: недостающие тексты/тома, технические отказы, лицензии и неподтверждённые связи.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/>
            </w:pPr>
            <w:r>
              <w:rPr>
                <w:sz w:val="18"/>
              </w:rPr>
              <w:t>Типы доступа</w:t>
            </w:r>
          </w:p>
        </w:tc>
        <w:tc>
          <w:tcPr>
            <w:tcW w:type="dxa" w:w="6917"/>
            <w:vAlign w:val="top"/>
          </w:tcPr>
          <w:p>
            <w:pPr>
              <w:spacing w:after="80"/>
            </w:pPr>
            <w:r>
              <w:rPr>
                <w:sz w:val="18"/>
              </w:rPr>
              <w:t>47 маршрутов с free_full_read; 31 с free_download; 25 с purchase; 12 с metadata_only; 4 с preview_or_snippet; 1 временно недоступный вариант.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Счёт неаддитивен</w:t>
            </w:r>
          </w:p>
        </w:tc>
        <w:tc>
          <w:tcPr>
            <w:tcW w:type="dxa" w:w="6917"/>
            <w:vAlign w:val="top"/>
            <w:shd w:fill="F0F5F7"/>
          </w:tcPr>
          <w:p>
            <w:pPr>
              <w:spacing w:after="80"/>
            </w:pPr>
            <w:r>
              <w:rPr>
                <w:sz w:val="18"/>
              </w:rPr>
              <w:t>Одна строка может одновременно предлагать чтение и скачивание; эти числа нельзя складывать как независимые произведения.</w:t>
            </w:r>
          </w:p>
        </w:tc>
      </w:tr>
    </w:tbl>
    <w:p>
      <w:r>
        <w:t>Число «около 60» обозначает рабочую группировку первичных названий, а не завершённый глобальный authority-каталог. Например, Naqsh/Naqd, два текста Тирмизи, составной Nyberg и молитвенная публикация Буснави имеют внутренние границы. Один четырёхтомный комплект Futūḥāt посчитан одним способом доступа; четыре отдельных OpenITI-текста — четырьмя реально различимыми цифровыми объектами.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Futūḥāt: оригинал, перевод, цифровой текст</w:t>
      </w:r>
    </w:p>
    <w:p>
      <w:r>
        <w:t>Лучший найденный бесплатный вход к полному печатному арабскому комплекту — ACO/Columbia, издание 1911 г., четыре тома. Открыты item viewers всех томов; каждый предлагает PDF и IIIF. Ссылки на тома 2–4 и Handle сохранены внутри R002. Это полноценный каталожный комплект, но не проведённая постраничная колляция и не комплект 37 авторских томов. PDF-payload и часть IIIF-вызовов инструментом не получены; повторная загрузка остаётся техническим шагом, а не новым библиографическим поиском.</w:t>
      </w:r>
    </w:p>
    <w:p>
      <w:pPr>
        <w:pStyle w:val="Caption"/>
      </w:pPr>
      <w:hyperlink r:id="rId11">
        <w:r>
          <w:rPr>
            <w:color w:val="145D90"/>
            <w:u w:val="single"/>
          </w:rPr>
          <w:t>ACO: Futūḥāt, 1911</w:t>
        </w:r>
      </w:hyperlink>
    </w:p>
    <w:p>
      <w:r>
        <w:t>Для поиска по арабскому тексту практичнее OpenITI: R012 хранит конкретный файл и его источниковую историю. Из-за отсутствия полной проверки окончания и сопоставления с редакциями он обозначен substantial_part, а не гарантированно полным окончательным текстом. Это машинный рабочий слой, не замена критическому изданию. [R012]</w:t>
      </w:r>
    </w:p>
    <w:p>
      <w:r>
        <w:t>Для современного английского чтения сохранены публикации Eric Winkel у Pir Press: комплект books 1–10 и отдельный volume 7, охватывающий books 13–14. Рекламируемая большая серия не объявлена целиком доступной на основании этих двух карточек. The Alchemy of Human Happiness у Anqa — перевод главы 167, не отдельное полное Futūḥāt. [R038; R064–R065]</w:t>
      </w:r>
    </w:p>
    <w:p>
      <w:r>
        <w:t>Русский путь — авторская библиография А. В. Смирнова к «Избранным произведениям», т. 2, 2014: это три избранных фрагмента, и в данном запуске подтверждена запись, не свободный полный файл. Существенное дополнение — итальянские переводы Marconi: целая глава 2 в PDF на 170 страниц и главы 122, 123, 269 в отдельном 12-страничном PDF. Для этих частей полноценное чтение реально проверено. [R072–R074]</w:t>
      </w:r>
    </w:p>
    <w:p>
      <w:pPr>
        <w:pStyle w:val="Caption"/>
      </w:pPr>
      <w:hyperlink r:id="rId12">
        <w:r>
          <w:rPr>
            <w:color w:val="145D90"/>
            <w:u w:val="single"/>
          </w:rPr>
          <w:t>El Azufre Rojo: глава 2</w:t>
        </w:r>
      </w:hyperlink>
      <w:r>
        <w:t xml:space="preserve">  ·  </w:t>
      </w:r>
      <w:hyperlink r:id="rId13">
        <w:r>
          <w:rPr>
            <w:color w:val="145D90"/>
            <w:u w:val="single"/>
          </w:rPr>
          <w:t>El Azufre Rojo: yaqīn</w:t>
        </w:r>
      </w:hyperlink>
    </w:p>
    <w:p>
      <w:pPr>
        <w:pStyle w:val="Heading2"/>
      </w:pPr>
      <w:r>
        <w:t>Fuṣūṣ и ранний свидетель</w:t>
      </w:r>
    </w:p>
    <w:p>
      <w:r>
        <w:t>Лучший найденный русский бесплатный вариант — «Геммы мудрости» на собственном сайте переводчика А. В. Смирнова. Оглавление содержит 27 глав; сайт предлагает HTML и Word-архив. Само оглавление и издательское описание проверены, но все внутренние главы и ZIP не удалось получить. Отдельно сохранён открывшийся новый перевод отрывка первой главы: его нельзя незаметно смешивать со старой редакцией 1993/1999. [R059–R060]</w:t>
      </w:r>
    </w:p>
    <w:p>
      <w:pPr>
        <w:pStyle w:val="Caption"/>
      </w:pPr>
      <w:hyperlink r:id="rId14">
        <w:r>
          <w:rPr>
            <w:color w:val="145D90"/>
            <w:u w:val="single"/>
          </w:rPr>
          <w:t>Сайт А. В. Смирнова: перевод Fuṣūṣ</w:t>
        </w:r>
      </w:hyperlink>
    </w:p>
    <w:p>
      <w:r>
        <w:t>Арабский машиночитаемый вариант — очищенный файл OpenITI R011: проверены начало, 27-я глава и колофон; журнал очистки не снимает необходимости филологической вычитки. Современный полный английский перевод R. W. J. Austin, The Bezels of Wisdom, имеет официальный путь покупки Paulist. Защищённый перевод сохранён в registry, хотя не предназначен для зеркала. [R011; R047]</w:t>
      </w:r>
    </w:p>
    <w:p>
      <w:r>
        <w:t>Рукописный якорь — факсимиле TİEM 1933, опубликованное Litera с критическим текстом. Это издание ранней копии, связанной с Кунави, а не свободный снимок лишь потому, что оригинал XIII века. Карточка содержит несовпадающие ISBN и признаки отсутствия в продаже; они записаны, а немедленная доступность покупки не обещана. Бесперебойный бесплатный viewer этой рукописи остаётся пробелом. [R071]</w:t>
      </w:r>
    </w:p>
    <w:p>
      <w:pPr>
        <w:pStyle w:val="Caption"/>
      </w:pPr>
      <w:hyperlink r:id="rId15">
        <w:r>
          <w:rPr>
            <w:color w:val="145D90"/>
            <w:u w:val="single"/>
          </w:rPr>
          <w:t>Litera: факсимиле и критическое издание</w:t>
        </w:r>
      </w:hyperlink>
    </w:p>
    <w:p>
      <w:pPr>
        <w:pStyle w:val="Heading2"/>
      </w:pPr>
      <w:r>
        <w:t>Кунави и основные комментаторы</w:t>
      </w:r>
    </w:p>
    <w:p>
      <w:r>
        <w:t>Для Miftāḥ, Iʿjāz, al-Nuṣūṣ, al-Fukūk и переписки с Ṭūsī важнейший найденный слой — конкретные рукописные карточки, а не общая страница проекта: Yusuf Ağa 4860, 4865, 4858, 667 и Aya Sofya 2349 отражены в R020–R024. Они подтверждают локализацию свидетелей, но не заменяют изображений всех листов. Бесплатно читаются отдельные положения Miftāḥ/Nuṣūṣ, завещание Кунави и комментарий к одному хадису. [R020–R025; R050–R051]</w:t>
      </w:r>
    </w:p>
    <w:p>
      <w:r>
        <w:t>Комментарий Джанди теперь имеет университетский скан издания Āshtiyānī 1982 г. в ACO, официальный покупной вариант 2007 г. и отдельную каталожную запись. У Кашани особенно полезен старый скан 1903 г. с извлечениями Бали-эфенди; покупное издание 2007 г. оставлено как иной редакционный маршрут. Печатные варианты не объявлены взаимозаменяемыми по качеству. [R026–R027; R030; R083; R085]</w:t>
      </w:r>
    </w:p>
    <w:p>
      <w:pPr>
        <w:pStyle w:val="Caption"/>
      </w:pPr>
      <w:hyperlink r:id="rId16">
        <w:r>
          <w:rPr>
            <w:color w:val="145D90"/>
            <w:u w:val="single"/>
          </w:rPr>
          <w:t>ACO: Джанди, 1982</w:t>
        </w:r>
      </w:hyperlink>
      <w:r>
        <w:t xml:space="preserve">  ·  </w:t>
      </w:r>
      <w:hyperlink r:id="rId17">
        <w:r>
          <w:rPr>
            <w:color w:val="145D90"/>
            <w:u w:val="single"/>
          </w:rPr>
          <w:t>ACO: Кашани / Бали, 1903</w:t>
        </w:r>
      </w:hyperlink>
    </w:p>
    <w:p>
      <w:r>
        <w:t>The Horizons of Being — современный научный английский вход к Muqaddima Кайсари. Его полнота относится к пролегоменам, а не всему Sharḥ Fuṣūṣ. Дополнительно найден Rasāʾil Qayṣarī, 1974, который расширяет авторский корпус, но требует проверки внутреннего состава и прав аппарата. У Амули доступны введения к Naṣṣ al-nuṣūṣ: остальной комментарий через них не считается покрытым. [R028–R029; R031; R084]</w:t>
      </w:r>
    </w:p>
    <w:p>
      <w:r>
        <w:t>Джами представлен двумя разными узлами: Naqd al-nuṣūṣ и арабским Sharḥ Fuṣūṣ. В R018 полный Naqsh Ибн ʿАраби сочетается лишь с частью комментария Джами; для современного полного английского Naqd найден издательский маршрут 2025 г. Арабский Sharḥ Джами имеет официально описанное покупное издание 2009 г. со своим редактором. Эти три пути не сливаются в одну «книгу Джами». [R018–R019; R056]</w:t>
      </w:r>
    </w:p>
    <w:p>
      <w:pPr>
        <w:pStyle w:val="Heading2"/>
      </w:pPr>
      <w:r>
        <w:t>Поэзия, символические трактаты и близкий круг</w:t>
      </w:r>
    </w:p>
    <w:p>
      <w:r>
        <w:t>Для Tarjumān al-ashwāq полезнее всего сочетание английского Nicholson 1911 в Wikisource и арабско-английского скана экземпляра Osmania University в Internet Archive. Первый удобнее для чтения/поиска, второй — для сверки арабского текста и исторического аппарата. Для Lawāʾiḥ Джами найден скан 1906 г. из University of Toronto и открывшийся OCR; для Lamaʿāt ʿИраки — официальный английский Divine Flashes у Paulist и персидский HTML Ganjoor. У Ganjoor отделён первичный текст от маркированных AI-пересказов; последние не использованы как научное основание. [R015–R016; R058; R066–R067]</w:t>
      </w:r>
    </w:p>
    <w:p>
      <w:r>
        <w:t>Современные двуязычные Anqa-издания образуют удобную читательскую полку малых трактатов: Kashf al-maʿnā, Ḥilyat al-abdāl, Mishkāt, Isfār, Mashāhid и Ittiḥād. Их преимущество — конкретная редакция и профессиональный перевод, а не свобода повторного распространения. Для молитвенных Awrād и Dawr отдельно сохранена атрибуционная осторожность. [R033–R041]</w:t>
      </w:r>
    </w:p>
    <w:p>
      <w:r>
        <w:t>Новые университетские OA-публикации дают не только фрагменты Futūḥāt, но и арабские/итальянские версии Yaqīn и Ajwiba. Итальянский Ajwiba — реально открывшийся 346-страничный PDF; арабский Yaqīn — 23 страницы с критическим аппаратом. У последнего машинное извлечение искажает арабскую кодировку, тогда как визуальная страница читаема: текстовый парсинг нельзя принять за готовый оригинал. Inshāʾ и Ḥaqq имеют официальные статьи, но их PDF в данном запуске не получены. [R075–R080]</w:t>
      </w:r>
    </w:p>
    <w:p>
      <w:pPr>
        <w:pStyle w:val="Heading2"/>
      </w:pPr>
      <w:r>
        <w:t>Поздняя рецепция и самые свободные компоненты</w:t>
      </w:r>
    </w:p>
    <w:p>
      <w:r>
        <w:t>Для османской передачи особенно практичны полный английский перевод комментария Бурсеви в четырёх томах, The Lamp of Mysteries Анкарави и переводы Буснави на MIAS. Для Джили официальный Universal Man сознательно обозначен как extracts; отдельная бесплатная издательская выдержка из главы 1 помогает оценить перевод перед покупкой. Полный al-Insān al-kāmil этим не покрыт. [R042; R053–R054; R061–R062; R081–R082]</w:t>
      </w:r>
    </w:p>
    <w:p>
      <w:r>
        <w:t>Наиболее ясный современный свободный переводной слой в поздней рецепции — собственные переводы Pye из предисловия Razmnāma, выпущенные Cambridge под CC BY 4.0. Наиболее полезный некоммерческий машинный слой — четыре проверенных объекта OpenITI с CC BY-NC-SA 4.0. Самая прозрачная основа для независимого перевода с арабского — исторические сканы, прежде всего Futūḥāt 1911 и Кашани 1903, при проверке территории использования. [R002; R011–R014; R068; R085]</w:t>
      </w:r>
    </w:p>
    <w:p>
      <w:pPr>
        <w:pStyle w:val="Heading1"/>
      </w:pPr>
      <w:r>
        <w:t>4. Карта прав и практического использования</w:t>
      </w:r>
    </w:p>
    <w:p>
      <w:r>
        <w:t>Реестр — исследовательская разметка доказательств, а не универсальное юридическое заключение для любой страны. Все разрешительные теги читаются вместе с rights_scope, coverage и notes. Запись может одновременно разрешать действие над одним компонентом и требовать проверки другого: это не противоречие, пока граница названа явно.</w:t>
      </w:r>
    </w:p>
    <w:p>
      <w:pPr>
        <w:pStyle w:val="Heading2"/>
      </w:pPr>
      <w:r>
        <w:t>Потенциальное зеркало и независимый оригинальный слой</w:t>
      </w:r>
    </w:p>
    <w:p>
      <w:r>
        <w:t>У старых печатных Futūḥāt 1911 и комментария Кашани 1903 институциональные viewers заявляют public-domain статус. Эти объекты выделены для потенциального OCR, полнотекстового поиска, embeddings и собственного перевода именно представленного исторического арабского слоя. Для публичного зеркала нужна проверка применимой территории и отсутствия дополнительных защищённых компонентов; широкого безусловного MIRROR_OK для всей коллекции ACO нет. [R002; R085]</w:t>
      </w:r>
    </w:p>
    <w:p>
      <w:r>
        <w:t>У Nicholson в Wikisource указан PD-статус с территориальной границей: США и страны со сроком life+80 или короче. MIRROR_OK в R015 действует внутри этой границы и для исторического текста, не для всего сайта Wikimedia. Скан Osmania, современное оформление и правовые условия иной страны — отдельные вопросы. У Jāmī 1906 в Internet Archive есть институциональное происхождение и помета NOT_IN_COPYRIGHT для США; из неё не выведена всемирная лицензия на скан. [R015–R016; R058]</w:t>
      </w:r>
    </w:p>
    <w:p>
      <w:pPr>
        <w:pStyle w:val="Caption"/>
      </w:pPr>
      <w:hyperlink r:id="rId18">
        <w:r>
          <w:rPr>
            <w:color w:val="145D90"/>
            <w:u w:val="single"/>
          </w:rPr>
          <w:t>Wikisource: item-level PD</w:t>
        </w:r>
      </w:hyperlink>
      <w:r>
        <w:t xml:space="preserve">  ·  </w:t>
      </w:r>
      <w:hyperlink r:id="rId19">
        <w:r>
          <w:rPr>
            <w:color w:val="145D90"/>
            <w:u w:val="single"/>
          </w:rPr>
          <w:t>Internet Archive: Lawāʾiḥ</w:t>
        </w:r>
      </w:hyperlink>
    </w:p>
    <w:p>
      <w:pPr>
        <w:pStyle w:val="Heading2"/>
      </w:pPr>
      <w:r>
        <w:t>Некоммерческий машиночитаемый слой</w:t>
      </w:r>
    </w:p>
    <w:p>
      <w:r>
        <w:t>OpenITI предоставляет данные по CC BY-NC-SA 4.0. Четыре включённых файла полезны для локальной исследовательской копии, некоммерческого индекса и расчёта embeddings; допускается некоммерческое повторное распространение лицензированного компонента с атрибуцией. Следует сохранять указание OpenITI, конкретной версии, лицензию и сведения об изменениях; для распространяемых адаптаций действует ShareAlike. [R011–R014]</w:t>
      </w:r>
    </w:p>
    <w:p>
      <w:r>
        <w:t>Лицензия OpenITI не переносится на исходные музейные изображения, защищённый аппарат издания, внешний PDF или любые материалы, на которые файл лишь ссылается. Отдельная проверка нужна при переходе от очищенной транскрипции к новой критической реконструкции или переводу. Статус NC подходит нынешнему некоммерческому ToS, но не превращается в разрешение на последующую коммерческую перепродажу корпуса. Сам расчёт embeddings и публикация исходного текста или производного набора — разные действия, их основания должны сохраняться раздельно.</w:t>
      </w:r>
    </w:p>
    <w:p>
      <w:pPr>
        <w:pStyle w:val="Caption"/>
      </w:pPr>
      <w:hyperlink r:id="rId20">
        <w:r>
          <w:rPr>
            <w:color w:val="145D90"/>
            <w:u w:val="single"/>
          </w:rPr>
          <w:t>OpenITI: лицензия данных</w:t>
        </w:r>
      </w:hyperlink>
    </w:p>
    <w:p>
      <w:pPr>
        <w:pStyle w:val="Heading2"/>
      </w:pPr>
      <w:r>
        <w:t>Открытая современная публикация и неизменяемый текст</w:t>
      </w:r>
    </w:p>
    <w:p>
      <w:r>
        <w:t>В PDF Pye прямо указана CC BY 4.0. Для собственного текста статьи и выполненных Pye переводных выдержек допустимы распространение с атрибуцией, индекс и embeddings в пределах лицензированного материала. Сторонние цитаты и полный персидский источник из этого разрешения исключены. Не следует считать, что один OA-перевод фрагментов создаёт чистую арабскую/персидскую основу для перевода всего произведения. [R068]</w:t>
      </w:r>
    </w:p>
    <w:p>
      <w:r>
        <w:t>Tanzil сочетает обозначение CC BY 3.0 с собственным требованием не изменять арабский текст, сохранять уведомление и указывать источник. Поэтому строка отмечена UNCHANGED_ONLY; подтверждён поиск по неизменённому тексту, но безусловные embeddings и собственный производный перевод с этой цифровой основы не размечены. Это не следует переименовывать в «CC BY-ND»: указан именно фактический набор условий. Отдельная подтверждённая CC BY-ND или CC BY-NC-ND публикация первичного текста в данном наборе не установлена. [R043]</w:t>
      </w:r>
    </w:p>
    <w:p>
      <w:pPr>
        <w:pStyle w:val="Caption"/>
      </w:pPr>
      <w:hyperlink r:id="rId21">
        <w:r>
          <w:rPr>
            <w:color w:val="145D90"/>
            <w:u w:val="single"/>
          </w:rPr>
          <w:t>Tanzil: условия текста</w:t>
        </w:r>
      </w:hyperlink>
      <w:r>
        <w:t xml:space="preserve">  ·  </w:t>
      </w:r>
      <w:hyperlink r:id="rId22">
        <w:r>
          <w:rPr>
            <w:color w:val="145D90"/>
            <w:u w:val="single"/>
          </w:rPr>
          <w:t>Cambridge: лицензированный PDF</w:t>
        </w:r>
      </w:hyperlink>
    </w:p>
    <w:p>
      <w:pPr>
        <w:pStyle w:val="Heading2"/>
      </w:pPr>
      <w:r>
        <w:t>Бесплатно читать и скачивать — без доказанного reuse</w:t>
      </w:r>
    </w:p>
    <w:p>
      <w:r>
        <w:t>Большая группа MIAS-переводов доступна законно и бесплатно, но не имеет найденной свободной лицензии на переиздание. FREE_READ и FREE_DOWNLOAD в этих записях означают предлагаемый держателем доступ; LOCAL_RESEARCH_COPY ограничен индивидуальным получением этого файла. Это не разрешение опубликовать зеркало, OCR-копию, общедоступный текстовый индекс или embeddings-сервис на его основе. Особенно показателен перевод выдержек ʿAnqāʾ: разрешение издателя разместить их на MIAS не является сублицензией ToS. [R003–R009; R025; R046; R048–R051]</w:t>
      </w:r>
    </w:p>
    <w:p>
      <w:r>
        <w:t>El Azufre Rojo официально обеспечивает немедленный OA и разрешает авторам самоархивирование; также документирует OAI-PMH для метаданных. Но найденная политика не даёт третьим лицам универсального разрешения перепечатывать переводы и критические редакции. Поэтому у R073–R080 сохранены чтение, загрузка и ручная проверка прав, без выдуманной Creative Commons-лицензии. Самоархивирование автором, сбор метаданных и копирование полного текста ToS — три разных случая.</w:t>
      </w:r>
    </w:p>
    <w:p>
      <w:pPr>
        <w:pStyle w:val="Caption"/>
      </w:pPr>
      <w:hyperlink r:id="rId23">
        <w:r>
          <w:rPr>
            <w:color w:val="145D90"/>
            <w:u w:val="single"/>
          </w:rPr>
          <w:t>El Azufre Rojo: политика OA и OAI-PMH</w:t>
        </w:r>
      </w:hyperlink>
    </w:p>
    <w:p>
      <w:pPr>
        <w:pStyle w:val="Heading2"/>
      </w:pPr>
      <w:r>
        <w:t>Покупка, preview, каталог и библиотека</w:t>
      </w:r>
    </w:p>
    <w:p>
      <w:r>
        <w:t>Anqa, Paulist, Beshara, Litera, Pir Press, издательские страницы Джанди/Кашани и арабского Джами дают законные пути к защищённым изданиям. Полнота книги не делает её свободной, а некоммерческий образовательный проект не отменяет права переводчика. У preview разрешён только просмотр доступного фрагмента; у metadata-only не обещается чтение самого текста. [R019; R026–R028; R033–R041; R044–R047; R056; R061–R065; R071; R081–R082]</w:t>
      </w:r>
    </w:p>
    <w:p>
      <w:r>
        <w:t>Подтверждённой активной Controlled Digital Lending-выдачи или конкретной доступной пользователю библиотечной ссуды для этих изданий в данном запуске не установлено. Поэтому LIBRARY_BORROW не проставлен предположительно. HathiTrust Full View, авторская запись на Academia и коммерческая библиотечная подписка также не приравнены к проверенной выдаче: открытые возможности и неуспешные входы описаны по отдельности. [R017; R055]</w:t>
      </w:r>
    </w:p>
    <w:p>
      <w:r>
        <w:t>Noorlib полезен как библиографический и исследовательский вход; его условия индивидуального научного использования не следует читать как разрешение на публичную перепубликацию или перевод. Включённые записи сохраняют каталог, даже когда полный файл или права не подтверждены. [R030–R032]</w:t>
      </w:r>
    </w:p>
    <w:p>
      <w:pPr>
        <w:pStyle w:val="Caption"/>
      </w:pPr>
      <w:hyperlink r:id="rId24">
        <w:r>
          <w:rPr>
            <w:color w:val="145D90"/>
            <w:u w:val="single"/>
          </w:rPr>
          <w:t>Noorlib: условия</w:t>
        </w:r>
      </w:hyperlink>
    </w:p>
    <w:p>
      <w:pPr>
        <w:pStyle w:val="Heading2"/>
      </w:pPr>
      <w:r>
        <w:t>Где возможен собственный перевод ToS</w:t>
      </w:r>
    </w:p>
    <w:p>
      <w:r>
        <w:t>Чистые кандидаты в этом наборе — арабский слой старого Futūḥāt 1911, арабский Tarjumān в историческом издании 1911, том 1 Farghānī 1876 и реально включённый текст Кашани/Бали в печати 1903. Тег OWN_TRANSLATION_POSSIBLE не означает разрешение копировать чужой перевод, присваивать критический аппарат или переводить отсутствующий второй том. Он ограничен указанным историческим текстом и требует филологической сверки изображения. [R002; R016; R057; R085]</w:t>
      </w:r>
    </w:p>
    <w:p>
      <w:r>
        <w:t>Защищённый современный перевод, реконструкция Marconi или неизвестная базовая редакция цифровой транскрипции не объявлены автоматически чистой основой. Для CC BY-переводов Pye возможна лицензированная адаптация конкретных выдержек, но это иной маршрут, чем независимый перевод полного персидского первоисточника; строгий тег OWN_TRANSLATION_POSSIBLE там не поставлен. [R011–R014; R068; R076–R077]</w:t>
      </w:r>
    </w:p>
    <w:p>
      <w:pPr>
        <w:pStyle w:val="Heading1"/>
      </w:pPr>
      <w:r>
        <w:t>5. Характерные правовые и текстологические тонкости</w:t>
      </w:r>
    </w:p>
    <w:p>
      <w:pPr>
        <w:pStyle w:val="Heading2"/>
      </w:pPr>
      <w:r>
        <w:t>Институциональное «public domain» и современный аппарат</w:t>
      </w:r>
    </w:p>
    <w:p>
      <w:r>
        <w:t>ACO показывает одинаковую общую формулу PD и для старой печати, и для современных научных изданий: введения Амули 1974, Джанди 1982, Rasāʾil Кайсари 1974. Это не основание объявлять снятыми права современных редакторов Corbin, Yahya или Āshtiyānī. В таких строках разрешён найденный официальный путь доступа, но нет автоматического зеркалирования, OCR-публикации и свободного датасета. Сильная библиотека может предоставлять надёжный доступ, не разрешая тем самым все последующие действия ToS. [R029; R083–R084]</w:t>
      </w:r>
    </w:p>
    <w:p>
      <w:pPr>
        <w:pStyle w:val="Heading2"/>
      </w:pPr>
      <w:r>
        <w:t>Авторство и одноимённые книги</w:t>
      </w:r>
    </w:p>
    <w:p>
      <w:r>
        <w:t>Kitāb al-Inbāh не приписан механически Ибн ʿАраби: он учитывается как текст Бадра ал-Хабаши, передающий материал учителя. Молитвенная Ṣalāt fayḍiyya в современной публикации связана с Буснави; старую атрибуцию нельзя переносить из каталога без проверки. Mishkāt al-anwār Ибн ʿАраби не смешан с одноимённым произведением ал-Газали; Qaṣīda tāʾiyya Ибн ʿАраби в комментарии Буснави — не поэма Ибн ал-Фарида у Фаргани. [R007; R036; R053–R054; R057]</w:t>
      </w:r>
    </w:p>
    <w:p>
      <w:r>
        <w:t>Также нельзя смешивать Jāmī Naqd, Ibn ʿArabī Naqsh и Qūnawī Nuṣūṣ: сходные заглавия ведут к разным первичным единицам и разной полноте переводов. Библиографические расхождения оставлены видимыми: например, в Litera представлены неодинаковые ISBN, а даты издания The Horizons of Being требуют различать первоначальный выпуск и описываемое переиздание. [R018–R019; R024; R028; R071]</w:t>
      </w:r>
    </w:p>
    <w:p>
      <w:pPr>
        <w:pStyle w:val="Heading2"/>
      </w:pPr>
      <w:r>
        <w:t>Одна рукопись не равна одному произведению и наоборот</w:t>
      </w:r>
    </w:p>
    <w:p>
      <w:r>
        <w:t>Veliyuddin 51 — составной рукописный свидетель, содержащий несколько текстов, но найденная публикация представляет его исследование, не открытый комплект всех листов. Он учтён одной записью, а не раздут в набор вымышленных полных цифровых книг. Равным образом R071 охватывает один конкретный свидетель Fuṣūṣ, а не всю рукописную традицию. Число листов, печатных томов и самостоятельных произведений не взаимозаменяемо. [R070–R071]</w:t>
      </w:r>
    </w:p>
    <w:p>
      <w:pPr>
        <w:pStyle w:val="Heading2"/>
      </w:pPr>
      <w:r>
        <w:t>Техническая открытость не доказывает юридическую или филологическую</w:t>
      </w:r>
    </w:p>
    <w:p>
      <w:r>
        <w:t>Наличие PDF, raw-файла GitHub, OCR или IIIF-манифеста само по себе не задаёт лицензию. Для статуса download достаточно сохранить объявленный держателем способ получения, но для утверждения «файл проверен» нужна успешная загрузка; эти уровни разведены в verification_status. Повреждённая арабская кодировка Yaqīn и невычитанный OCR отдельных OpenITI-объектов — отдельный риск качества, не авторского права. [R002; R011–R014; R077]</w:t>
      </w:r>
    </w:p>
    <w:p>
      <w:r>
        <w:t>Форматы перечислены вместе там, где PDF, EPUB и HTML — варианты одного объекта. Большие сборники не раздроблены на каждую страницу. OCR, публичный полнотекстовый индекс и embeddings не сведены в одно разрешение: например, официально доступный перевод может быть пригоден для чтения, но оставаться непроверенным для всех трёх вычислительных применений.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36 конкретных записей с причиной, источниковым указателем и следующим действием. Это не перечень «несуществующих произведений». Он фиксирует, что именно ещё не подтверждено: полный текст, конкретный том, файл, право, атрибуция или сама предполагаемая связь.</w:t>
      </w:r>
    </w:p>
    <w:p>
      <w:pPr>
        <w:pStyle w:val="Heading2"/>
      </w:pPr>
      <w:r>
        <w:t>Главные ограничения текущего покрытия</w:t>
      </w:r>
    </w:p>
    <w:p>
      <w:r>
        <w:t>Самые существенные пробелы ядра — полный первичный Fihrist и Ijāza; полный al-Dīwān al-kabīr; полный доступ к нескольким оригиналам Кунави; весь Sharḥ Кайсари; Naṣṣ al-nuṣūṣ за пределами введений; полный персидский Naqd Джами. У Farghānī отсутствует проверенный второй арабский том и персидская версия Mashāriq al-darārī. Для al-Insān al-kāmil найденное английское издание остаётся избранным.</w:t>
      </w:r>
    </w:p>
    <w:p>
      <w:r>
        <w:t>Технические ограничения: Foundation-страницы нескольких рукописей возвращали пустую JavaScript-оболочку; отдельные Brill, HathiTrust и SUNY-входы не открылись; PDF/IIIF ACO не всегда отдавали файл. Неоткрывшиеся PDF Marconi сохранены с реальной item-level статьёй, а не заменены случайным зеркалом. Полная сверка рукописей и больших печатных комплектов в этом запуске не выполнена.</w:t>
      </w:r>
    </w:p>
    <w:p>
      <w:r>
        <w:t>Неясные права сосредоточены в современных научных редакциях на институциональных скан-платформах, MIAS-переводах без явной лицензии, журнале El Azufre Rojo и электронных редакциях с непрозрачной печатной базой. Для них полезный внешний доступ сохранён. Отсутствие разрешения на зеркало не обнулено и не скрыто за меткой «некоммерческий проект».</w:t>
      </w:r>
    </w:p>
    <w:p>
      <w:r>
        <w:t>Неподтверждённые кандидаты явно обозначены: диссертационный перевод Lawāmiʿ Джами, конкретные составные каталожные записи комментариев Ibn Turka/Пāрсā, Foundation-вход к Khalʿ al-naʿlayn. Они не включены в registry как проверенный полный текст. Возможные предшественники и удалённые рецепции не приняты только по общему сходству.</w:t>
      </w:r>
    </w:p>
    <w:p>
      <w:pPr>
        <w:pStyle w:val="Heading2"/>
      </w:pPr>
      <w:r>
        <w:t>Восемь целевых направлений</w:t>
      </w:r>
    </w:p>
    <w:p>
      <w:r>
        <w:rPr>
          <w:b/>
        </w:rPr>
        <w:t xml:space="preserve">1. Авторская библиография и автографы. </w:t>
      </w:r>
      <w:r>
        <w:t>Fihrist, Ijāza, полный Dīwān и 37-томная рукописная редакция Futūḥāt. Начинать с RG/MAP, затем переходить к конкретным shelfmarks, полным изображениям и их условиям. Это повысит доказательность корпуса, а не просто число ссылок.</w:t>
      </w:r>
    </w:p>
    <w:p>
      <w:r>
        <w:rPr>
          <w:b/>
        </w:rPr>
        <w:t xml:space="preserve">2. Полные оригиналы Кунави. </w:t>
      </w:r>
      <w:r>
        <w:t>Miftāḥ, Nuṣūṣ, Iʿjāz, Fukūk, Nafaḥāt и переписка Ṭūsī. Сопоставить уже найденные карточки с критическими изданиями и легальными библиотечными экземплярами; отдельно проверить русскую публикацию Miftāḥ.</w:t>
      </w:r>
    </w:p>
    <w:p>
      <w:r>
        <w:rPr>
          <w:b/>
        </w:rPr>
        <w:t xml:space="preserve">3. Полнота центральных комментариев. </w:t>
      </w:r>
      <w:r>
        <w:t>Закрыть разрыв между Muqaddima и полным Sharḥ Кайсари, введениями и всем Naṣṣ Амули, арабским/персидским оригиналом и современным переводом Naqd. Не дублировать уже найденные каталоги без нового доступа.</w:t>
      </w:r>
    </w:p>
    <w:p>
      <w:r>
        <w:rPr>
          <w:b/>
        </w:rPr>
        <w:t xml:space="preserve">4. Персидская и поэтическая линия. </w:t>
      </w:r>
      <w:r>
        <w:t>Второй том Muntahā, Mashāriq, самостоятельная Tāʾiyya Ибн ал-Фарида, Lawāmiʿ и Ashiʿʿat al-Lamaʿāt Джами. Нужны конкретные редакции и свидетельства комментария, а не общая подборка персидской поэзии.</w:t>
      </w:r>
    </w:p>
    <w:p>
      <w:r>
        <w:rPr>
          <w:b/>
        </w:rPr>
        <w:t xml:space="preserve">5. Ближайшие боковые ветви. </w:t>
      </w:r>
      <w:r>
        <w:t>Полный Sharḥ Mashāhid Sitt al-ʿAjam, Ibn Sawdakīn и поздний Munāwī; Miṣbāḥ al-uns Фанари; полный al-Insān al-kāmil. Сначала подтвердить состав и авторство, затем добирать чтение/покупку/факсимиле.</w:t>
      </w:r>
    </w:p>
    <w:p>
      <w:r>
        <w:rPr>
          <w:b/>
        </w:rPr>
        <w:t xml:space="preserve">6. Узкие входящие источники. </w:t>
      </w:r>
      <w:r>
        <w:t>Ibn Qasī, Sirr al-asrār, Mawaqif и Qūt al-qulūb — только через точно установленные цитаты, комментарий или адаптацию. Не расширять T2-14 до всей доакбарийской литературы без проверенного канала передачи.</w:t>
      </w:r>
    </w:p>
    <w:p>
      <w:r>
        <w:rPr>
          <w:b/>
        </w:rPr>
        <w:t xml:space="preserve">7. Раннемодерная и могольская передача. </w:t>
      </w:r>
      <w:r>
        <w:t>Полные тексты al-Taswiya и Muqaddama Razmnāma, эпитомы Шаʿрани, конкретные антиакбарийские сочинения Ибн Таймийи, поздние Mawāqif. Для каждого нужен определённый первичный текст, а не только биография автора.</w:t>
      </w:r>
    </w:p>
    <w:p>
      <w:r>
        <w:rPr>
          <w:b/>
        </w:rPr>
        <w:t xml:space="preserve">8. Лицензии и работоспособность файлов. </w:t>
      </w:r>
      <w:r>
        <w:t>Повторить точные ACO PDF/IIIF, HathiTrust и Foundation-входы; проверить El Azufre Rojo/DIGITUM/OAI-PMH, возможный открытый файл Patterns of Contemplation и условия современных редакций. Автоматическое скачивание не должно предшествовать установлению области разрешения.</w:t>
      </w:r>
    </w:p>
    <w:p>
      <w:pPr>
        <w:pStyle w:val="Heading1"/>
      </w:pPr>
      <w:r>
        <w:t>7. Итоговая оценка</w:t>
      </w:r>
    </w:p>
    <w:p>
      <w:r>
        <w:t>Корпус покрыт широко по видам доступа и заметно расширен за пределы исходного списка. Особенно сильны Futūḥāt, Fuṣūṣ, малые трактаты Ибн ʿАраби, основные комментарии и несколько османских/могольских продолжений. Пакет не является исчерпывающим каталогом всех произведений и рукописей: полные оригиналы Кунави и некоторые развёрнутые комментарии остаются главной содержательной зоной роста.</w:t>
      </w:r>
    </w:p>
    <w:p>
      <w:r>
        <w:t>Оригинальные тексты доступны лучше, чем можно заключить по одним современным переводам: есть полная старая печать Futūḥāt, исторические арабские издания и отдельные современные арабские редакции. Однако рукописная доступность пока сильнее на уровне локализации и описания, чем на уровне проверенных свободных факсимиле. Переводы разнообразны по языку и полноте: русский Fuṣūṣ, старые английские/персидско-английские издания, современные издательские серии и новые итальянские OA-публикации не следует оценивать одной общей меткой «есть перевод».</w:t>
      </w:r>
    </w:p>
    <w:p>
      <w:r>
        <w:t>Наиболее свободный машинный слой — ограниченные лицензией данные OpenITI; наиболее ясно разрешённый современный текстовый слой — собственный материал Pye по CC BY 4.0; наиболее перспективная основа независимого перевода — исторические арабские сканы с институциональной PD-оценкой. Главные ограничения относятся к современным переводам, критическому аппарату, изображениям и неполной проверке больших файлов.</w:t>
      </w:r>
    </w:p>
    <w:p>
      <w:r>
        <w:t>Результат пригоден для передачи Codex как исследовательский пакет: единые 32 поля, уникальные record_id, проверочные статусы, объём доступа, четыре слоя прав и конкретная очередь gaps. Он ещё не является разрешением автоматически зеркалировать весь реестр. Следующий этап должен принимать решение по отдельной строке и компоненту, сохраняя доступные человеку внешние ссылки даже там, где локальное распространение запрещено или не доказано.</w:t>
      </w:r>
    </w:p>
    <w:p>
      <w:pPr>
        <w:pStyle w:val="Heading2"/>
      </w:pPr>
      <w:r>
        <w:t>Как читать пакет при передаче</w:t>
      </w:r>
    </w:p>
    <w:p>
      <w:r>
        <w:t>Для открытия материала достаточно landing_url и access_mode. Для загрузки нужно дополнительно прочитать verification_status и coverage. Для OCR, поиска, embeddings, перевода или публикации необходимо совместно проверить tos_use, rights_scope, own_translation_basis, rights_evidence_url и notes. Строки rights_unknown / review_required нельзя автоматически повышать до разрешённых на основании возраста автора, бесплатности сайта или некоммерческой цели ToS.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52656B"/>
        <w:sz w:val="18"/>
      </w:rPr>
      <w:t xml:space="preserve">T2-14 ·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TREE OF SOPHIA  /  ИСТОЧНИКИ И ПРАВА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haris SIL" w:hAnsi="Charis SI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1239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24646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Carlito" w:hAnsi="Carlito"/>
      <w:b/>
      <w:bCs/>
      <w:color w:val="123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23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265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o.dlib.nyu.edu/book/columbia_aco004204/1?lang=ar" TargetMode="External"/><Relationship Id="rId12" Type="http://schemas.openxmlformats.org/officeDocument/2006/relationships/hyperlink" Target="https://revistas.um.es/azufre/article/view/534151" TargetMode="External"/><Relationship Id="rId13" Type="http://schemas.openxmlformats.org/officeDocument/2006/relationships/hyperlink" Target="https://revistas.um.es/azufre/article/view/410861" TargetMode="External"/><Relationship Id="rId14" Type="http://schemas.openxmlformats.org/officeDocument/2006/relationships/hyperlink" Target="https://avsmirnov.info/win/publictn/bezels/ogl.htm" TargetMode="External"/><Relationship Id="rId15" Type="http://schemas.openxmlformats.org/officeDocument/2006/relationships/hyperlink" Target="https://www.literakitap.com/urun/fususul-hikem-en-eski-metnin-tipki-basimi-ve-tahkikli-nesri" TargetMode="External"/><Relationship Id="rId16" Type="http://schemas.openxmlformats.org/officeDocument/2006/relationships/hyperlink" Target="https://aco.dlib.nyu.edu/book/princeton_aco001229/1" TargetMode="External"/><Relationship Id="rId17" Type="http://schemas.openxmlformats.org/officeDocument/2006/relationships/hyperlink" Target="https://aco.dlib.nyu.edu/book/columbia_aco000490/1" TargetMode="External"/><Relationship Id="rId18" Type="http://schemas.openxmlformats.org/officeDocument/2006/relationships/hyperlink" Target="https://en.wikisource.org/wiki/The_Tarjum%C3%A1n_al-Ashw%C3%A1q" TargetMode="External"/><Relationship Id="rId19" Type="http://schemas.openxmlformats.org/officeDocument/2006/relationships/hyperlink" Target="https://archive.org/details/lawaih00jaamuoft" TargetMode="External"/><Relationship Id="rId20" Type="http://schemas.openxmlformats.org/officeDocument/2006/relationships/hyperlink" Target="https://openiti.org/documentation/#how-can-i-use-openiti-what-license-is-used" TargetMode="External"/><Relationship Id="rId21" Type="http://schemas.openxmlformats.org/officeDocument/2006/relationships/hyperlink" Target="https://tanzil.net/docs/text_license" TargetMode="External"/><Relationship Id="rId22" Type="http://schemas.openxmlformats.org/officeDocument/2006/relationships/hyperlink" Target="https://www.cambridge.org/core/services/aop-cambridge-core/content/view/7A03A08D97D889FD9F4E3625C9F1DE7B/S0026749X21000275a.pdf/the-sufi-method-behind-the-mughal-peace-with-all-religions-a-study-of-ibn-arabis-taqiq-in-abu-al-fazls-preface-to-the-razmnama.pdf" TargetMode="External"/><Relationship Id="rId23" Type="http://schemas.openxmlformats.org/officeDocument/2006/relationships/hyperlink" Target="https://revistas.um.es/azufre/about" TargetMode="External"/><Relationship Id="rId24" Type="http://schemas.openxmlformats.org/officeDocument/2006/relationships/hyperlink" Target="https://noorlib.ir/ar/view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T2-14</dc:title>
  <dc:subject>Суфийская метафизика и философская антропология: корпус, доступ, права</dc:subject>
  <dc:creator>ToS / Древо Софии</dc:creator>
  <cp:keywords>T2-14; Ibn Arabi; Qunawi; corpus; rights; manuscripts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