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</w:t>
        <w:br/>
        <w:t>Registry</w:t>
      </w:r>
    </w:p>
    <w:p>
      <w:pPr>
        <w:pStyle w:val="Subtitle"/>
      </w:pPr>
      <w:r>
        <w:t>T2-18 • Еврейская философия иврито-арабского</w:t>
        <w:br/>
        <w:t>двуязычия XI–XIII вв.</w:t>
      </w:r>
    </w:p>
    <w:p>
      <w:r>
        <w:rPr>
          <w:b/>
        </w:rPr>
        <w:t>65 способов доступа</w:t>
      </w:r>
      <w:r>
        <w:t xml:space="preserve">  /  36 записей о пробелах  /  статус мастер-строки A</w:t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381"/>
            <w:vAlign w:val="top"/>
            <w:shd w:fill="18344A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257"/>
            <w:vAlign w:val="top"/>
            <w:shd w:fill="18344A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Мастер-строка</w:t>
            </w:r>
          </w:p>
        </w:tc>
        <w:tc>
          <w:tcPr>
            <w:tcW w:type="dxa" w:w="7257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T2-18, Таблица II. Исходный статус A; уверенность исходного DR — 5/5.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Историческое ядро</w:t>
            </w:r>
          </w:p>
        </w:tc>
        <w:tc>
          <w:tcPr>
            <w:tcW w:type="dxa" w:w="7257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XI–XII вв.: авторские корпуса; XII–XIII вв.: перевод и ранняя рецепция. Границы строки не изменены.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Исходный документ</w:t>
            </w:r>
          </w:p>
        </w:tc>
        <w:tc>
          <w:tcPr>
            <w:tcW w:type="dxa" w:w="7257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ToS Deep Research_ T2-18 — Еврейская философия иврито-арабского двуязычия XI–XIII вв.(1).docx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Дата проверки</w:t>
            </w:r>
          </w:p>
        </w:tc>
        <w:tc>
          <w:tcPr>
            <w:tcW w:type="dxa" w:w="7257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4 сентября 2026 г. Проверка страниц не гарантирует неизменность доступа позднее.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Поставка</w:t>
            </w:r>
          </w:p>
        </w:tc>
        <w:tc>
          <w:tcPr>
            <w:tcW w:type="dxa" w:w="7257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Один XLSX: registry, 32 обязательных поля; gaps, 36 задач. Настоящий DOCX — обзор покрытия и решений, не дубль реестра.</w:t>
            </w:r>
          </w:p>
        </w:tc>
      </w:tr>
    </w:tbl>
    <w:p>
      <w:r>
        <w:t>Из исходного DR взяты три главных узла: Fons Vitae / Meqor Ḥayyim, Kuzari и Ha-Emunah ha-Ramah; дополнительные якоря — Keter Malkhut, Sefer ha-Qabbalah, эпитом Фалакеры и письмо Галеви 1139 г. Инвентаризация опирается прежде всего на разделы DR «Корпуса, тексты и артефакты-якоря» и «Первичные источники и корпуса» (с. 9–15 и 41–43). Дальнейшие находки ниже отделены от этого исходного списка.</w:t>
      </w:r>
    </w:p>
    <w:p>
      <w:r>
        <w:t>Поиск использовал русские, английские, ивритские и арабские названия, транслитерации, а также немецкие, французские, испанские, итальянские и португальские названия изданий и локальные библиотечные страницы. Искались трактаты, поэзия, письма, комментарии, старые и современные переводы, рукописные факсимиле, каталоги и машиночитаемые данные.</w:t>
      </w:r>
    </w:p>
    <w:p>
      <w:r>
        <w:t>Доступ проверялся по item-level страницам библиотек, Daat, Ben-Yehuda, Wikisource, Internet Archive, издательств и легальных продавцов. Идентичность уточнялась по HathiTrust, национальным каталогам, академической библиографии и издательским описаниям. Для сильных правовых тегов использованы индивидуальный IIIF rights statement, README набора данных и явные лицензии. Поисковые сниппеты не считались доказательством полного доступа или лицензии.</w:t>
      </w:r>
    </w:p>
    <w:p>
      <w:r>
        <w:t>Слабые навигационные кандидаты сохранены отдельно: например, маргиналии Азарии де Росси и альтернативный перевод Kuzari, связываемый с Иудой Кардиналом. Они не стали установленными объектами registry. Ссылок на Wikipedia в пакете нет.</w:t>
      </w:r>
    </w:p>
    <w:p>
      <w:r/>
    </w:p>
    <w:p>
      <w:pPr>
        <w:pStyle w:val="Heading1"/>
        <w:pageBreakBefore/>
      </w:pPr>
      <w:r>
        <w:t>2. Охват корпуса</w:t>
      </w:r>
    </w:p>
    <w:p>
      <w:pPr>
        <w:pStyle w:val="Heading2"/>
      </w:pPr>
      <w:r>
        <w:t>От исходной карты к реестру</w:t>
      </w:r>
    </w:p>
    <w:p>
      <w:r>
        <w:t>Ядро не сведено к трём «электронным книгам». У Fons Vitae раздельно учтены полный латинский издательский маршрут, другой скан с ограниченной полнотой, ивритский эпитом, арабские цитатные фрагменты, современные переводы и ватиканская рукопись. У Kuzari разведены иудео-арабский текст, перевод Иуды ибн Тиббона, английская, немецкая, латинская и русская передача, современное критическое издание и оксфордский свидетель. У Ибн Дауда старые переводы сопоставлены с изданием обеих позднесредневековых ивритских ветвей.</w:t>
      </w:r>
      <w:r>
        <w:t xml:space="preserve"> </w:t>
      </w:r>
      <w:hyperlink r:id="rId11">
        <w:r>
          <w:rPr>
            <w:color w:val="215C69"/>
            <w:u w:val="single"/>
          </w:rPr>
          <w:t>[R001]</w:t>
        </w:r>
      </w:hyperlink>
      <w:r>
        <w:t xml:space="preserve"> · </w:t>
      </w:r>
      <w:hyperlink r:id="rId12">
        <w:r>
          <w:rPr>
            <w:color w:val="215C69"/>
            <w:u w:val="single"/>
          </w:rPr>
          <w:t>[R002]</w:t>
        </w:r>
      </w:hyperlink>
      <w:r>
        <w:t xml:space="preserve"> · </w:t>
      </w:r>
      <w:hyperlink r:id="rId13">
        <w:r>
          <w:rPr>
            <w:color w:val="215C69"/>
            <w:u w:val="single"/>
          </w:rPr>
          <w:t>[R003]</w:t>
        </w:r>
      </w:hyperlink>
      <w:r>
        <w:t xml:space="preserve"> · </w:t>
      </w:r>
      <w:hyperlink r:id="rId14">
        <w:r>
          <w:rPr>
            <w:color w:val="215C69"/>
            <w:u w:val="single"/>
          </w:rPr>
          <w:t>[R007]</w:t>
        </w:r>
      </w:hyperlink>
      <w:r>
        <w:t xml:space="preserve"> · </w:t>
      </w:r>
      <w:hyperlink r:id="rId15">
        <w:r>
          <w:rPr>
            <w:color w:val="215C69"/>
            <w:u w:val="single"/>
          </w:rPr>
          <w:t>[R012]</w:t>
        </w:r>
      </w:hyperlink>
      <w:r>
        <w:t xml:space="preserve"> · </w:t>
      </w:r>
      <w:hyperlink r:id="rId16">
        <w:r>
          <w:rPr>
            <w:color w:val="215C69"/>
            <w:u w:val="single"/>
          </w:rPr>
          <w:t>[R041]</w:t>
        </w:r>
      </w:hyperlink>
      <w:r>
        <w:t xml:space="preserve"> · </w:t>
      </w:r>
      <w:hyperlink r:id="rId17">
        <w:r>
          <w:rPr>
            <w:color w:val="215C69"/>
            <w:u w:val="single"/>
          </w:rPr>
          <w:t>[R051]</w:t>
        </w:r>
      </w:hyperlink>
      <w:r>
        <w:t xml:space="preserve"> · </w:t>
      </w:r>
      <w:hyperlink r:id="rId18">
        <w:r>
          <w:rPr>
            <w:color w:val="215C69"/>
            <w:u w:val="single"/>
          </w:rPr>
          <w:t>[R053]</w:t>
        </w:r>
      </w:hyperlink>
    </w:p>
    <w:p>
      <w:r>
        <w:t>Веб-поиск добавил этический Iṣlāḥ al-akhlāq Габироля; Mivḥar ha-Peninim с оговоркой об атрибуции; авторские поэтические подборки Галеви и Габироля; три сопутствующих текста Dorot ‘Olam Ибн Дауда; ‘Olam Qatan Ибн Цаддика и Ḥovot ha-Levavot Бахьи. Последние включены не по общей религиозной принадлежности, а как близкая философская и переводная книжная семья; внутри реестра это не равнозначно доказанному заимствованию между каждой парой авторов.</w:t>
      </w:r>
      <w:r>
        <w:t xml:space="preserve"> </w:t>
      </w:r>
      <w:hyperlink r:id="rId19">
        <w:r>
          <w:rPr>
            <w:color w:val="215C69"/>
            <w:u w:val="single"/>
          </w:rPr>
          <w:t>[R011]</w:t>
        </w:r>
      </w:hyperlink>
      <w:r>
        <w:t xml:space="preserve"> · </w:t>
      </w:r>
      <w:hyperlink r:id="rId20">
        <w:r>
          <w:rPr>
            <w:color w:val="215C69"/>
            <w:u w:val="single"/>
          </w:rPr>
          <w:t>[R029]</w:t>
        </w:r>
      </w:hyperlink>
      <w:r>
        <w:t xml:space="preserve"> · </w:t>
      </w:r>
      <w:hyperlink r:id="rId21">
        <w:r>
          <w:rPr>
            <w:color w:val="215C69"/>
            <w:u w:val="single"/>
          </w:rPr>
          <w:t>[R032]</w:t>
        </w:r>
      </w:hyperlink>
      <w:r>
        <w:t xml:space="preserve"> · </w:t>
      </w:r>
      <w:hyperlink r:id="rId22">
        <w:r>
          <w:rPr>
            <w:color w:val="215C69"/>
            <w:u w:val="single"/>
          </w:rPr>
          <w:t>[R033]</w:t>
        </w:r>
      </w:hyperlink>
      <w:r>
        <w:t xml:space="preserve"> · </w:t>
      </w:r>
      <w:hyperlink r:id="rId23">
        <w:r>
          <w:rPr>
            <w:color w:val="215C69"/>
            <w:u w:val="single"/>
          </w:rPr>
          <w:t>[R040]</w:t>
        </w:r>
      </w:hyperlink>
      <w:r>
        <w:t xml:space="preserve"> · </w:t>
      </w:r>
      <w:hyperlink r:id="rId24">
        <w:r>
          <w:rPr>
            <w:color w:val="215C69"/>
            <w:u w:val="single"/>
          </w:rPr>
          <w:t>[R043]</w:t>
        </w:r>
      </w:hyperlink>
      <w:r>
        <w:t xml:space="preserve"> · </w:t>
      </w:r>
      <w:hyperlink r:id="rId25">
        <w:r>
          <w:rPr>
            <w:color w:val="215C69"/>
            <w:u w:val="single"/>
          </w:rPr>
          <w:t>[R055]</w:t>
        </w:r>
      </w:hyperlink>
    </w:p>
    <w:p>
      <w:r>
        <w:t>Линия Фалакеры расширена от эпитома Fons Vitae к Sefer ha-Mevaqqesh, Iggeret ha-Vikkuah, Moreh ha-Moreh и Reshit Ḥokhmah. Книга Raphael Jospe включена только как носитель критических первичных разделов: Sefer ha-Nefesh, Shelemut ha-Ma‘asim и сохранившихся фрагментов библейского комментария. Это один электронный пакет, а не три фиктивно независимые ссылки. Прямая связь со строкой — деятельность того же переводчика и компилятора, через которого сохранилась ивритская ветвь Габироля.</w:t>
      </w:r>
      <w:r>
        <w:t xml:space="preserve"> </w:t>
      </w:r>
      <w:hyperlink r:id="rId15">
        <w:r>
          <w:rPr>
            <w:color w:val="215C69"/>
            <w:u w:val="single"/>
          </w:rPr>
          <w:t>[R012]</w:t>
        </w:r>
      </w:hyperlink>
      <w:r>
        <w:t xml:space="preserve"> · </w:t>
      </w:r>
      <w:hyperlink r:id="rId26">
        <w:r>
          <w:rPr>
            <w:color w:val="215C69"/>
            <w:u w:val="single"/>
          </w:rPr>
          <w:t>[R045]</w:t>
        </w:r>
      </w:hyperlink>
      <w:r>
        <w:t xml:space="preserve"> · </w:t>
      </w:r>
      <w:hyperlink r:id="rId27">
        <w:r>
          <w:rPr>
            <w:color w:val="215C69"/>
            <w:u w:val="single"/>
          </w:rPr>
          <w:t>[R058]</w:t>
        </w:r>
      </w:hyperlink>
      <w:r>
        <w:t xml:space="preserve"> · </w:t>
      </w:r>
      <w:hyperlink r:id="rId28">
        <w:r>
          <w:rPr>
            <w:color w:val="215C69"/>
            <w:u w:val="single"/>
          </w:rPr>
          <w:t>[R059]</w:t>
        </w:r>
      </w:hyperlink>
      <w:r>
        <w:t xml:space="preserve"> · </w:t>
      </w:r>
      <w:hyperlink r:id="rId29">
        <w:r>
          <w:rPr>
            <w:color w:val="215C69"/>
            <w:u w:val="single"/>
          </w:rPr>
          <w:t>[R060]</w:t>
        </w:r>
      </w:hyperlink>
      <w:r>
        <w:t xml:space="preserve"> · </w:t>
      </w:r>
      <w:hyperlink r:id="rId30">
        <w:r>
          <w:rPr>
            <w:color w:val="215C69"/>
            <w:u w:val="single"/>
          </w:rPr>
          <w:t>[R063]</w:t>
        </w:r>
      </w:hyperlink>
      <w:r>
        <w:t xml:space="preserve"> · </w:t>
      </w:r>
      <w:hyperlink r:id="rId31">
        <w:r>
          <w:rPr>
            <w:color w:val="215C69"/>
            <w:u w:val="single"/>
          </w:rPr>
          <w:t>[R064]</w:t>
        </w:r>
      </w:hyperlink>
    </w:p>
    <w:p>
      <w:r>
        <w:t>Самуэль ибн Тиббон представлен собственным Maʾamar Yiqqawu ha-Mayim и комментарием к Экклесиасту, а Иуда ибн Тиббон — современным переводом этического завещания. Глоссарий Perush ha-Millot ha-Zarot не исчез из исследования: он стоит в gaps как приоритетный незакрытый объект. Отдельный английский Guide Маймонида введён лишь как текст, к которому привязаны переводческая и комментарийная линии, без поглощения всей маймонидовской библиотеки.</w:t>
      </w:r>
      <w:r>
        <w:t xml:space="preserve"> </w:t>
      </w:r>
      <w:hyperlink r:id="rId32">
        <w:r>
          <w:rPr>
            <w:color w:val="215C69"/>
            <w:u w:val="single"/>
          </w:rPr>
          <w:t>[R038]</w:t>
        </w:r>
      </w:hyperlink>
      <w:r>
        <w:t xml:space="preserve"> · </w:t>
      </w:r>
      <w:hyperlink r:id="rId33">
        <w:r>
          <w:rPr>
            <w:color w:val="215C69"/>
            <w:u w:val="single"/>
          </w:rPr>
          <w:t>[R039]</w:t>
        </w:r>
      </w:hyperlink>
      <w:r>
        <w:t xml:space="preserve"> · </w:t>
      </w:r>
      <w:hyperlink r:id="rId34">
        <w:r>
          <w:rPr>
            <w:color w:val="215C69"/>
            <w:u w:val="single"/>
          </w:rPr>
          <w:t>[R046]</w:t>
        </w:r>
      </w:hyperlink>
      <w:r>
        <w:t xml:space="preserve"> · </w:t>
      </w:r>
      <w:hyperlink r:id="rId35">
        <w:r>
          <w:rPr>
            <w:color w:val="215C69"/>
            <w:u w:val="single"/>
          </w:rPr>
          <w:t>[R065]</w:t>
        </w:r>
      </w:hyperlink>
    </w:p>
    <w:p>
      <w:pPr>
        <w:pStyle w:val="Heading2"/>
      </w:pPr>
      <w:r>
        <w:t>Поиск назад во времени</w:t>
      </w:r>
    </w:p>
    <w:p>
      <w:r>
        <w:t>Саадия учтён как ранний иудео-арабский предшественник и участник полемической предыстории Ибн Дауда: найдены историческое арабское издание и современная ивритская передача Emunot ve-Deot. Это наиболее ясное расширение в X век. Другой X-вековой вход — Sefer Yosippon, связанный с исторической компиляцией Ибн Дауда; доступ к нему сохранён через современный издательский перевод.</w:t>
      </w:r>
      <w:r>
        <w:t xml:space="preserve"> </w:t>
      </w:r>
      <w:hyperlink r:id="rId36">
        <w:r>
          <w:rPr>
            <w:color w:val="215C69"/>
            <w:u w:val="single"/>
          </w:rPr>
          <w:t>[R030]</w:t>
        </w:r>
      </w:hyperlink>
      <w:r>
        <w:t xml:space="preserve"> · </w:t>
      </w:r>
      <w:hyperlink r:id="rId37">
        <w:r>
          <w:rPr>
            <w:color w:val="215C69"/>
            <w:u w:val="single"/>
          </w:rPr>
          <w:t>[R031]</w:t>
        </w:r>
      </w:hyperlink>
      <w:r>
        <w:t xml:space="preserve"> · </w:t>
      </w:r>
      <w:hyperlink r:id="rId38">
        <w:r>
          <w:rPr>
            <w:color w:val="215C69"/>
            <w:u w:val="single"/>
          </w:rPr>
          <w:t>[R050]</w:t>
        </w:r>
      </w:hyperlink>
    </w:p>
    <w:p>
      <w:r>
        <w:t>Для философских источников Ибн Дауда найдены отдельные маршруты к Political Regime аль-Фараби, метафизической части Shifāʾ, психологическому разделу Najāt Ибн Сины и Maqāṣid al-Falāsifa аль-Газали. «Более ранний источник» здесь означает отношение к конкретному произведению Ибн Дауда, а не обязательно выход за XI–XIII вв. Например, аль-Газали частично принадлежит тому же широкому хронологическому горизонту. Связи исходного DR проверялись по академической библиографии Ибн Дауда.</w:t>
      </w:r>
      <w:r>
        <w:t xml:space="preserve"> </w:t>
      </w:r>
      <w:hyperlink r:id="rId39">
        <w:r>
          <w:rPr>
            <w:color w:val="215C69"/>
            <w:u w:val="single"/>
          </w:rPr>
          <w:t>[R034]</w:t>
        </w:r>
      </w:hyperlink>
      <w:r>
        <w:t xml:space="preserve"> · </w:t>
      </w:r>
      <w:hyperlink r:id="rId40">
        <w:r>
          <w:rPr>
            <w:color w:val="215C69"/>
            <w:u w:val="single"/>
          </w:rPr>
          <w:t>[R035]</w:t>
        </w:r>
      </w:hyperlink>
      <w:r>
        <w:t xml:space="preserve"> · </w:t>
      </w:r>
      <w:hyperlink r:id="rId41">
        <w:r>
          <w:rPr>
            <w:color w:val="215C69"/>
            <w:u w:val="single"/>
          </w:rPr>
          <w:t>[R036]</w:t>
        </w:r>
      </w:hyperlink>
      <w:r>
        <w:t xml:space="preserve"> · </w:t>
      </w:r>
      <w:hyperlink r:id="rId42">
        <w:r>
          <w:rPr>
            <w:color w:val="215C69"/>
            <w:u w:val="single"/>
          </w:rPr>
          <w:t>[R037]</w:t>
        </w:r>
      </w:hyperlink>
      <w:r>
        <w:t xml:space="preserve"> </w:t>
      </w:r>
      <w:hyperlink r:id="rId43">
        <w:r>
          <w:rPr>
            <w:color w:val="215C69"/>
            <w:u w:val="single"/>
          </w:rPr>
          <w:t>Библиография Ибн Дауда</w:t>
        </w:r>
      </w:hyperlink>
    </w:p>
    <w:p>
      <w:r>
        <w:t>Гипотетические неоплатонические источники Габироля не объявлены установленными только по сходству доктрин. Pseudo-Empedocles, Theology of Aristotle и Liber de causis остались направлениями проверки конкретной передачи. При расширении Фалакеры обнаружились и дополнительные прямые источники его учебной программы; их дальнейший поиск перечислен в G036, а не подменён общим порталом арабской философии.</w:t>
      </w:r>
    </w:p>
    <w:p>
      <w:pPr>
        <w:pStyle w:val="Heading2"/>
      </w:pPr>
      <w:r>
        <w:t>Поиск вперёд: сохранение и рецепция</w:t>
      </w:r>
    </w:p>
    <w:p>
      <w:r>
        <w:t>Поздние ивритские переводы Ha-Emunah — необходимая часть ядровой текстологии, несмотря на конец XIV в. Издание Eran 2019 поэтому имеет relevance=core, а не пониженную релевантность из-за поздней сохранности. XV-вековая Bodley Or. 100 — прямой свидетель Kuzari; её дата относится к рукописи, не к созданию диалога.</w:t>
      </w:r>
      <w:r>
        <w:t xml:space="preserve"> </w:t>
      </w:r>
      <w:hyperlink r:id="rId14">
        <w:r>
          <w:rPr>
            <w:color w:val="215C69"/>
            <w:u w:val="single"/>
          </w:rPr>
          <w:t>[R007]</w:t>
        </w:r>
      </w:hyperlink>
      <w:r>
        <w:t xml:space="preserve"> · </w:t>
      </w:r>
      <w:hyperlink r:id="rId16">
        <w:r>
          <w:rPr>
            <w:color w:val="215C69"/>
            <w:u w:val="single"/>
          </w:rPr>
          <w:t>[R041]</w:t>
        </w:r>
      </w:hyperlink>
    </w:p>
    <w:p>
      <w:r>
        <w:t>Поздняя рецепция представлена Mateh Dan / Kuzari Sheni Давида Ньето, впервые опубликованным в 1714 г.: это продолжение именно диалогической и полемической линии Kuzari. В реестре хранится доступный скан переиздания, а не утверждение, что найден экземпляр первой печати. Для латинской рецепции выбран конкретный фрагмент Summa theologiae I, q. 50, a. 2, где прямо обсуждается Avicebron. Комментарии Moscato и другие непроверенные поздние линии сохранены в gaps, а не отброшены как «соседняя эпоха».</w:t>
      </w:r>
      <w:r>
        <w:t xml:space="preserve"> </w:t>
      </w:r>
      <w:hyperlink r:id="rId44">
        <w:r>
          <w:rPr>
            <w:color w:val="215C69"/>
            <w:u w:val="single"/>
          </w:rPr>
          <w:t>[R047]</w:t>
        </w:r>
      </w:hyperlink>
      <w:r>
        <w:t xml:space="preserve"> · </w:t>
      </w:r>
      <w:hyperlink r:id="rId45">
        <w:r>
          <w:rPr>
            <w:color w:val="215C69"/>
            <w:u w:val="single"/>
          </w:rPr>
          <w:t>[R049]</w:t>
        </w:r>
      </w:hyperlink>
    </w:p>
    <w:p>
      <w:pPr>
        <w:pStyle w:val="Heading2"/>
      </w:pPr>
      <w:r>
        <w:t>Количественный итог и границы подсчёта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91"/>
            <w:vAlign w:val="top"/>
            <w:shd w:fill="18344A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6746"/>
            <w:vAlign w:val="top"/>
            <w:shd w:fill="18344A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91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Практически различные маршруты</w:t>
            </w:r>
          </w:p>
        </w:tc>
        <w:tc>
          <w:tcPr>
            <w:tcW w:type="dxa" w:w="6746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65 записей: 60 — первичные тексты, издания, переводы и свидетели; 4 — инфраструктура; 1 — вторичная навигация.</w:t>
            </w:r>
          </w:p>
        </w:tc>
      </w:tr>
      <w:tr>
        <w:trPr>
          <w:cantSplit/>
        </w:trPr>
        <w:tc>
          <w:tcPr>
            <w:tcW w:type="dxa" w:w="2891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Произведения и корпусные группы</w:t>
            </w:r>
          </w:p>
        </w:tc>
        <w:tc>
          <w:tcPr>
            <w:tcW w:type="dxa" w:w="6746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Порядка 30. Переводы одного труда объединены при оценке охвата; антологии и составные издания не приравниваются к одному новому произведению на каждый URL.</w:t>
            </w:r>
          </w:p>
        </w:tc>
      </w:tr>
      <w:tr>
        <w:trPr>
          <w:cantSplit/>
        </w:trPr>
        <w:tc>
          <w:tcPr>
            <w:tcW w:type="dxa" w:w="2891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Режимы доступа</w:t>
            </w:r>
          </w:p>
        </w:tc>
        <w:tc>
          <w:tcPr>
            <w:tcW w:type="dxa" w:w="6746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36 записей имеют free_full_read; 25 — free_download; 11 — purchase. Категории пересекаются и не складываются в общее число.</w:t>
            </w:r>
          </w:p>
        </w:tc>
      </w:tr>
      <w:tr>
        <w:trPr>
          <w:cantSplit/>
        </w:trPr>
        <w:tc>
          <w:tcPr>
            <w:tcW w:type="dxa" w:w="2891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Незакрытые направления</w:t>
            </w:r>
          </w:p>
        </w:tc>
        <w:tc>
          <w:tcPr>
            <w:tcW w:type="dxa" w:w="6746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36 записей gaps: 8 приоритетов P0, 14 P1, 14 P2. Это произведения, варианты доступа, права или проверка идентичности, а не 36 доказанно отсутствующих текстов.</w:t>
            </w:r>
          </w:p>
        </w:tc>
      </w:tr>
    </w:tbl>
    <w:p>
      <w:r>
        <w:t>В registry используются все необходимые типы релевантности: core — 12 маршрутов; same_corpus_or_tradition — 15; antecedent — 7; continuation — 3; commentary_or_reception — 5; transmission_or_preservation — 16; supporting — 1; boundary — 1; infrastructure — 4; secondary_navigation — 1. Эти числа описывают маршруты, не количество самостоятельных сочинений.</w:t>
      </w:r>
    </w:p>
    <w:p>
      <w:r>
        <w:t>Пометка free_full_read означает возможность прочитать представленный объект: им может быть один фрагмент, глава или письмо. Полнота всегда уточняется coverage. У ряда HathiTrust-карточек Full View объявлен библиотекой, но ридер не раскрылся инструменту; это отражено в verification_status и не выдаётся за полистную проверку.</w:t>
      </w:r>
    </w:p>
    <w:p>
      <w:r/>
    </w:p>
    <w:p>
      <w:pPr>
        <w:pStyle w:val="Heading1"/>
        <w:pageBreakBefore/>
      </w:pPr>
      <w:r>
        <w:t>3. Лучшие пути доступа</w:t>
      </w:r>
    </w:p>
    <w:p>
      <w:r>
        <w:t>Ниже — рекомендуемые варианты среди проверенных, а не утверждение об исчерпывающем превосходстве над всеми существующими изданиями. Номер R ведёт к той же записи XLSX; ссылки в отчёте кликабельны. Лицензия и техническая полнота определяются не названием произведения, а конкретной версией.</w:t>
      </w:r>
    </w:p>
    <w:p>
      <w:pPr>
        <w:pStyle w:val="Heading2"/>
      </w:pPr>
      <w:r>
        <w:t>Fons Vitae: полный латинский текст, эпитом, фрагменты</w:t>
      </w:r>
    </w:p>
    <w:p>
      <w:r>
        <w:t>Основной бесплатный вход — HathiTrust R001 с изданием Clemens Baeumker и обозначением полного тома Heft 2–4. Это полный издательский маршрут по каталогу, но работа всех страниц ридера не подтверждена. Для скачивания удобен институционально происходящий Harvard-скан в Internet Archive R002: на странице есть форматы PDF, EPUB, TXT и изображения. Однако его состав не следует автоматически приравнивать к полному тому R001: запись оставлена как substantial_part и требует сверки пагинации.</w:t>
      </w:r>
      <w:r>
        <w:t xml:space="preserve"> </w:t>
      </w:r>
      <w:hyperlink r:id="rId11">
        <w:r>
          <w:rPr>
            <w:color w:val="215C69"/>
            <w:u w:val="single"/>
          </w:rPr>
          <w:t>[R001]</w:t>
        </w:r>
      </w:hyperlink>
      <w:r>
        <w:t xml:space="preserve"> · </w:t>
      </w:r>
      <w:hyperlink r:id="rId12">
        <w:r>
          <w:rPr>
            <w:color w:val="215C69"/>
            <w:u w:val="single"/>
          </w:rPr>
          <w:t>[R002]</w:t>
        </w:r>
      </w:hyperlink>
    </w:p>
    <w:p>
      <w:r>
        <w:t>Ивритскую ветвь следует читать отдельно: Mélanges de philosophie juive et arabe Саломона Мунка, 1859, содержит эпитом Фалакеры и французский перевод. Полная доступность тома не превращает эпитом в полный арабский оригинал Fons Vitae. Современное ивритско-итальянское издание Gatti сохранено как каталожный вариант: проверенная страница сообщала отсутствие в наличии, поэтому тег PURCHASE не поставлен.</w:t>
      </w:r>
      <w:r>
        <w:t xml:space="preserve"> </w:t>
      </w:r>
      <w:hyperlink r:id="rId15">
        <w:r>
          <w:rPr>
            <w:color w:val="215C69"/>
            <w:u w:val="single"/>
          </w:rPr>
          <w:t>[R012]</w:t>
        </w:r>
      </w:hyperlink>
      <w:r>
        <w:t xml:space="preserve"> · </w:t>
      </w:r>
      <w:hyperlink r:id="rId46">
        <w:r>
          <w:rPr>
            <w:color w:val="215C69"/>
            <w:u w:val="single"/>
          </w:rPr>
          <w:t>[R042]</w:t>
        </w:r>
      </w:hyperlink>
    </w:p>
    <w:p>
      <w:r>
        <w:t>Рекомендуемый современный английский маршрут — перевод John A. Laumakis, Marquette University Press, 2014, через действующую страницу дистрибьютора. Другой английский вариант Jacob 1987 доступен здесь лишь как ограниченный HathiTrust-preview. Установленного полного публичнодоменного английского перевода Fons Vitae в этом запуске нет; его отсутствие не подменено свободным переводом другого сочинения Габироля.</w:t>
      </w:r>
      <w:r>
        <w:t xml:space="preserve"> </w:t>
      </w:r>
      <w:hyperlink r:id="rId47">
        <w:r>
          <w:rPr>
            <w:color w:val="215C69"/>
            <w:u w:val="single"/>
          </w:rPr>
          <w:t>[R024]</w:t>
        </w:r>
      </w:hyperlink>
      <w:r>
        <w:t xml:space="preserve"> · </w:t>
      </w:r>
      <w:hyperlink r:id="rId48">
        <w:r>
          <w:rPr>
            <w:color w:val="215C69"/>
            <w:u w:val="single"/>
          </w:rPr>
          <w:t>[R028]</w:t>
        </w:r>
      </w:hyperlink>
    </w:p>
    <w:p>
      <w:r>
        <w:t>Факсимильный вход — Vatican Urb. lat. 1427. Индивидуальная страница разрешает личное использование/изучение, но публикацию изображений связывает с разрешением библиотеки. Для арабских фрагментов установлена статья Fenton 1976, а не найден полный открытый арабский текст. Машинный EVT-проект полезен для дальнейшего поиска, но не получил рекомендации bulk-импорта: фактические данные и лицензия компонентов не проверены.</w:t>
      </w:r>
      <w:r>
        <w:t xml:space="preserve"> </w:t>
      </w:r>
      <w:hyperlink r:id="rId17">
        <w:r>
          <w:rPr>
            <w:color w:val="215C69"/>
            <w:u w:val="single"/>
          </w:rPr>
          <w:t>[R051]</w:t>
        </w:r>
      </w:hyperlink>
      <w:r>
        <w:t xml:space="preserve"> · </w:t>
      </w:r>
      <w:hyperlink r:id="rId49">
        <w:r>
          <w:rPr>
            <w:color w:val="215C69"/>
            <w:u w:val="single"/>
          </w:rPr>
          <w:t>[R052]</w:t>
        </w:r>
      </w:hyperlink>
      <w:r>
        <w:t xml:space="preserve"> · </w:t>
      </w:r>
      <w:hyperlink r:id="rId18">
        <w:r>
          <w:rPr>
            <w:color w:val="215C69"/>
            <w:u w:val="single"/>
          </w:rPr>
          <w:t>[R053]</w:t>
        </w:r>
      </w:hyperlink>
    </w:p>
    <w:p>
      <w:pPr>
        <w:pStyle w:val="Heading2"/>
      </w:pPr>
      <w:r>
        <w:t>Kuzari: наиболее свободный текст и наиболее ясное факсимиле</w:t>
      </w:r>
    </w:p>
    <w:p>
      <w:r>
        <w:t>Для немедленного чтения ивритской ветви лучший проверенный вход — Project Ben-Yehuda: коллекция № 1880 и текст read/7575. Основной текст Иуды ибн Тиббона открыт и помечен как общественное достояние. Дополнительные хазарские письма внутри коллекции нельзя автоматически считать произведениями Галеви. Для исходного языка важнее Hirschfeld 1887, объединяющий арабский текст и ивритскую версию; научный ориентир — Baneth–Ben-Shammai 1977, пока с подтверждённой официальной карточкой, но без проверенного полного файла.</w:t>
      </w:r>
      <w:r>
        <w:t xml:space="preserve"> </w:t>
      </w:r>
      <w:hyperlink r:id="rId50">
        <w:r>
          <w:rPr>
            <w:color w:val="215C69"/>
            <w:u w:val="single"/>
          </w:rPr>
          <w:t>[R019]</w:t>
        </w:r>
      </w:hyperlink>
      <w:r>
        <w:t xml:space="preserve"> · </w:t>
      </w:r>
      <w:hyperlink r:id="rId13">
        <w:r>
          <w:rPr>
            <w:color w:val="215C69"/>
            <w:u w:val="single"/>
          </w:rPr>
          <w:t>[R003]</w:t>
        </w:r>
      </w:hyperlink>
      <w:r>
        <w:t xml:space="preserve"> · </w:t>
      </w:r>
      <w:hyperlink r:id="rId51">
        <w:r>
          <w:rPr>
            <w:color w:val="215C69"/>
            <w:u w:val="single"/>
          </w:rPr>
          <w:t>[R004]</w:t>
        </w:r>
      </w:hyperlink>
    </w:p>
    <w:p>
      <w:r>
        <w:t>Самый удобный старый английский вариант — Hirschfeld 1905 на Wikisource: доступно оглавление всех пяти частей и заключения, одна из частей была открыта непосредственно. Исторический немецкий перевод также найден, но его PDM-карточка ведёт к доступу с территории кампуса Frankfurt; это не свободное удалённое чтение. Латинский Liber Cosri, Buxtorf 1660, сохранён отдельной библиотечной ветвью.</w:t>
      </w:r>
      <w:r>
        <w:t xml:space="preserve"> </w:t>
      </w:r>
      <w:hyperlink r:id="rId52">
        <w:r>
          <w:rPr>
            <w:color w:val="215C69"/>
            <w:u w:val="single"/>
          </w:rPr>
          <w:t>[R005]</w:t>
        </w:r>
      </w:hyperlink>
      <w:r>
        <w:t xml:space="preserve"> · </w:t>
      </w:r>
      <w:hyperlink r:id="rId53">
        <w:r>
          <w:rPr>
            <w:color w:val="215C69"/>
            <w:u w:val="single"/>
          </w:rPr>
          <w:t>[R006]</w:t>
        </w:r>
      </w:hyperlink>
      <w:r>
        <w:t xml:space="preserve"> · </w:t>
      </w:r>
      <w:hyperlink r:id="rId54">
        <w:r>
          <w:rPr>
            <w:color w:val="215C69"/>
            <w:u w:val="single"/>
          </w:rPr>
          <w:t>[R044]</w:t>
        </w:r>
      </w:hyperlink>
    </w:p>
    <w:p>
      <w:r>
        <w:t>Среди современных английских вариантов подтверждён перевод Daniel Korobkin и его редакционная история, но текущая страница Feldheim не открылась. Поэтому R056 — надёжная идентификация, а не обещание доступной покупки. Русский маршрут — авторизованный фрагмент в «Лехаим» и издательский preview; полного свободного русского Kuzari эти ссылки не дают.</w:t>
      </w:r>
      <w:r>
        <w:t xml:space="preserve"> </w:t>
      </w:r>
      <w:hyperlink r:id="rId55">
        <w:r>
          <w:rPr>
            <w:color w:val="215C69"/>
            <w:u w:val="single"/>
          </w:rPr>
          <w:t>[R056]</w:t>
        </w:r>
      </w:hyperlink>
      <w:r>
        <w:t xml:space="preserve"> · </w:t>
      </w:r>
      <w:hyperlink r:id="rId56">
        <w:r>
          <w:rPr>
            <w:color w:val="215C69"/>
            <w:u w:val="single"/>
          </w:rPr>
          <w:t>[R018]</w:t>
        </w:r>
      </w:hyperlink>
    </w:p>
    <w:p>
      <w:r>
        <w:t>Для собственного исследования рукописи наиболее прозрачна Bodley Or. 100: официальный IIIF manifest указывает CC BY-NC 4.0, датировку и состав. К Kuzari относятся ff. 1r–76r; следующий текст Псевдо-Птолемея не включён в область положительных тегов. Скачивание через IIIF — технический путь к изображениям, а не доказательство наличия готовой проверенной транскрипции.</w:t>
      </w:r>
      <w:r>
        <w:t xml:space="preserve"> </w:t>
      </w:r>
      <w:hyperlink r:id="rId16">
        <w:r>
          <w:rPr>
            <w:color w:val="215C69"/>
            <w:u w:val="single"/>
          </w:rPr>
          <w:t>[R041]</w:t>
        </w:r>
      </w:hyperlink>
    </w:p>
    <w:p>
      <w:pPr>
        <w:pStyle w:val="Heading2"/>
      </w:pPr>
      <w:r>
        <w:t>Ha-Emunah ha-Ramah и исторические труды Ибн Дауда</w:t>
      </w:r>
    </w:p>
    <w:p>
      <w:r>
        <w:t>Практический бесплатный вход — Daat со сканом старого издания Weil: оглавление и первый PDF проверены, остальные части перечислены платформой. HathiTrust даёт дополнительный Full View-маршрут к изданию 1852 г.; отдельная DDB-карточка с Public Domain Mark не подтверждает доступ ко всем компонентам параллельного издания. Старые немецкие и ивритские материалы здесь не заменяют утраченную арабскую книгу.</w:t>
      </w:r>
      <w:r>
        <w:t xml:space="preserve"> </w:t>
      </w:r>
      <w:hyperlink r:id="rId57">
        <w:r>
          <w:rPr>
            <w:color w:val="215C69"/>
            <w:u w:val="single"/>
          </w:rPr>
          <w:t>[R008]</w:t>
        </w:r>
      </w:hyperlink>
      <w:r>
        <w:t xml:space="preserve"> · </w:t>
      </w:r>
      <w:hyperlink r:id="rId58">
        <w:r>
          <w:rPr>
            <w:color w:val="215C69"/>
            <w:u w:val="single"/>
          </w:rPr>
          <w:t>[R009]</w:t>
        </w:r>
      </w:hyperlink>
      <w:r>
        <w:t xml:space="preserve"> · </w:t>
      </w:r>
      <w:hyperlink r:id="rId59">
        <w:r>
          <w:rPr>
            <w:color w:val="215C69"/>
            <w:u w:val="single"/>
          </w:rPr>
          <w:t>[R010]</w:t>
        </w:r>
      </w:hyperlink>
    </w:p>
    <w:p>
      <w:r>
        <w:t>Главный современный текстологический маршрут — Amira Eran, The Exalted Faith, 2019: обе ивритские переводные ветви и комментарий. Это защищённое издание с официальным путём покупки и ознакомительным материалом. Англоязычный Samuelson / Weiss 1986 сохранён как preview: он представляет другую издательскую ситуацию и не равнозначен новому сравнительному изданию обеих ветвей.</w:t>
      </w:r>
      <w:r>
        <w:t xml:space="preserve"> </w:t>
      </w:r>
      <w:hyperlink r:id="rId14">
        <w:r>
          <w:rPr>
            <w:color w:val="215C69"/>
            <w:u w:val="single"/>
          </w:rPr>
          <w:t>[R007]</w:t>
        </w:r>
      </w:hyperlink>
      <w:r>
        <w:t xml:space="preserve"> · </w:t>
      </w:r>
      <w:hyperlink r:id="rId60">
        <w:r>
          <w:rPr>
            <w:color w:val="215C69"/>
            <w:u w:val="single"/>
          </w:rPr>
          <w:t>[R027]</w:t>
        </w:r>
      </w:hyperlink>
    </w:p>
    <w:p>
      <w:r>
        <w:t>Sefer ha-Qabbalah можно бесплатно скачать с Daat: непосредственно открыт 38-страничный PDF старого текста. Современный ориентир — критическое издание и перевод Gerson D. Cohen через JPS / Nebraska. Для расширения авторского корпуса особенно полезен Dorot ‘Olam, Vehlow 2013: три сопутствующих раздела, включая римскую и израильскую исторические линии и Midrash Zechariah; один комплект доступа сохранён одной записью.</w:t>
      </w:r>
      <w:r>
        <w:t xml:space="preserve"> </w:t>
      </w:r>
      <w:hyperlink r:id="rId61">
        <w:r>
          <w:rPr>
            <w:color w:val="215C69"/>
            <w:u w:val="single"/>
          </w:rPr>
          <w:t>[R025]</w:t>
        </w:r>
      </w:hyperlink>
      <w:r>
        <w:t xml:space="preserve"> · </w:t>
      </w:r>
      <w:hyperlink r:id="rId62">
        <w:r>
          <w:rPr>
            <w:color w:val="215C69"/>
            <w:u w:val="single"/>
          </w:rPr>
          <w:t>[R026]</w:t>
        </w:r>
      </w:hyperlink>
      <w:r>
        <w:t xml:space="preserve"> · </w:t>
      </w:r>
      <w:hyperlink r:id="rId20">
        <w:r>
          <w:rPr>
            <w:color w:val="215C69"/>
            <w:u w:val="single"/>
          </w:rPr>
          <w:t>[R029]</w:t>
        </w:r>
      </w:hyperlink>
    </w:p>
    <w:p>
      <w:pPr>
        <w:pStyle w:val="Heading2"/>
      </w:pPr>
      <w:r>
        <w:t>Поэзия и этика</w:t>
      </w:r>
    </w:p>
    <w:p>
      <w:r>
        <w:t>Для Iṣlāḥ al-akhlāq найдено старое издание Stephen S. Wise 1901 с текстом и переводом, оцифрованное Cornell. Keter Malkhut доступен в старой религиозной антологии, в португальском переводе 1927 г. на Open Siddur и в английской адаптации отдельного исповедального раздела. Последняя не является полным «Царским венцом». Старые англоязычные подборки Галеви также сохранены отдельно от Kuzari.</w:t>
      </w:r>
      <w:r>
        <w:t xml:space="preserve"> </w:t>
      </w:r>
      <w:hyperlink r:id="rId19">
        <w:r>
          <w:rPr>
            <w:color w:val="215C69"/>
            <w:u w:val="single"/>
          </w:rPr>
          <w:t>[R011]</w:t>
        </w:r>
      </w:hyperlink>
      <w:r>
        <w:t xml:space="preserve"> · </w:t>
      </w:r>
      <w:hyperlink r:id="rId63">
        <w:r>
          <w:rPr>
            <w:color w:val="215C69"/>
            <w:u w:val="single"/>
          </w:rPr>
          <w:t>[R013]</w:t>
        </w:r>
      </w:hyperlink>
      <w:r>
        <w:t xml:space="preserve"> · </w:t>
      </w:r>
      <w:hyperlink r:id="rId64">
        <w:r>
          <w:rPr>
            <w:color w:val="215C69"/>
            <w:u w:val="single"/>
          </w:rPr>
          <w:t>[R014]</w:t>
        </w:r>
      </w:hyperlink>
      <w:r>
        <w:t xml:space="preserve"> · </w:t>
      </w:r>
      <w:hyperlink r:id="rId65">
        <w:r>
          <w:rPr>
            <w:color w:val="215C69"/>
            <w:u w:val="single"/>
          </w:rPr>
          <w:t>[R015]</w:t>
        </w:r>
      </w:hyperlink>
      <w:r>
        <w:t xml:space="preserve"> · </w:t>
      </w:r>
      <w:hyperlink r:id="rId23">
        <w:r>
          <w:rPr>
            <w:color w:val="215C69"/>
            <w:u w:val="single"/>
          </w:rPr>
          <w:t>[R040]</w:t>
        </w:r>
      </w:hyperlink>
    </w:p>
    <w:p>
      <w:r>
        <w:t>Современные научные пути к Keter — The Kingly Crown, Lewis / Gluck, University of Notre Dame Press, и Selected Poems Питера Коула на JSTOR. У Коула подборка включает полный Keter, но не весь поэтический корпус Габироля. Русский перевод Марка Кроля представлен издательской карточкой и авторизованной журнальной публикацией значительных отрывков. Mivḥar ha-Peninim вынесен отдельной строкой с неустранённой атрибутивной проблемой: название на титуле скана не позволяет безоговорочно приписать всё Габиролю.</w:t>
      </w:r>
      <w:r>
        <w:t xml:space="preserve"> </w:t>
      </w:r>
      <w:hyperlink r:id="rId66">
        <w:r>
          <w:rPr>
            <w:color w:val="215C69"/>
            <w:u w:val="single"/>
          </w:rPr>
          <w:t>[R054]</w:t>
        </w:r>
      </w:hyperlink>
      <w:r>
        <w:t xml:space="preserve"> · </w:t>
      </w:r>
      <w:hyperlink r:id="rId25">
        <w:r>
          <w:rPr>
            <w:color w:val="215C69"/>
            <w:u w:val="single"/>
          </w:rPr>
          <w:t>[R055]</w:t>
        </w:r>
      </w:hyperlink>
      <w:r>
        <w:t xml:space="preserve"> · </w:t>
      </w:r>
      <w:hyperlink r:id="rId67">
        <w:r>
          <w:rPr>
            <w:color w:val="215C69"/>
            <w:u w:val="single"/>
          </w:rPr>
          <w:t>[R016]</w:t>
        </w:r>
      </w:hyperlink>
      <w:r>
        <w:t xml:space="preserve"> · </w:t>
      </w:r>
      <w:hyperlink r:id="rId68">
        <w:r>
          <w:rPr>
            <w:color w:val="215C69"/>
            <w:u w:val="single"/>
          </w:rPr>
          <w:t>[R017]</w:t>
        </w:r>
      </w:hyperlink>
      <w:r>
        <w:t xml:space="preserve"> · </w:t>
      </w:r>
      <w:hyperlink r:id="rId24">
        <w:r>
          <w:rPr>
            <w:color w:val="215C69"/>
            <w:u w:val="single"/>
          </w:rPr>
          <w:t>[R043]</w:t>
        </w:r>
      </w:hyperlink>
    </w:p>
    <w:p>
      <w:pPr>
        <w:pStyle w:val="Heading2"/>
      </w:pPr>
      <w:r>
        <w:t>Тиббониды, Фалакера и машиночитаемые входы</w:t>
      </w:r>
    </w:p>
    <w:p>
      <w:r>
        <w:t>Из наиболее пригодных для самостоятельной работы текстов выделяются Maʾamar Yiqqawu ha-Mayim Самуэля ибн Тиббона на Wikisource и полный Sefer ha-Mevaqqesh Фалакеры на Ben-Yehuda. Для проверки старой печати последнего есть Daat-скан; для Iggeret ha-Vikkuah непосредственно открыт венский текст 1875 г. Moreh ha-Moreh доступен существенно, но не полностью проверен: PDF первой части не получен, тогда как части II–III и приложение открылись.</w:t>
      </w:r>
      <w:r>
        <w:t xml:space="preserve"> </w:t>
      </w:r>
      <w:hyperlink r:id="rId32">
        <w:r>
          <w:rPr>
            <w:color w:val="215C69"/>
            <w:u w:val="single"/>
          </w:rPr>
          <w:t>[R038]</w:t>
        </w:r>
      </w:hyperlink>
      <w:r>
        <w:t xml:space="preserve"> · </w:t>
      </w:r>
      <w:hyperlink r:id="rId27">
        <w:r>
          <w:rPr>
            <w:color w:val="215C69"/>
            <w:u w:val="single"/>
          </w:rPr>
          <w:t>[R058]</w:t>
        </w:r>
      </w:hyperlink>
      <w:r>
        <w:t xml:space="preserve"> · </w:t>
      </w:r>
      <w:hyperlink r:id="rId69">
        <w:r>
          <w:rPr>
            <w:color w:val="215C69"/>
            <w:u w:val="single"/>
          </w:rPr>
          <w:t>[R061]</w:t>
        </w:r>
      </w:hyperlink>
      <w:r>
        <w:t xml:space="preserve"> · </w:t>
      </w:r>
      <w:hyperlink r:id="rId29">
        <w:r>
          <w:rPr>
            <w:color w:val="215C69"/>
            <w:u w:val="single"/>
          </w:rPr>
          <w:t>[R060]</w:t>
        </w:r>
      </w:hyperlink>
      <w:r>
        <w:t xml:space="preserve"> · </w:t>
      </w:r>
      <w:hyperlink r:id="rId28">
        <w:r>
          <w:rPr>
            <w:color w:val="215C69"/>
            <w:u w:val="single"/>
          </w:rPr>
          <w:t>[R059]</w:t>
        </w:r>
      </w:hyperlink>
    </w:p>
    <w:p>
      <w:r>
        <w:t>Защищённые научные дополнения сохранены: Robinson 2007 для комментария к Экклесиасту; Harvey 1987 для Iggeret ha-Vikkuah; Jospe 1988 для трёх первичных разделов; Pearce 2017 для перевода завещания Иуды ибн Тиббона. Последнее приложение на JSTOR заблокировано институциональным экраном; кнопка XML в оглавлении не даёт права считать его открытым dataset.</w:t>
      </w:r>
      <w:r>
        <w:t xml:space="preserve"> </w:t>
      </w:r>
      <w:hyperlink r:id="rId33">
        <w:r>
          <w:rPr>
            <w:color w:val="215C69"/>
            <w:u w:val="single"/>
          </w:rPr>
          <w:t>[R039]</w:t>
        </w:r>
      </w:hyperlink>
      <w:r>
        <w:t xml:space="preserve"> · </w:t>
      </w:r>
      <w:hyperlink r:id="rId26">
        <w:r>
          <w:rPr>
            <w:color w:val="215C69"/>
            <w:u w:val="single"/>
          </w:rPr>
          <w:t>[R045]</w:t>
        </w:r>
      </w:hyperlink>
      <w:r>
        <w:t xml:space="preserve"> · </w:t>
      </w:r>
      <w:hyperlink r:id="rId31">
        <w:r>
          <w:rPr>
            <w:color w:val="215C69"/>
            <w:u w:val="single"/>
          </w:rPr>
          <w:t>[R064]</w:t>
        </w:r>
      </w:hyperlink>
      <w:r>
        <w:t xml:space="preserve"> · </w:t>
      </w:r>
      <w:hyperlink r:id="rId35">
        <w:r>
          <w:rPr>
            <w:color w:val="215C69"/>
            <w:u w:val="single"/>
          </w:rPr>
          <w:t>[R065]</w:t>
        </w:r>
      </w:hyperlink>
    </w:p>
    <w:p>
      <w:r>
        <w:t>Машиночитаемый слой неоднороден. PGP предлагает отдельно метаданные и текстовый экспорт; только первая лицензия уверенно установлена. Ben-Yehuda документирует бесплатный API-ключ, который требуется запросить, и лимит 50 запросов в минуту. Ключ не получался, вызовы авторизованных endpoints не выполнялись. Одна документация API не доказывает полноту конкретного экспорта и не отменяет права каждой версии.</w:t>
      </w:r>
      <w:r>
        <w:t xml:space="preserve"> </w:t>
      </w:r>
      <w:hyperlink r:id="rId70">
        <w:r>
          <w:rPr>
            <w:color w:val="215C69"/>
            <w:u w:val="single"/>
          </w:rPr>
          <w:t>[R022]</w:t>
        </w:r>
      </w:hyperlink>
      <w:r>
        <w:t xml:space="preserve"> · </w:t>
      </w:r>
      <w:hyperlink r:id="rId71">
        <w:r>
          <w:rPr>
            <w:color w:val="215C69"/>
            <w:u w:val="single"/>
          </w:rPr>
          <w:t>[R023]</w:t>
        </w:r>
      </w:hyperlink>
      <w:r>
        <w:t xml:space="preserve"> · </w:t>
      </w:r>
      <w:hyperlink r:id="rId72">
        <w:r>
          <w:rPr>
            <w:color w:val="215C69"/>
            <w:u w:val="single"/>
          </w:rPr>
          <w:t>[R062]</w:t>
        </w:r>
      </w:hyperlink>
    </w:p>
    <w:p>
      <w:r>
        <w:t>Для входящих арабских источников сейчас надёжнее официальные научные переводы и каталоговые записи, чем неподтверждённые сетевые тексты. Saadia 1880 даёт старый оригинальный слой; Cornell, Chicago и библиографическая запись Najāt обеспечивают точную идентификацию современных вариантов. Найденный Maqāṣid — законная книжная продажа, но не установленное лучшее критическое издание.</w:t>
      </w:r>
      <w:r>
        <w:t xml:space="preserve"> </w:t>
      </w:r>
      <w:hyperlink r:id="rId36">
        <w:r>
          <w:rPr>
            <w:color w:val="215C69"/>
            <w:u w:val="single"/>
          </w:rPr>
          <w:t>[R030]</w:t>
        </w:r>
      </w:hyperlink>
      <w:r>
        <w:t xml:space="preserve"> · </w:t>
      </w:r>
      <w:hyperlink r:id="rId39">
        <w:r>
          <w:rPr>
            <w:color w:val="215C69"/>
            <w:u w:val="single"/>
          </w:rPr>
          <w:t>[R034]</w:t>
        </w:r>
      </w:hyperlink>
      <w:r>
        <w:t xml:space="preserve"> · </w:t>
      </w:r>
      <w:hyperlink r:id="rId40">
        <w:r>
          <w:rPr>
            <w:color w:val="215C69"/>
            <w:u w:val="single"/>
          </w:rPr>
          <w:t>[R035]</w:t>
        </w:r>
      </w:hyperlink>
      <w:r>
        <w:t xml:space="preserve"> · </w:t>
      </w:r>
      <w:hyperlink r:id="rId41">
        <w:r>
          <w:rPr>
            <w:color w:val="215C69"/>
            <w:u w:val="single"/>
          </w:rPr>
          <w:t>[R036]</w:t>
        </w:r>
      </w:hyperlink>
      <w:r>
        <w:t xml:space="preserve"> · </w:t>
      </w:r>
      <w:hyperlink r:id="rId42">
        <w:r>
          <w:rPr>
            <w:color w:val="215C69"/>
            <w:u w:val="single"/>
          </w:rPr>
          <w:t>[R037]</w:t>
        </w:r>
      </w:hyperlink>
    </w:p>
    <w:p>
      <w:r/>
    </w:p>
    <w:p>
      <w:pPr>
        <w:pStyle w:val="Heading1"/>
        <w:pageBreakBefore/>
      </w:pPr>
      <w:r>
        <w:t>4. Карта прав и практического использования</w:t>
      </w:r>
    </w:p>
    <w:p>
      <w:pPr>
        <w:pStyle w:val="Heading2"/>
      </w:pPr>
      <w:r>
        <w:t>Слои с наиболее ясным повторным использованием</w:t>
      </w:r>
    </w:p>
    <w:p>
      <w:r>
        <w:rPr>
          <w:b/>
        </w:rPr>
        <w:t>Общественное достояние:</w:t>
      </w:r>
      <w:r>
        <w:t xml:space="preserve"> R019 и R058 дают конкретные ивритские тексты с item-level заявлением Ben-Yehuda. Для ToS это наиболее чистый материал для собственного размещения, полнотекстового поиска и нового перевода. Разрешение ограничено основным текстом: портреты, интерфейс, сторонние материалы и самостоятельный современный редакционный аппарат не включаются. Теги индексации и embeddings здесь — правовая интерпретация статуса текста, а не отдельное заявление проекта об искусственном интеллекте.</w:t>
      </w:r>
      <w:r>
        <w:t xml:space="preserve"> </w:t>
      </w:r>
      <w:hyperlink r:id="rId50">
        <w:r>
          <w:rPr>
            <w:color w:val="215C69"/>
            <w:u w:val="single"/>
          </w:rPr>
          <w:t>[R019]</w:t>
        </w:r>
      </w:hyperlink>
      <w:r>
        <w:t xml:space="preserve"> · </w:t>
      </w:r>
      <w:hyperlink r:id="rId27">
        <w:r>
          <w:rPr>
            <w:color w:val="215C69"/>
            <w:u w:val="single"/>
          </w:rPr>
          <w:t>[R058]</w:t>
        </w:r>
      </w:hyperlink>
    </w:p>
    <w:p>
      <w:r>
        <w:rPr>
          <w:b/>
        </w:rPr>
        <w:t>ShareAlike:</w:t>
      </w:r>
      <w:r>
        <w:t xml:space="preserve"> R038 — ивритская транскрипция Maʾamar Yiqqawu ha-Mayim. Для охраняемых цифровых вкладов Wikisource следует сохранять атрибуцию, историю и применимую CC BY-SA 4.0; исходный средневековый текст и новая цифровая работа не смешиваются. Новый перевод необходимо связывать с конкретной исходной версией, а не представлять результатом работы с современным критическим изданием.</w:t>
      </w:r>
      <w:r>
        <w:t xml:space="preserve"> </w:t>
      </w:r>
      <w:hyperlink r:id="rId32">
        <w:r>
          <w:rPr>
            <w:color w:val="215C69"/>
            <w:u w:val="single"/>
          </w:rPr>
          <w:t>[R038]</w:t>
        </w:r>
      </w:hyperlink>
    </w:p>
    <w:p>
      <w:r>
        <w:rPr>
          <w:b/>
        </w:rPr>
        <w:t>Некоммерческое использование:</w:t>
      </w:r>
      <w:r>
        <w:t xml:space="preserve"> R041 предоставляет CC BY-NC 4.0 на изображения конкретной Bodley Or. 100. Возможны некоммерческое зеркалирование, OCR и производные исследовательские представления с атрибуцией и сохранением уведомлений, но только для указанных листов Kuzari. Для индекса и embeddings вывод основан на разрешении переработки; он не снимает ограничения NC. R022 аналогично допускает некоммерческую работу с метаданными PGP, но совершенно не предоставляет права на все связанные фотографии и переводы.</w:t>
      </w:r>
      <w:r>
        <w:t xml:space="preserve"> </w:t>
      </w:r>
      <w:hyperlink r:id="rId16">
        <w:r>
          <w:rPr>
            <w:color w:val="215C69"/>
            <w:u w:val="single"/>
          </w:rPr>
          <w:t>[R041]</w:t>
        </w:r>
      </w:hyperlink>
      <w:r>
        <w:t xml:space="preserve"> · </w:t>
      </w:r>
      <w:hyperlink r:id="rId70">
        <w:r>
          <w:rPr>
            <w:color w:val="215C69"/>
            <w:u w:val="single"/>
          </w:rPr>
          <w:t>[R022]</w:t>
        </w:r>
      </w:hyperlink>
    </w:p>
    <w:p>
      <w:r>
        <w:rPr>
          <w:b/>
        </w:rPr>
        <w:t>Только неизменённое распространение:</w:t>
      </w:r>
      <w:r>
        <w:t xml:space="preserve"> Rewriting Maimonides, R048, помечен CC BY-NC-ND 4.0. Его неизменённые лицензированные издательские файлы можно рассматривать для некоммерческого распространения с атрибуцией. Публикация переработанного текста, собственного перевода с этого перевода, отдельной очищенной транскрипции или производного текстового ресурса не получает автоматического разрешения. Нужны отдельная чистая основа или проверка прав. Конкретный PDF главы о Фалакере инструментом не получен; проверены лицензия книги, оглавление и другой первичный раздел.</w:t>
      </w:r>
      <w:r>
        <w:t xml:space="preserve"> </w:t>
      </w:r>
      <w:hyperlink r:id="rId73">
        <w:r>
          <w:rPr>
            <w:color w:val="215C69"/>
            <w:u w:val="single"/>
          </w:rPr>
          <w:t>[R048]</w:t>
        </w:r>
      </w:hyperlink>
    </w:p>
    <w:p>
      <w:pPr>
        <w:pStyle w:val="Heading2"/>
      </w:pPr>
      <w:r>
        <w:t>Бесплатно доступное, но не пригодное для автоматического зеркала</w:t>
      </w:r>
    </w:p>
    <w:p>
      <w:r>
        <w:t>Daat и исторические сканы в Internet Archive дают полезные законные чтение и скачивание, однако в большинстве соответствующих строк не найдено прямое разрешение повторного размещения именно цифрового объекта. Поэтому FREE_DOWNLOAD и LOCAL_RESEARCH_COPY не сопровождаются MIRROR_OK. При обозначении локальной копии подразумевается разрешённое источником исследовательское использование, а не массовая выгрузка вопреки техническим или договорным ограничениям.</w:t>
      </w:r>
      <w:r>
        <w:t xml:space="preserve"> </w:t>
      </w:r>
      <w:hyperlink r:id="rId59">
        <w:r>
          <w:rPr>
            <w:color w:val="215C69"/>
            <w:u w:val="single"/>
          </w:rPr>
          <w:t>[R010]</w:t>
        </w:r>
      </w:hyperlink>
      <w:r>
        <w:t xml:space="preserve"> · </w:t>
      </w:r>
      <w:hyperlink r:id="rId19">
        <w:r>
          <w:rPr>
            <w:color w:val="215C69"/>
            <w:u w:val="single"/>
          </w:rPr>
          <w:t>[R011]</w:t>
        </w:r>
      </w:hyperlink>
      <w:r>
        <w:t xml:space="preserve"> · </w:t>
      </w:r>
      <w:hyperlink r:id="rId61">
        <w:r>
          <w:rPr>
            <w:color w:val="215C69"/>
            <w:u w:val="single"/>
          </w:rPr>
          <w:t>[R025]</w:t>
        </w:r>
      </w:hyperlink>
      <w:r>
        <w:t xml:space="preserve"> · </w:t>
      </w:r>
      <w:hyperlink r:id="rId24">
        <w:r>
          <w:rPr>
            <w:color w:val="215C69"/>
            <w:u w:val="single"/>
          </w:rPr>
          <w:t>[R043]</w:t>
        </w:r>
      </w:hyperlink>
      <w:r>
        <w:t xml:space="preserve"> · </w:t>
      </w:r>
      <w:hyperlink r:id="rId28">
        <w:r>
          <w:rPr>
            <w:color w:val="215C69"/>
            <w:u w:val="single"/>
          </w:rPr>
          <w:t>[R059]</w:t>
        </w:r>
      </w:hyperlink>
      <w:r>
        <w:t xml:space="preserve"> · </w:t>
      </w:r>
      <w:hyperlink r:id="rId29">
        <w:r>
          <w:rPr>
            <w:color w:val="215C69"/>
            <w:u w:val="single"/>
          </w:rPr>
          <w:t>[R060]</w:t>
        </w:r>
      </w:hyperlink>
    </w:p>
    <w:p>
      <w:r>
        <w:t>Open Siddur показывает, почему проверка должна быть послойной. CC0 на вклад по оцифровке не является новым разрешением переводчика на старый португальский или английский текст во всех странах. Сведения о давности публикации дают основания для анализа общественного достояния в США, но не для безусловного глобального распространения. Теги MIRROR и OWN_TRANSLATION к этим переводам не поставлены.</w:t>
      </w:r>
      <w:r>
        <w:t xml:space="preserve"> </w:t>
      </w:r>
      <w:hyperlink r:id="rId64">
        <w:r>
          <w:rPr>
            <w:color w:val="215C69"/>
            <w:u w:val="single"/>
          </w:rPr>
          <w:t>[R014]</w:t>
        </w:r>
      </w:hyperlink>
      <w:r>
        <w:t xml:space="preserve"> · </w:t>
      </w:r>
      <w:hyperlink r:id="rId65">
        <w:r>
          <w:rPr>
            <w:color w:val="215C69"/>
            <w:u w:val="single"/>
          </w:rPr>
          <w:t>[R015]</w:t>
        </w:r>
      </w:hyperlink>
    </w:p>
    <w:p>
      <w:r>
        <w:t>Перевод Duties of the Heart, Sebag, имеет собственные условия: некоммерческая передача допускается, загрузка на другие сайты запрещена. Для ToS это полезная внешняя ссылка и локальный исследовательский маршрут, но не зеркало, несмотря на некоммерческий характер проекта. Ватиканская рукопись имеет другую форму ограничения: личное изучение допустимо, опубликование изображения требует разрешения.</w:t>
      </w:r>
      <w:r>
        <w:t xml:space="preserve"> </w:t>
      </w:r>
      <w:hyperlink r:id="rId21">
        <w:r>
          <w:rPr>
            <w:color w:val="215C69"/>
            <w:u w:val="single"/>
          </w:rPr>
          <w:t>[R032]</w:t>
        </w:r>
      </w:hyperlink>
      <w:r>
        <w:t xml:space="preserve"> · </w:t>
      </w:r>
      <w:hyperlink r:id="rId17">
        <w:r>
          <w:rPr>
            <w:color w:val="215C69"/>
            <w:u w:val="single"/>
          </w:rPr>
          <w:t>[R051]</w:t>
        </w:r>
      </w:hyperlink>
    </w:p>
    <w:p>
      <w:pPr>
        <w:pStyle w:val="Heading2"/>
      </w:pPr>
      <w:r>
        <w:t>Покупка, институциональный доступ, каталог</w:t>
      </w:r>
    </w:p>
    <w:p>
      <w:r>
        <w:t>Современные критические издания и переводы Eran, Samuelson, Laumakis, Cohen, Lewis / Gluck, Cole, Robinson, Jospe и Pearce сохранены именно как научно ценные законные варианты. Покупка книги или библиотечная подписка не становятся правом создавать публичный корпус её переводов и аппарата. ToS может вести библиографические карточки и внешние ссылки; MIRROR, публичный OCR и embeddings для этих защищённых слоёв не разрешены данным реестром.</w:t>
      </w:r>
      <w:r>
        <w:t xml:space="preserve"> </w:t>
      </w:r>
      <w:hyperlink r:id="rId14">
        <w:r>
          <w:rPr>
            <w:color w:val="215C69"/>
            <w:u w:val="single"/>
          </w:rPr>
          <w:t>[R007]</w:t>
        </w:r>
      </w:hyperlink>
      <w:r>
        <w:t xml:space="preserve"> · </w:t>
      </w:r>
      <w:hyperlink r:id="rId60">
        <w:r>
          <w:rPr>
            <w:color w:val="215C69"/>
            <w:u w:val="single"/>
          </w:rPr>
          <w:t>[R027]</w:t>
        </w:r>
      </w:hyperlink>
      <w:r>
        <w:t xml:space="preserve"> · </w:t>
      </w:r>
      <w:hyperlink r:id="rId48">
        <w:r>
          <w:rPr>
            <w:color w:val="215C69"/>
            <w:u w:val="single"/>
          </w:rPr>
          <w:t>[R028]</w:t>
        </w:r>
      </w:hyperlink>
      <w:r>
        <w:t xml:space="preserve"> · </w:t>
      </w:r>
      <w:hyperlink r:id="rId62">
        <w:r>
          <w:rPr>
            <w:color w:val="215C69"/>
            <w:u w:val="single"/>
          </w:rPr>
          <w:t>[R026]</w:t>
        </w:r>
      </w:hyperlink>
      <w:r>
        <w:t xml:space="preserve"> · </w:t>
      </w:r>
      <w:hyperlink r:id="rId66">
        <w:r>
          <w:rPr>
            <w:color w:val="215C69"/>
            <w:u w:val="single"/>
          </w:rPr>
          <w:t>[R054]</w:t>
        </w:r>
      </w:hyperlink>
      <w:r>
        <w:t xml:space="preserve"> · </w:t>
      </w:r>
      <w:hyperlink r:id="rId25">
        <w:r>
          <w:rPr>
            <w:color w:val="215C69"/>
            <w:u w:val="single"/>
          </w:rPr>
          <w:t>[R055]</w:t>
        </w:r>
      </w:hyperlink>
      <w:r>
        <w:t xml:space="preserve"> · </w:t>
      </w:r>
      <w:hyperlink r:id="rId33">
        <w:r>
          <w:rPr>
            <w:color w:val="215C69"/>
            <w:u w:val="single"/>
          </w:rPr>
          <w:t>[R039]</w:t>
        </w:r>
      </w:hyperlink>
      <w:r>
        <w:t xml:space="preserve"> · </w:t>
      </w:r>
      <w:hyperlink r:id="rId31">
        <w:r>
          <w:rPr>
            <w:color w:val="215C69"/>
            <w:u w:val="single"/>
          </w:rPr>
          <w:t>[R064]</w:t>
        </w:r>
      </w:hyperlink>
      <w:r>
        <w:t xml:space="preserve"> · </w:t>
      </w:r>
      <w:hyperlink r:id="rId35">
        <w:r>
          <w:rPr>
            <w:color w:val="215C69"/>
            <w:u w:val="single"/>
          </w:rPr>
          <w:t>[R065]</w:t>
        </w:r>
      </w:hyperlink>
    </w:p>
    <w:p>
      <w:r>
        <w:t>Конкретная действующая выдача library_borrow или Controlled Digital Lending не была подтверждена. Их отсутствие среди тегов не означает, что бумажные книги невозможно заказать в библиотеке: «Find in a library» — поиск экземпляра, а не подтверждённая выдача пользователю. Регистрация нигде не выполнялась; источникам и правообладателям сообщения не отправлялись.</w:t>
      </w:r>
    </w:p>
    <w:p>
      <w:pPr>
        <w:pStyle w:val="Heading2"/>
      </w:pPr>
      <w:r>
        <w:t>Основа для собственного перевода ToS</w:t>
      </w:r>
    </w:p>
    <w:p>
      <w:r>
        <w:t>Положительный OWN_TRANSLATION_POSSIBLE поставлен только четырём маршрутам: ивритский Kuzari на Ben-Yehuda (R019), Maʾamar Yiqqawu ha-Mayim на Wikisource (R038), листы Kuzari в Bodley Or. 100 (R041) и Sefer ha-Mevaqqesh на Ben-Yehuda (R058). В каждом случае названа конкретная основа и ограничен объём. Перевод с R019 или R041 будет переводом ивритской ветви, а не восстановленным переводом с утраченными или непроверенными арабскими чтениями.</w:t>
      </w:r>
    </w:p>
    <w:p>
      <w:r>
        <w:t>Для Fons Vitae и Ha-Emunah потенциал собственного перевода исторических версий существует, но безусловный тег пока не присвоен: требуется выбрать точное старое издание/свидетель, проверить цифровые условия и применимую юрисдикцию, затем исключить защищённую современную реконструкцию и аппарат. Современный английский или русский перевод не считается «чистой основой» только потому, что оригинальное произведение средневековое.</w:t>
      </w:r>
    </w:p>
    <w:p>
      <w:r/>
    </w:p>
    <w:p>
      <w:pPr>
        <w:pStyle w:val="Heading1"/>
        <w:pageBreakBefore/>
      </w:pPr>
      <w:r>
        <w:t>5. Характерные правовые и текстологические тонкости</w:t>
      </w:r>
    </w:p>
    <w:p>
      <w:pPr>
        <w:pStyle w:val="Heading2"/>
      </w:pPr>
      <w:r>
        <w:t>Полнота не наследуется от контейнера</w:t>
      </w:r>
    </w:p>
    <w:p>
      <w:r>
        <w:t>Полный том Мунка содержит неполный по отношению к Fons Vitae эпитом. Полная поэтическая антология не равна всему авторскому корпусу. Полный PDF одной главы не равен полному комментарию. В R048 доступ к одному открытому разделу книги не превращён в факт скачивания главы о Фалакере. Поэтому coverage читается вместе с version_edition_or_translation и verification_status, а не отдельно.</w:t>
      </w:r>
      <w:r>
        <w:t xml:space="preserve"> </w:t>
      </w:r>
      <w:hyperlink r:id="rId15">
        <w:r>
          <w:rPr>
            <w:color w:val="215C69"/>
            <w:u w:val="single"/>
          </w:rPr>
          <w:t>[R012]</w:t>
        </w:r>
      </w:hyperlink>
      <w:r>
        <w:t xml:space="preserve"> · </w:t>
      </w:r>
      <w:hyperlink r:id="rId63">
        <w:r>
          <w:rPr>
            <w:color w:val="215C69"/>
            <w:u w:val="single"/>
          </w:rPr>
          <w:t>[R013]</w:t>
        </w:r>
      </w:hyperlink>
      <w:r>
        <w:t xml:space="preserve"> · </w:t>
      </w:r>
      <w:hyperlink r:id="rId73">
        <w:r>
          <w:rPr>
            <w:color w:val="215C69"/>
            <w:u w:val="single"/>
          </w:rPr>
          <w:t>[R048]</w:t>
        </w:r>
      </w:hyperlink>
      <w:r>
        <w:t xml:space="preserve"> · </w:t>
      </w:r>
      <w:hyperlink r:id="rId28">
        <w:r>
          <w:rPr>
            <w:color w:val="215C69"/>
            <w:u w:val="single"/>
          </w:rPr>
          <w:t>[R059]</w:t>
        </w:r>
      </w:hyperlink>
    </w:p>
    <w:p>
      <w:pPr>
        <w:pStyle w:val="Heading2"/>
      </w:pPr>
      <w:r>
        <w:t>Возраст произведения, версия и цифровая копия — разные даты</w:t>
      </w:r>
    </w:p>
    <w:p>
      <w:r>
        <w:t>Ибн Дауд писал в XII в., но важные сохранившиеся ивритские переводы относятся к концу XIV в. Скан XIX-векового издания может воспроизводить эту позднюю ветвь, а современное переиздание добавляет ещё один слой. Для Mateh Dan дата 1714 описывает первую публикацию произведения, но не автоматически происхождение доступного PDF. По этой причине в поле original_date и описании версии сохранены разные даты.</w:t>
      </w:r>
      <w:r>
        <w:t xml:space="preserve"> </w:t>
      </w:r>
      <w:hyperlink r:id="rId14">
        <w:r>
          <w:rPr>
            <w:color w:val="215C69"/>
            <w:u w:val="single"/>
          </w:rPr>
          <w:t>[R007]</w:t>
        </w:r>
      </w:hyperlink>
      <w:r>
        <w:t xml:space="preserve"> · </w:t>
      </w:r>
      <w:hyperlink r:id="rId57">
        <w:r>
          <w:rPr>
            <w:color w:val="215C69"/>
            <w:u w:val="single"/>
          </w:rPr>
          <w:t>[R008]</w:t>
        </w:r>
      </w:hyperlink>
      <w:r>
        <w:t xml:space="preserve"> · </w:t>
      </w:r>
      <w:hyperlink r:id="rId44">
        <w:r>
          <w:rPr>
            <w:color w:val="215C69"/>
            <w:u w:val="single"/>
          </w:rPr>
          <w:t>[R047]</w:t>
        </w:r>
      </w:hyperlink>
    </w:p>
    <w:p>
      <w:pPr>
        <w:pStyle w:val="Heading2"/>
      </w:pPr>
      <w:r>
        <w:t>Public Domain Mark не обещает удалённый доступ</w:t>
      </w:r>
    </w:p>
    <w:p>
      <w:r>
        <w:t>Немецкий Kuzari в DDB — особенно полезный контрольный случай: item-level Public Domain Mark сосуществует с доступом через университетский кампус. PDM — заявление о статусе, а не лицензия и не работающая ссылка на свободный файл. Аналогично HathiTrust Full View может требовать дополнительной проверки ридера, регионального режима и возможности скачивания.</w:t>
      </w:r>
      <w:r>
        <w:t xml:space="preserve"> </w:t>
      </w:r>
      <w:hyperlink r:id="rId53">
        <w:r>
          <w:rPr>
            <w:color w:val="215C69"/>
            <w:u w:val="single"/>
          </w:rPr>
          <w:t>[R006]</w:t>
        </w:r>
      </w:hyperlink>
      <w:r>
        <w:t xml:space="preserve"> · </w:t>
      </w:r>
      <w:hyperlink r:id="rId58">
        <w:r>
          <w:rPr>
            <w:color w:val="215C69"/>
            <w:u w:val="single"/>
          </w:rPr>
          <w:t>[R009]</w:t>
        </w:r>
      </w:hyperlink>
    </w:p>
    <w:p>
      <w:pPr>
        <w:pStyle w:val="Heading2"/>
      </w:pPr>
      <w:r>
        <w:t>Метаданные и атрибуции требуют осторожности</w:t>
      </w:r>
    </w:p>
    <w:p>
      <w:r>
        <w:t>У Mivḥar ha-Peninim сохранена неопределённость атрибуции: нельзя выдать заголовок позднего титула или привычную авторскую рубрику за доказанное авторство. У Fenton, Philosophie et exégèse, противоречивый год Google Books сверён с библиотечным каталогом; используется 1997, а не ошибочное поле 1968. Датировка гаагского Sefer ha-Mevaqqesh оставлена открытой там, где титул и каталоги ещё не согласованы. Это не повод исправлять исходную мастер-строку или скрывать расхождение.</w:t>
      </w:r>
      <w:r>
        <w:t xml:space="preserve"> </w:t>
      </w:r>
      <w:hyperlink r:id="rId24">
        <w:r>
          <w:rPr>
            <w:color w:val="215C69"/>
            <w:u w:val="single"/>
          </w:rPr>
          <w:t>[R043]</w:t>
        </w:r>
      </w:hyperlink>
      <w:r>
        <w:t xml:space="preserve"> · </w:t>
      </w:r>
      <w:hyperlink r:id="rId74">
        <w:r>
          <w:rPr>
            <w:color w:val="215C69"/>
            <w:u w:val="single"/>
          </w:rPr>
          <w:t>[R057]</w:t>
        </w:r>
      </w:hyperlink>
      <w:r>
        <w:t xml:space="preserve"> · </w:t>
      </w:r>
      <w:hyperlink r:id="rId69">
        <w:r>
          <w:rPr>
            <w:color w:val="215C69"/>
            <w:u w:val="single"/>
          </w:rPr>
          <w:t>[R061]</w:t>
        </w:r>
      </w:hyperlink>
    </w:p>
    <w:p>
      <w:pPr>
        <w:pStyle w:val="Heading2"/>
      </w:pPr>
      <w:r>
        <w:t>Лицензия проекта не равна лицензии всей экосистемы</w:t>
      </w:r>
    </w:p>
    <w:p>
      <w:r>
        <w:t>PGP-метаданные, PGP-транскрипции, фотографии JTS и переводы Scheindlin или других исследователей — разные компоненты. Точно так же Sefaria, Ben-Yehuda и EVT могут объединять версии с различными условиями. При неизвестной области лицензии запись не удалена, но сильный тег не распространяется на соседние компоненты. Высокая rights_confidence может означать уверенность в ограничении, например в запрете публикации без разрешения, а не высокую степень открытости.</w:t>
      </w:r>
      <w:r>
        <w:t xml:space="preserve"> </w:t>
      </w:r>
      <w:hyperlink r:id="rId75">
        <w:r>
          <w:rPr>
            <w:color w:val="215C69"/>
            <w:u w:val="single"/>
          </w:rPr>
          <w:t>[R021]</w:t>
        </w:r>
      </w:hyperlink>
      <w:r>
        <w:t xml:space="preserve"> · </w:t>
      </w:r>
      <w:hyperlink r:id="rId70">
        <w:r>
          <w:rPr>
            <w:color w:val="215C69"/>
            <w:u w:val="single"/>
          </w:rPr>
          <w:t>[R022]</w:t>
        </w:r>
      </w:hyperlink>
      <w:r>
        <w:t xml:space="preserve"> · </w:t>
      </w:r>
      <w:hyperlink r:id="rId71">
        <w:r>
          <w:rPr>
            <w:color w:val="215C69"/>
            <w:u w:val="single"/>
          </w:rPr>
          <w:t>[R023]</w:t>
        </w:r>
      </w:hyperlink>
      <w:r>
        <w:t xml:space="preserve"> · </w:t>
      </w:r>
      <w:hyperlink r:id="rId76">
        <w:r>
          <w:rPr>
            <w:color w:val="215C69"/>
            <w:u w:val="single"/>
          </w:rPr>
          <w:t>[R020]</w:t>
        </w:r>
      </w:hyperlink>
      <w:r>
        <w:t xml:space="preserve"> · </w:t>
      </w:r>
      <w:hyperlink r:id="rId17">
        <w:r>
          <w:rPr>
            <w:color w:val="215C69"/>
            <w:u w:val="single"/>
          </w:rPr>
          <w:t>[R051]</w:t>
        </w:r>
      </w:hyperlink>
      <w:r>
        <w:t xml:space="preserve"> · </w:t>
      </w:r>
      <w:hyperlink r:id="rId72">
        <w:r>
          <w:rPr>
            <w:color w:val="215C69"/>
            <w:u w:val="single"/>
          </w:rPr>
          <w:t>[R062]</w:t>
        </w:r>
      </w:hyperlink>
    </w:p>
    <w:p>
      <w:r>
        <w:t>Правовой вывод по общественному достоянию в одной стране не объявлен универсальным. Реестр предназначен для отбора и планирования использования, а не заменяет юрисдикционную проверку перед публичным размещением. Отсутствие дохода у ToS само по себе не отменяет авторские права, условия сайта, ShareAlike или NoDerivatives.</w:t>
      </w:r>
    </w:p>
    <w:p>
      <w:r/>
    </w:p>
    <w:p>
      <w:pPr>
        <w:pStyle w:val="Heading1"/>
        <w:pageBreakBefore/>
      </w:pPr>
      <w:r>
        <w:t>6. Пробелы и дальнейший поиск</w:t>
      </w:r>
    </w:p>
    <w:p>
      <w:r>
        <w:t>Исследование завершено как пакет найденных маршрутов, но не как исчерпывающий каталог всей текстовой семьи. Продолжали появляться содержательные дополнения, особенно внутри корпуса Фалакеры; незавершённые кандидаты сохранены в gaps. Основные ограничения — заблокированные или неработающие ридеры, неполученные отдельные PDF, неизвестные component-level права и не до конца проверенные идентичности изданий. «Не найден пригодный доступ» нигде не означает «произведение не существует».</w:t>
      </w:r>
    </w:p>
    <w:p>
      <w:r>
        <w:t>Все главные якоря исходного DR имеют маршрут или явный пробел: три философских труда, поэма Keter Malkhut, Sefer ha-Qabbalah, эпитом Фалакеры и письмо 1139 г. имеют записи registry; арабские фрагменты представлены библиографическим входом и задачей получения текста. Наиболее существенный незакрытый объект переводческой инфраструктуры — Perush ha-Millot ha-Zarot.</w:t>
      </w:r>
    </w:p>
    <w:p>
      <w:pPr>
        <w:pStyle w:val="Heading2"/>
      </w:pPr>
      <w:r>
        <w:t>Восемь приоритетных направлений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31"/>
            <w:vAlign w:val="top"/>
            <w:shd w:fill="18344A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6406"/>
            <w:vAlign w:val="top"/>
            <w:shd w:fill="18344A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Что даст следующий целевой проход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1. Арабские остатки Габироля</w:t>
              <w:br/>
              <w:t>G001–G003</w:t>
            </w:r>
          </w:p>
        </w:tc>
        <w:tc>
          <w:tcPr>
            <w:tcW w:type="dxa" w:w="6406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Pines 1958, Fenton 1976, Maqālat al-Ḥadīqa: получить законные статьи/свидетели; отделить цитаты от реконструкций и уточнить полный ивритский перевод против эпитома.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2. Свидетели и критические тексты ядра</w:t>
              <w:br/>
              <w:t>G004–G008, G013–G015</w:t>
            </w:r>
          </w:p>
        </w:tc>
        <w:tc>
          <w:tcPr>
            <w:tcW w:type="dxa" w:w="6406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Установить шифры обеих ветвей Ha-Emunah; открыть NLI/Ktiv, дополнительные Oxford/Cambridge и латинские свидетели; найти полный научный Kuzari и актуальные издательские варианты.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3. Разрешения на цифровые компоненты</w:t>
              <w:br/>
              <w:t>G009–G012</w:t>
            </w:r>
          </w:p>
        </w:tc>
        <w:tc>
          <w:tcPr>
            <w:tcW w:type="dxa" w:w="6406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Развести PGP metadata/text/JTS images; проверить версии Sefaria; раскрыть реальные EVT-данные и их LICENSE. Не начинать общий bulk-import до этого.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4. Тиббонидская программа</w:t>
              <w:br/>
              <w:t>G016, G027</w:t>
            </w:r>
          </w:p>
        </w:tc>
        <w:tc>
          <w:tcPr>
            <w:tcW w:type="dxa" w:w="6406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Найти самостоятельный глоссарий и чистый оригинал завещания Иуды ибн Тиббона; современный перевод завещания уже сохранён в R065.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5. Остальной корпус Фалакеры</w:t>
              <w:br/>
              <w:t>G017–G025</w:t>
            </w:r>
          </w:p>
        </w:tc>
        <w:tc>
          <w:tcPr>
            <w:tcW w:type="dxa" w:w="6406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Довести Moreh ha-Moreh, Sefer ha-Ma‘alot, De‘ot ha-Filosofim, Iggeret ha-Ḥalom, этические послания и утешительный трактат; повторить университетские испанские публикации.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6. Дополнительные старые и переводные версии</w:t>
              <w:br/>
              <w:t>G007, G026, G032</w:t>
            </w:r>
          </w:p>
        </w:tc>
        <w:tc>
          <w:tcPr>
            <w:tcW w:type="dxa" w:w="6406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Проверить русские полные переводы, старый ‘Olam Qatan и современные французские/ивритские Kuzari. Не заменять проверку прав популярными открытыми пересказами.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7. Прямая поздняя рецепция</w:t>
              <w:br/>
              <w:t>G028–G031, G033</w:t>
            </w:r>
          </w:p>
        </w:tc>
        <w:tc>
          <w:tcPr>
            <w:tcW w:type="dxa" w:w="6406"/>
            <w:vAlign w:val="top"/>
            <w:shd w:fill="F0F5F7"/>
          </w:tcPr>
          <w:p>
            <w:pPr>
              <w:spacing w:after="80" w:before="80"/>
            </w:pPr>
            <w:r>
              <w:rPr>
                <w:sz w:val="20"/>
              </w:rPr>
              <w:t>Найти Kol Yehudah, Ḥesheq Shelomoh и De processione mundi. Маргиналии де Росси и версия Иуды Кардинала остаются unverified_candidate до сильного подтверждения.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8. Точные входящие источники</w:t>
              <w:br/>
              <w:t>G034–G036</w:t>
            </w:r>
          </w:p>
        </w:tc>
        <w:tc>
          <w:tcPr>
            <w:tcW w:type="dxa" w:w="6406"/>
            <w:vAlign w:val="top"/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Проверить спорные неоплатонические связи, конкретную версию Sefer Yeṣirah и прямые источники Reshit Ḥokhmah / Shelemut ha-Ma‘asim, не расширяя поиск до всей античной и арабской философии.</w:t>
            </w:r>
          </w:p>
        </w:tc>
      </w:tr>
    </w:tbl>
    <w:p>
      <w:r>
        <w:t>Проблемные площадки названы адресно в XLSX: NLI/Ktiv и Feldheim возвращали 403, NLA — 418; UGR неоднократно давал timeout; часть HathiTrust-ридеров не раскрылась. Для каждого такого случая сохранены имеющаяся сильная идентификация, точный URL или направление подтверждения. Общая страница портала не считается заменой отсутствующей item-level страницы.</w:t>
      </w:r>
    </w:p>
    <w:p>
      <w:r>
        <w:t>Поздние объекты не исключались из-за даты. Особый дальнейший интерес имеют XIV–XV-вековая рукописная передача, XVI-вековые комментарии к Kuzari, XVII–XVIII-вековая печатная рецепция и старые научные издания XIX–начала XX в. Для неподтверждённых связей указан статус идентификации; для уже установленных произведений — именно пробел доступа или прав.</w:t>
      </w:r>
    </w:p>
    <w:p>
      <w:r/>
    </w:p>
    <w:p>
      <w:pPr>
        <w:pStyle w:val="Heading1"/>
        <w:pageBreakBefore/>
      </w:pPr>
      <w:r>
        <w:t>7. Итоговая оценка</w:t>
      </w:r>
    </w:p>
    <w:p>
      <w:r>
        <w:t>Ядро покрыто хорошо на уровне обнаружения законных путей: все три основных произведения доступны через старую текстовую передачу и/или современные научные издания. На уровне проверенного полного оригинального текста покрытие неравномерно: у Kuzari существует исходноязычная традиция и несколько доступных переводных слоёв; у Fons Vitae и Ha-Emunah ключевыми остаются переводные ветви, а не сохранившиеся полные арабские оригиналы.</w:t>
      </w:r>
      <w:r>
        <w:t xml:space="preserve"> </w:t>
      </w:r>
      <w:hyperlink r:id="rId11">
        <w:r>
          <w:rPr>
            <w:color w:val="215C69"/>
            <w:u w:val="single"/>
          </w:rPr>
          <w:t>[R001]</w:t>
        </w:r>
      </w:hyperlink>
      <w:r>
        <w:t xml:space="preserve"> · </w:t>
      </w:r>
      <w:hyperlink r:id="rId13">
        <w:r>
          <w:rPr>
            <w:color w:val="215C69"/>
            <w:u w:val="single"/>
          </w:rPr>
          <w:t>[R003]</w:t>
        </w:r>
      </w:hyperlink>
      <w:r>
        <w:t xml:space="preserve"> · </w:t>
      </w:r>
      <w:hyperlink r:id="rId51">
        <w:r>
          <w:rPr>
            <w:color w:val="215C69"/>
            <w:u w:val="single"/>
          </w:rPr>
          <w:t>[R004]</w:t>
        </w:r>
      </w:hyperlink>
      <w:r>
        <w:t xml:space="preserve"> · </w:t>
      </w:r>
      <w:hyperlink r:id="rId14">
        <w:r>
          <w:rPr>
            <w:color w:val="215C69"/>
            <w:u w:val="single"/>
          </w:rPr>
          <w:t>[R007]</w:t>
        </w:r>
      </w:hyperlink>
      <w:r>
        <w:t xml:space="preserve"> · </w:t>
      </w:r>
      <w:hyperlink r:id="rId59">
        <w:r>
          <w:rPr>
            <w:color w:val="215C69"/>
            <w:u w:val="single"/>
          </w:rPr>
          <w:t>[R010]</w:t>
        </w:r>
      </w:hyperlink>
      <w:r>
        <w:t xml:space="preserve"> · </w:t>
      </w:r>
      <w:hyperlink r:id="rId15">
        <w:r>
          <w:rPr>
            <w:color w:val="215C69"/>
            <w:u w:val="single"/>
          </w:rPr>
          <w:t>[R012]</w:t>
        </w:r>
      </w:hyperlink>
      <w:r>
        <w:t xml:space="preserve"> · </w:t>
      </w:r>
      <w:hyperlink r:id="rId50">
        <w:r>
          <w:rPr>
            <w:color w:val="215C69"/>
            <w:u w:val="single"/>
          </w:rPr>
          <w:t>[R019]</w:t>
        </w:r>
      </w:hyperlink>
    </w:p>
    <w:p>
      <w:r>
        <w:t>Переводы представлены существенно шире одного языка. Есть старые английские, немецкие, французские, латинские и португальские маршруты, современные английские научные варианты, русские издательские карточки и авторизованные фрагменты. Нельзя, однако, считать русскую часть полной или объявлять любой старый перевод свободным во всех юрисдикциях.</w:t>
      </w:r>
    </w:p>
    <w:p>
      <w:r>
        <w:t>Наиболее свободный текстовый слой — конкретные средневековые ивритские тексты Ben-Yehuda и проверенная транскрипционная ветвь Wikisource. Наиболее прозрачное разрешение для рукописных изображений — индивидуальная CC BY-NC 4.0 Bodley Or. 100. Наиболее ясно лицензированный машиночитаемый массив — тематически ограниченные метаданные PGP. Эти три слоя пригодны для разных действий и не должны объединяться одним общим разрешением.</w:t>
      </w:r>
      <w:r>
        <w:t xml:space="preserve"> </w:t>
      </w:r>
      <w:hyperlink r:id="rId50">
        <w:r>
          <w:rPr>
            <w:color w:val="215C69"/>
            <w:u w:val="single"/>
          </w:rPr>
          <w:t>[R019]</w:t>
        </w:r>
      </w:hyperlink>
      <w:r>
        <w:t xml:space="preserve"> · </w:t>
      </w:r>
      <w:hyperlink r:id="rId27">
        <w:r>
          <w:rPr>
            <w:color w:val="215C69"/>
            <w:u w:val="single"/>
          </w:rPr>
          <w:t>[R058]</w:t>
        </w:r>
      </w:hyperlink>
      <w:r>
        <w:t xml:space="preserve"> · </w:t>
      </w:r>
      <w:hyperlink r:id="rId32">
        <w:r>
          <w:rPr>
            <w:color w:val="215C69"/>
            <w:u w:val="single"/>
          </w:rPr>
          <w:t>[R038]</w:t>
        </w:r>
      </w:hyperlink>
      <w:r>
        <w:t xml:space="preserve"> · </w:t>
      </w:r>
      <w:hyperlink r:id="rId16">
        <w:r>
          <w:rPr>
            <w:color w:val="215C69"/>
            <w:u w:val="single"/>
          </w:rPr>
          <w:t>[R041]</w:t>
        </w:r>
      </w:hyperlink>
      <w:r>
        <w:t xml:space="preserve"> · </w:t>
      </w:r>
      <w:hyperlink r:id="rId70">
        <w:r>
          <w:rPr>
            <w:color w:val="215C69"/>
            <w:u w:val="single"/>
          </w:rPr>
          <w:t>[R022]</w:t>
        </w:r>
      </w:hyperlink>
    </w:p>
    <w:p>
      <w:r>
        <w:t>Главные ограничения сосредоточены в современных переводах и критическом аппарате, компонентных правах на фотографии/транскрипции, недоступных ридерах и незавершённой идентификации части комментариев и рукописей. Для научного чтения защищённые варианты сохранены наравне с открытыми; их ценность не снижена отсутствием права зеркалирования.</w:t>
      </w:r>
    </w:p>
    <w:p>
      <w:r>
        <w:t>Пакет пригоден для передачи Codex как исследовательская основа: единый XLSX содержит 65 различимых маршрутов с правовыми слоями, ссылками и датой проверки; gaps сохраняет 36 конкретных продолжений. Он не является разрешением автоматически копировать все URL. Перед действием Codex должен учитывать совместно tos_use, rights_scope, coverage, own_translation_basis и verification_status; RIGHTS_REVIEW_REQUIRED вне доказанной области остаётся блокирующим условием.</w:t>
      </w:r>
    </w:p>
    <w:p>
      <w:pPr>
        <w:pStyle w:val="Heading2"/>
      </w:pPr>
      <w:r>
        <w:t>Как читать ссылки и пустые поля</w:t>
      </w:r>
    </w:p>
    <w:p>
      <w:r>
        <w:t>Обозначения [R001]–[R065] в отчёте соответствуют record_id T2-18-R001–T2-18-R065 в XLSX и ведут на landing_url. Подробные прямые загрузки и доказательства прав находятся в отдельных колонках таблицы. Пустой direct_download_url означает, что надёжный прямой файл не установлен; это не утверждение об отсутствии текста. Пустой rights_evidence_url означает отсутствие достаточного отдельного доказательства прав, а не общественное достояние по умолчанию.</w:t>
      </w:r>
    </w:p>
    <w:p>
      <w:r>
        <w:t>Историческая и корпусная ориентация вне первичных страниц: специальные академические библиографии Габироля, Галеви, Ибн Дауда, Самуэля ибн Тиббона и Фалакеры. Они служат для идентификации и связей, не для лицензирования файлов.</w:t>
      </w:r>
      <w:r>
        <w:t xml:space="preserve"> </w:t>
      </w:r>
      <w:hyperlink r:id="rId77">
        <w:r>
          <w:rPr>
            <w:color w:val="215C69"/>
            <w:u w:val="single"/>
          </w:rPr>
          <w:t>Габироль</w:t>
        </w:r>
      </w:hyperlink>
      <w:r>
        <w:t xml:space="preserve"> · </w:t>
      </w:r>
      <w:hyperlink r:id="rId78">
        <w:r>
          <w:rPr>
            <w:color w:val="215C69"/>
            <w:u w:val="single"/>
          </w:rPr>
          <w:t>Галеви</w:t>
        </w:r>
      </w:hyperlink>
      <w:r>
        <w:t xml:space="preserve"> · </w:t>
      </w:r>
      <w:hyperlink r:id="rId43">
        <w:r>
          <w:rPr>
            <w:color w:val="215C69"/>
            <w:u w:val="single"/>
          </w:rPr>
          <w:t>Ибн Дауд</w:t>
        </w:r>
      </w:hyperlink>
      <w:r>
        <w:t xml:space="preserve"> · </w:t>
      </w:r>
      <w:hyperlink r:id="rId79">
        <w:r>
          <w:rPr>
            <w:color w:val="215C69"/>
            <w:u w:val="single"/>
          </w:rPr>
          <w:t>Ибн Тиббон</w:t>
        </w:r>
      </w:hyperlink>
      <w:r>
        <w:t xml:space="preserve"> · </w:t>
      </w:r>
      <w:hyperlink r:id="rId80">
        <w:r>
          <w:rPr>
            <w:color w:val="215C69"/>
            <w:u w:val="single"/>
          </w:rPr>
          <w:t>Фалакера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color w:val="576674"/>
        <w:sz w:val="18"/>
      </w:rPr>
      <w:t>T2-18  •  Проверка 04.09.2026</w:t>
    </w:r>
    <w:r>
      <w:t xml:space="preserve">        Исследовательский пакет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t>ДРЕВО СОФИИ  /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Calibri" w:hAnsi="Calibri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8344A"/>
      <w:sz w:val="3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8344A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8344A"/>
      <w:sz w:val="22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8344A"/>
      <w:spacing w:val="5"/>
      <w:kern w:val="28"/>
      <w:sz w:val="56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215C69"/>
      <w:spacing w:val="15"/>
      <w:sz w:val="26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9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7667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atalog.hathitrust.org/Record/002034727" TargetMode="External"/><Relationship Id="rId12" Type="http://schemas.openxmlformats.org/officeDocument/2006/relationships/hyperlink" Target="https://archive.org/details/avencebrolisibn00domigoog" TargetMode="External"/><Relationship Id="rId13" Type="http://schemas.openxmlformats.org/officeDocument/2006/relationships/hyperlink" Target="https://catalog.hathitrust.org/Record/100319238" TargetMode="External"/><Relationship Id="rId14" Type="http://schemas.openxmlformats.org/officeDocument/2006/relationships/hyperlink" Target="https://books.ybz.org.il/product/the-exalted-faith/" TargetMode="External"/><Relationship Id="rId15" Type="http://schemas.openxmlformats.org/officeDocument/2006/relationships/hyperlink" Target="https://archive.org/details/mlangesdephiloso00munk" TargetMode="External"/><Relationship Id="rId16" Type="http://schemas.openxmlformats.org/officeDocument/2006/relationships/hyperlink" Target="https://digital.bodleian.ox.ac.uk/objects/7e5c0cc9-3ef2-431a-9a36-a374c6d29607/" TargetMode="External"/><Relationship Id="rId17" Type="http://schemas.openxmlformats.org/officeDocument/2006/relationships/hyperlink" Target="https://digi.vatlib.it/view/MSS_Urb.lat.1427" TargetMode="External"/><Relationship Id="rId18" Type="http://schemas.openxmlformats.org/officeDocument/2006/relationships/hyperlink" Target="https://dialnet.unirioja.es/servlet/articulo?codigo=3732614" TargetMode="External"/><Relationship Id="rId19" Type="http://schemas.openxmlformats.org/officeDocument/2006/relationships/hyperlink" Target="https://archive.org/details/cu31924014141968" TargetMode="External"/><Relationship Id="rId20" Type="http://schemas.openxmlformats.org/officeDocument/2006/relationships/hyperlink" Target="https://www.adlibris.com/sv/bok/abraham-ibn-dauds-dorot-olam-generations-of-the-ages-9789004227903" TargetMode="External"/><Relationship Id="rId21" Type="http://schemas.openxmlformats.org/officeDocument/2006/relationships/hyperlink" Target="https://dafyomireview.com/384" TargetMode="External"/><Relationship Id="rId22" Type="http://schemas.openxmlformats.org/officeDocument/2006/relationships/hyperlink" Target="https://books.google.com/books/about/The_Microcosm_of_Joseph_Ibn_Saddiq.html?id=HlvE1PeDGEgC" TargetMode="External"/><Relationship Id="rId23" Type="http://schemas.openxmlformats.org/officeDocument/2006/relationships/hyperlink" Target="https://archive.org/details/selectedpoemsofj00juda" TargetMode="External"/><Relationship Id="rId24" Type="http://schemas.openxmlformats.org/officeDocument/2006/relationships/hyperlink" Target="https://www.daat.ac.il/daat/vl/tohen.asp?id=506" TargetMode="External"/><Relationship Id="rId25" Type="http://schemas.openxmlformats.org/officeDocument/2006/relationships/hyperlink" Target="https://www.jstor.org/stable/j.ctt1c3pwtm" TargetMode="External"/><Relationship Id="rId26" Type="http://schemas.openxmlformats.org/officeDocument/2006/relationships/hyperlink" Target="https://www.hup.harvard.edu/books/9780674291744" TargetMode="External"/><Relationship Id="rId27" Type="http://schemas.openxmlformats.org/officeDocument/2006/relationships/hyperlink" Target="https://benyehuda.org/read/33347" TargetMode="External"/><Relationship Id="rId28" Type="http://schemas.openxmlformats.org/officeDocument/2006/relationships/hyperlink" Target="https://www.daat.ac.il/daat/vl/tohen.asp?id=368" TargetMode="External"/><Relationship Id="rId29" Type="http://schemas.openxmlformats.org/officeDocument/2006/relationships/hyperlink" Target="https://www.daat.ac.il/daat/vl/falkiravikua/falkiravikua01.pdf" TargetMode="External"/><Relationship Id="rId30" Type="http://schemas.openxmlformats.org/officeDocument/2006/relationships/hyperlink" Target="https://catalog.hathitrust.org/Record/100004085" TargetMode="External"/><Relationship Id="rId31" Type="http://schemas.openxmlformats.org/officeDocument/2006/relationships/hyperlink" Target="https://ebooks.libreriacarlosfuentes.mx/library/publication/torah-and-sophia" TargetMode="External"/><Relationship Id="rId32" Type="http://schemas.openxmlformats.org/officeDocument/2006/relationships/hyperlink" Target="https://he.wikisource.org/wiki/&#1502;&#1488;&#1502;&#1512;_&#1497;&#1511;&#1493;&#1493;_&#1492;&#1502;&#1497;&#1501;" TargetMode="External"/><Relationship Id="rId33" Type="http://schemas.openxmlformats.org/officeDocument/2006/relationships/hyperlink" Target="https://www.mohrsiebeck.com/en/book/samuel-ibn-tibbons-commentary-on-ecclesiastes-9783161490675/" TargetMode="External"/><Relationship Id="rId34" Type="http://schemas.openxmlformats.org/officeDocument/2006/relationships/hyperlink" Target="https://www.gutenberg.org/ebooks/73584" TargetMode="External"/><Relationship Id="rId35" Type="http://schemas.openxmlformats.org/officeDocument/2006/relationships/hyperlink" Target="https://www.jstor.org/stable/j.ctt2005scn.13" TargetMode="External"/><Relationship Id="rId36" Type="http://schemas.openxmlformats.org/officeDocument/2006/relationships/hyperlink" Target="https://archive.org/details/kitbalamnt00saaduoft" TargetMode="External"/><Relationship Id="rId37" Type="http://schemas.openxmlformats.org/officeDocument/2006/relationships/hyperlink" Target="https://www.daat.ac.il/daat/mahshevt/kapah/tohen-2.htm" TargetMode="External"/><Relationship Id="rId38" Type="http://schemas.openxmlformats.org/officeDocument/2006/relationships/hyperlink" Target="https://wsupress.wayne.edu/9780814349441/" TargetMode="External"/><Relationship Id="rId39" Type="http://schemas.openxmlformats.org/officeDocument/2006/relationships/hyperlink" Target="https://cornellpress.cornell.edu/book/9781501746796/the-political-writings/" TargetMode="External"/><Relationship Id="rId40" Type="http://schemas.openxmlformats.org/officeDocument/2006/relationships/hyperlink" Target="https://press.uchicago.edu/ucp/books/book/distributed/M/bo3622795.html" TargetMode="External"/><Relationship Id="rId41" Type="http://schemas.openxmlformats.org/officeDocument/2006/relationships/hyperlink" Target="https://books.google.com/books/about/Avicenna_s_Psychology.html?id=P_qJygAACAAJ" TargetMode="External"/><Relationship Id="rId42" Type="http://schemas.openxmlformats.org/officeDocument/2006/relationships/hyperlink" Target="https://www.jarir.com/arabic-books-599915.html" TargetMode="External"/><Relationship Id="rId43" Type="http://schemas.openxmlformats.org/officeDocument/2006/relationships/hyperlink" Target="https://plato.stanford.edu/entries/abraham-daud/" TargetMode="External"/><Relationship Id="rId44" Type="http://schemas.openxmlformats.org/officeDocument/2006/relationships/hyperlink" Target="https://www.daat.ac.il/daat/vl/tohen.asp?id=100" TargetMode="External"/><Relationship Id="rId45" Type="http://schemas.openxmlformats.org/officeDocument/2006/relationships/hyperlink" Target="https://www.newadvent.org/summa/1050.htm" TargetMode="External"/><Relationship Id="rId46" Type="http://schemas.openxmlformats.org/officeDocument/2006/relationships/hyperlink" Target="https://www.libraccio.it/libro/9788870183832/shelomoh-ibn-gabirol/fons-vitae.html" TargetMode="External"/><Relationship Id="rId47" Type="http://schemas.openxmlformats.org/officeDocument/2006/relationships/hyperlink" Target="https://catalog.hathitrust.org/Record/001550099" TargetMode="External"/><Relationship Id="rId48" Type="http://schemas.openxmlformats.org/officeDocument/2006/relationships/hyperlink" Target="https://shop.btpubservices.com/Title/9780874622614" TargetMode="External"/><Relationship Id="rId49" Type="http://schemas.openxmlformats.org/officeDocument/2006/relationships/hyperlink" Target="https://ibngabirol.gitlab.io/digitalize/" TargetMode="External"/><Relationship Id="rId50" Type="http://schemas.openxmlformats.org/officeDocument/2006/relationships/hyperlink" Target="https://benyehuda.org/collections/1880" TargetMode="External"/><Relationship Id="rId51" Type="http://schemas.openxmlformats.org/officeDocument/2006/relationships/hyperlink" Target="https://academy.ac.il/ShopEng/Entry.aspx?entryId=21234&amp;nodeId=1534" TargetMode="External"/><Relationship Id="rId52" Type="http://schemas.openxmlformats.org/officeDocument/2006/relationships/hyperlink" Target="https://en.wikisource.org/wiki/Kitab_al_Khazari" TargetMode="External"/><Relationship Id="rId53" Type="http://schemas.openxmlformats.org/officeDocument/2006/relationships/hyperlink" Target="https://www.deutsche-digitale-bibliothek.de/item/WGB4YVVUBUOQ4WJBLANORBIYNIYV45AU" TargetMode="External"/><Relationship Id="rId54" Type="http://schemas.openxmlformats.org/officeDocument/2006/relationships/hyperlink" Target="https://catalog.hathitrust.org/Record/103039984" TargetMode="External"/><Relationship Id="rId55" Type="http://schemas.openxmlformats.org/officeDocument/2006/relationships/hyperlink" Target="https://www.ou.org/news/rabbi_korobkin_of_ou_west_coast_translates_and_edits_new_kuzari_edition/" TargetMode="External"/><Relationship Id="rId56" Type="http://schemas.openxmlformats.org/officeDocument/2006/relationships/hyperlink" Target="https://www.lechaim.ru/ARHIV/208/halevi.htm" TargetMode="External"/><Relationship Id="rId57" Type="http://schemas.openxmlformats.org/officeDocument/2006/relationships/hyperlink" Target="https://catalog.hathitrust.org/Record/008401171" TargetMode="External"/><Relationship Id="rId58" Type="http://schemas.openxmlformats.org/officeDocument/2006/relationships/hyperlink" Target="https://www.deutsche-digitale-bibliothek.de/item/SGPWFTTREBVGS5UOAYBNWZFY72YHS7WW" TargetMode="External"/><Relationship Id="rId59" Type="http://schemas.openxmlformats.org/officeDocument/2006/relationships/hyperlink" Target="https://www.daat.ac.il/daat/vl/tohen.asp?id=57" TargetMode="External"/><Relationship Id="rId60" Type="http://schemas.openxmlformats.org/officeDocument/2006/relationships/hyperlink" Target="https://books.google.com/books?id=vGIwAAAAYAAJ" TargetMode="External"/><Relationship Id="rId61" Type="http://schemas.openxmlformats.org/officeDocument/2006/relationships/hyperlink" Target="https://www.daat.ac.il/daat/vl/tohen.asp?id=27" TargetMode="External"/><Relationship Id="rId62" Type="http://schemas.openxmlformats.org/officeDocument/2006/relationships/hyperlink" Target="https://www.nebraskapress.unl.edu/jps/9780827609167/the-book-of-tradition/" TargetMode="External"/><Relationship Id="rId63" Type="http://schemas.openxmlformats.org/officeDocument/2006/relationships/hyperlink" Target="https://archive.org/details/mahberetmishirek00ibng" TargetMode="External"/><Relationship Id="rId64" Type="http://schemas.openxmlformats.org/officeDocument/2006/relationships/hyperlink" Target="https://opensiddur.org/compilations/anthologies/hymn-books/keter-malkhut-by-sholomo-ibn-gabirol-portuguese-translation-by-a-c-de-barros-basto-1927/" TargetMode="External"/><Relationship Id="rId65" Type="http://schemas.openxmlformats.org/officeDocument/2006/relationships/hyperlink" Target="https://opensiddur.org/prayers/lunisolar/days-of-judgement-new-year-days/yom-kippur/the-confession-an-excerpt-from-kether-malkhut-crown-of-royalty-by-shlomo-ibn-gabirol-adapted-by-elsie-davis/" TargetMode="External"/><Relationship Id="rId66" Type="http://schemas.openxmlformats.org/officeDocument/2006/relationships/hyperlink" Target="https://undpress.nd.edu/9780268033033/the-kingly-crown/" TargetMode="External"/><Relationship Id="rId67" Type="http://schemas.openxmlformats.org/officeDocument/2006/relationships/hyperlink" Target="https://www.pvost.org/pv/?p=1847" TargetMode="External"/><Relationship Id="rId68" Type="http://schemas.openxmlformats.org/officeDocument/2006/relationships/hyperlink" Target="https://literratura.org/perevody/4866-shlomo-ibn-gabirol-venec-carstviya.html" TargetMode="External"/><Relationship Id="rId69" Type="http://schemas.openxmlformats.org/officeDocument/2006/relationships/hyperlink" Target="https://www.daat.ac.il/daat/vl/tohen.asp?id=222" TargetMode="External"/><Relationship Id="rId70" Type="http://schemas.openxmlformats.org/officeDocument/2006/relationships/hyperlink" Target="https://github.com/princetongenizalab/pgp-metadata" TargetMode="External"/><Relationship Id="rId71" Type="http://schemas.openxmlformats.org/officeDocument/2006/relationships/hyperlink" Target="https://github.com/princetongenizalab/pgp-text" TargetMode="External"/><Relationship Id="rId72" Type="http://schemas.openxmlformats.org/officeDocument/2006/relationships/hyperlink" Target="https://benyehuda.org/page/api" TargetMode="External"/><Relationship Id="rId73" Type="http://schemas.openxmlformats.org/officeDocument/2006/relationships/hyperlink" Target="https://www.jstor.org/stable/j.ctvbkk34f" TargetMode="External"/><Relationship Id="rId74" Type="http://schemas.openxmlformats.org/officeDocument/2006/relationships/hyperlink" Target="https://books.google.com/books/about/Philosophie_et_ex%C3%A9g%C3%A8se_dans_le_Jardin.html?hl=de&amp;id=GA4xJ0Jg-w4C" TargetMode="External"/><Relationship Id="rId75" Type="http://schemas.openxmlformats.org/officeDocument/2006/relationships/hyperlink" Target="https://geniza.princeton.edu/en/documents/9098/" TargetMode="External"/><Relationship Id="rId76" Type="http://schemas.openxmlformats.org/officeDocument/2006/relationships/hyperlink" Target="https://www.sefaria.org/Kuzari?tab=versions" TargetMode="External"/><Relationship Id="rId77" Type="http://schemas.openxmlformats.org/officeDocument/2006/relationships/hyperlink" Target="https://plato.stanford.edu/entries/ibn-gabirol/" TargetMode="External"/><Relationship Id="rId78" Type="http://schemas.openxmlformats.org/officeDocument/2006/relationships/hyperlink" Target="https://plato.stanford.edu/entries/halevi/" TargetMode="External"/><Relationship Id="rId79" Type="http://schemas.openxmlformats.org/officeDocument/2006/relationships/hyperlink" Target="https://plato.stanford.edu/entries/tibbon/" TargetMode="External"/><Relationship Id="rId80" Type="http://schemas.openxmlformats.org/officeDocument/2006/relationships/hyperlink" Target="https://plato.stanford.edu/entries/falaque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T2-18</dc:title>
  <dc:subject>Еврейская философия иврито-арабского двуязычия XI–XIII вв.</dc:subject>
  <dc:creator>ToS / Древо Софии</dc:creator>
  <cp:keywords>T2-18; corpus; rights; Ibn Gabirol; Kuzari; Ibn Daud</cp:keywords>
  <dc:description>Отдельный исследовательский пакет; исходный DR не изменён.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