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T2-43 · Тибетские школы и дебатная культура</w:t>
      </w:r>
    </w:p>
    <w:p>
      <w:pPr>
        <w:pStyle w:val="Heading1"/>
      </w:pPr>
      <w:r>
        <w:t>1. Паспорт</w:t>
      </w:r>
    </w:p>
    <w:p>
      <w:r>
        <w:t>Статус мастер-строки — A. В исходной таблице приведены A / 5 и тройная датировка XI–XV вв. / XI–XV вв. / XIII–XV вв. В этом пакете исторический фокус остаётся XI–XV вв.; поздние редакции, переводы и комментарии не изменяют ID или статус.</w:t>
      </w:r>
    </w:p>
    <w:p>
      <w:r>
        <w:rPr>
          <w:b/>
        </w:rPr>
        <w:t xml:space="preserve">Исходный документ. </w:t>
      </w:r>
      <w:r>
        <w:t>ToS Deep Research_ T2-43 — Тибетские школы и дебатная культура(1).docx. Паспорт дополнительно сверен с «Таблица II для ToS.docx». Исходный очерк служит картой объектов, но не доказательством лицензии и не закрытым инвентарём.</w:t>
      </w:r>
    </w:p>
    <w:p>
      <w:r>
        <w:rPr>
          <w:b/>
        </w:rPr>
        <w:t xml:space="preserve">Проверка и языки. </w:t>
      </w:r>
      <w:r>
        <w:t>4 сентября 2026 года. Использованы русские и английские названия, тибетская транслитерация Wylie, санскритская романизация, французские заглавия изданий и немецкие институциональные каталоги. Полный самостоятельный поиск во всех вариантах тибетской графики не заявляется.</w:t>
      </w:r>
    </w:p>
    <w:p>
      <w:r>
        <w:rPr>
          <w:b/>
        </w:rPr>
        <w:t xml:space="preserve">Ядро. </w:t>
      </w:r>
      <w:r>
        <w:t>Ранний Сангпу и tshad ma Нгока/Чапы; Сакья Пандита и Горампа; Цонкапа, Гьялцаб и Кхедруб; Лонгченпа и Ньингма; Гампопа и Третий Кармапа; Долпопа и Jonang; учебники bsdus grwa; канонический и тантрический субстрат. Искомые объекты — произведения, комментарии, издания, переводы, конкретные свидетели, транскрипции и текстовые пакеты.</w:t>
      </w:r>
    </w:p>
    <w:p>
      <w:r>
        <w:rPr>
          <w:b/>
        </w:rPr>
        <w:t xml:space="preserve">Доказательства. </w:t>
      </w:r>
      <w:r>
        <w:t>Для доступа использованы официальные издатели, академические проекты, авторы цифровых изданий, библиотеки и уполномоченные витрины. Для идентификации — выходные сведения, библиотечные номера, корпусные страницы и академические издания. Для прав — item-level уведомления, README и применимые условия учреждения. Каталожная карточка не считается полным текстом.</w:t>
      </w:r>
    </w:p>
    <w:p>
      <w:pPr>
        <w:shd w:fill="EAF2F3"/>
        <w:spacing w:before="100" w:after="180"/>
      </w:pPr>
      <w:r>
        <w:t>89 записей доступа · 35 записей gaps. Рабочий подсчёт предметов: 59 произведений или комментированных текстовых комплексов и 11 корпусных сборников. Это не 89 разных произведений и не исчерпывающий подсчёт всех сочинений внутри ZIP и антологий.</w:t>
      </w:r>
    </w:p>
    <w:p>
      <w:r>
        <w:t>Основная таблица содержит 32 заданных поля. R081 далее означает T2-43-R081, G08 — T2-43-G08. Ссылки и подробные ограничения каждого маршрута находятся в XLSX. Один unverified_candidate сохранён в G32; он не включён в основной реестр как установленное первичное издание. Википедия не используется в итоговых ссылках доступа, метаданных или прав.</w:t>
      </w:r>
    </w:p>
    <w:p>
      <w:pPr>
        <w:spacing w:after="80"/>
      </w:pPr>
      <w:r>
        <w:rPr>
          <w:sz w:val="18"/>
        </w:rPr>
        <w:t xml:space="preserve">Проверочный источник: </w:t>
      </w:r>
      <w:hyperlink r:id="rId11">
        <w:r>
          <w:rPr>
            <w:color w:val="176B78"/>
            <w:sz w:val="18"/>
          </w:rPr>
          <w:t>Сводная политика Lotsawa House</w:t>
        </w:r>
      </w:hyperlink>
    </w:p>
    <w:p>
      <w:r>
        <w:br w:type="page"/>
      </w:r>
    </w:p>
    <w:p>
      <w:pPr>
        <w:pStyle w:val="Heading1"/>
      </w:pPr>
      <w:r>
        <w:t>2. Охват корпуса</w:t>
      </w:r>
    </w:p>
    <w:p>
      <w:r>
        <w:t>Сначала разобраны названные в DR произведения и институциональные линии; затем добавлены прямые члены авторских корпусов, ранние корневые тексты и поздние комментарии. Главный результат — не набор общих порталов: 79 из 89 записей относятся к первичным объектам, изданиям и непосредственно связанным материалам; ещё семь — инфраструктура и три — вторичная навигация.</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928"/>
            <w:vAlign w:val="top"/>
            <w:shd w:fill="163F4B"/>
          </w:tcPr>
          <w:p>
            <w:pPr>
              <w:spacing w:after="80" w:before="60" w:line="247" w:lineRule="auto"/>
            </w:pPr>
            <w:r>
              <w:rPr>
                <w:b/>
                <w:color w:val="FFFFFF"/>
                <w:sz w:val="18"/>
              </w:rPr>
              <w:t>Поле ядра</w:t>
            </w:r>
          </w:p>
        </w:tc>
        <w:tc>
          <w:tcPr>
            <w:tcW w:type="dxa" w:w="2835"/>
            <w:vAlign w:val="top"/>
            <w:shd w:fill="163F4B"/>
          </w:tcPr>
          <w:p>
            <w:pPr>
              <w:spacing w:after="80" w:before="60" w:line="247" w:lineRule="auto"/>
            </w:pPr>
            <w:r>
              <w:rPr>
                <w:b/>
                <w:color w:val="FFFFFF"/>
                <w:sz w:val="18"/>
              </w:rPr>
              <w:t>Проверенный вход</w:t>
            </w:r>
          </w:p>
        </w:tc>
        <w:tc>
          <w:tcPr>
            <w:tcW w:type="dxa" w:w="4876"/>
            <w:vAlign w:val="top"/>
            <w:shd w:fill="163F4B"/>
          </w:tcPr>
          <w:p>
            <w:pPr>
              <w:spacing w:after="80" w:before="60" w:line="247" w:lineRule="auto"/>
            </w:pPr>
            <w:r>
              <w:rPr>
                <w:b/>
                <w:color w:val="FFFFFF"/>
                <w:sz w:val="18"/>
              </w:rPr>
              <w:t>Оставшееся ограничение</w:t>
            </w:r>
          </w:p>
        </w:tc>
      </w:tr>
      <w:tr>
        <w:trPr>
          <w:cantSplit/>
        </w:trPr>
        <w:tc>
          <w:tcPr>
            <w:tcW w:type="dxa" w:w="1928"/>
            <w:vAlign w:val="top"/>
            <w:shd w:fill="FFFFFF"/>
          </w:tcPr>
          <w:p>
            <w:pPr>
              <w:spacing w:after="80" w:before="60" w:line="247" w:lineRule="auto"/>
            </w:pPr>
            <w:r>
              <w:rPr>
                <w:sz w:val="18"/>
              </w:rPr>
              <w:t>Нгок и Чапа</w:t>
            </w:r>
          </w:p>
        </w:tc>
        <w:tc>
          <w:tcPr>
            <w:tcW w:type="dxa" w:w="2835"/>
            <w:vAlign w:val="top"/>
            <w:shd w:fill="FFFFFF"/>
          </w:tcPr>
          <w:p>
            <w:pPr>
              <w:spacing w:after="80" w:before="60" w:line="247" w:lineRule="auto"/>
            </w:pPr>
            <w:r>
              <w:rPr>
                <w:sz w:val="18"/>
              </w:rPr>
              <w:t>R008–R011; R070</w:t>
            </w:r>
          </w:p>
        </w:tc>
        <w:tc>
          <w:tcPr>
            <w:tcW w:type="dxa" w:w="4876"/>
            <w:vAlign w:val="top"/>
            <w:shd w:fill="FFFFFF"/>
          </w:tcPr>
          <w:p>
            <w:pPr>
              <w:spacing w:after="80" w:before="60" w:line="247" w:lineRule="auto"/>
            </w:pPr>
            <w:r>
              <w:rPr>
                <w:sz w:val="18"/>
              </w:rPr>
              <w:t>Нгок и Mun sel не покрыты полным первичным текстом.</w:t>
            </w:r>
          </w:p>
        </w:tc>
      </w:tr>
      <w:tr>
        <w:trPr>
          <w:cantSplit/>
        </w:trPr>
        <w:tc>
          <w:tcPr>
            <w:tcW w:type="dxa" w:w="1928"/>
            <w:vAlign w:val="top"/>
            <w:shd w:fill="F0F5F6"/>
          </w:tcPr>
          <w:p>
            <w:pPr>
              <w:spacing w:after="80" w:before="60" w:line="247" w:lineRule="auto"/>
            </w:pPr>
            <w:r>
              <w:rPr>
                <w:sz w:val="18"/>
              </w:rPr>
              <w:t>Сакья Пандита</w:t>
            </w:r>
          </w:p>
        </w:tc>
        <w:tc>
          <w:tcPr>
            <w:tcW w:type="dxa" w:w="2835"/>
            <w:vAlign w:val="top"/>
            <w:shd w:fill="F0F5F6"/>
          </w:tcPr>
          <w:p>
            <w:pPr>
              <w:spacing w:after="80" w:before="60" w:line="247" w:lineRule="auto"/>
            </w:pPr>
            <w:r>
              <w:rPr>
                <w:sz w:val="18"/>
              </w:rPr>
              <w:t>R001–R002, R013, R036–R037, R081</w:t>
            </w:r>
          </w:p>
        </w:tc>
        <w:tc>
          <w:tcPr>
            <w:tcW w:type="dxa" w:w="4876"/>
            <w:vAlign w:val="top"/>
            <w:shd w:fill="F0F5F6"/>
          </w:tcPr>
          <w:p>
            <w:pPr>
              <w:spacing w:after="80" w:before="60" w:line="247" w:lineRule="auto"/>
            </w:pPr>
            <w:r>
              <w:rPr>
                <w:sz w:val="18"/>
              </w:rPr>
              <w:t>Полный Rigs gter найден; Gateway I–II остаются пробелом.</w:t>
            </w:r>
          </w:p>
        </w:tc>
      </w:tr>
      <w:tr>
        <w:trPr>
          <w:cantSplit/>
        </w:trPr>
        <w:tc>
          <w:tcPr>
            <w:tcW w:type="dxa" w:w="1928"/>
            <w:vAlign w:val="top"/>
            <w:shd w:fill="FFFFFF"/>
          </w:tcPr>
          <w:p>
            <w:pPr>
              <w:spacing w:after="80" w:before="60" w:line="247" w:lineRule="auto"/>
            </w:pPr>
            <w:r>
              <w:rPr>
                <w:sz w:val="18"/>
              </w:rPr>
              <w:t>Цонкапа / ранний Гелуг</w:t>
            </w:r>
          </w:p>
        </w:tc>
        <w:tc>
          <w:tcPr>
            <w:tcW w:type="dxa" w:w="2835"/>
            <w:vAlign w:val="top"/>
            <w:shd w:fill="FFFFFF"/>
          </w:tcPr>
          <w:p>
            <w:pPr>
              <w:spacing w:after="80" w:before="60" w:line="247" w:lineRule="auto"/>
            </w:pPr>
            <w:r>
              <w:rPr>
                <w:sz w:val="18"/>
              </w:rPr>
              <w:t>R022–R035, R045–R047, R071, R081–R085</w:t>
            </w:r>
          </w:p>
        </w:tc>
        <w:tc>
          <w:tcPr>
            <w:tcW w:type="dxa" w:w="4876"/>
            <w:vAlign w:val="top"/>
            <w:shd w:fill="FFFFFF"/>
          </w:tcPr>
          <w:p>
            <w:pPr>
              <w:spacing w:after="80" w:before="60" w:line="247" w:lineRule="auto"/>
            </w:pPr>
            <w:r>
              <w:rPr>
                <w:sz w:val="18"/>
              </w:rPr>
              <w:t>Ряд оригиналов и четыре конечных файла UTA не получены.</w:t>
            </w:r>
          </w:p>
        </w:tc>
      </w:tr>
      <w:tr>
        <w:trPr>
          <w:cantSplit/>
        </w:trPr>
        <w:tc>
          <w:tcPr>
            <w:tcW w:type="dxa" w:w="1928"/>
            <w:vAlign w:val="top"/>
            <w:shd w:fill="F0F5F6"/>
          </w:tcPr>
          <w:p>
            <w:pPr>
              <w:spacing w:after="80" w:before="60" w:line="247" w:lineRule="auto"/>
            </w:pPr>
            <w:r>
              <w:rPr>
                <w:sz w:val="18"/>
              </w:rPr>
              <w:t>Горампа</w:t>
            </w:r>
          </w:p>
        </w:tc>
        <w:tc>
          <w:tcPr>
            <w:tcW w:type="dxa" w:w="2835"/>
            <w:vAlign w:val="top"/>
            <w:shd w:fill="F0F5F6"/>
          </w:tcPr>
          <w:p>
            <w:pPr>
              <w:spacing w:after="80" w:before="60" w:line="247" w:lineRule="auto"/>
            </w:pPr>
            <w:r>
              <w:rPr>
                <w:sz w:val="18"/>
              </w:rPr>
              <w:t>R012, R016–R017</w:t>
            </w:r>
          </w:p>
        </w:tc>
        <w:tc>
          <w:tcPr>
            <w:tcW w:type="dxa" w:w="4876"/>
            <w:vAlign w:val="top"/>
            <w:shd w:fill="F0F5F6"/>
          </w:tcPr>
          <w:p>
            <w:pPr>
              <w:spacing w:after="80" w:before="60" w:line="247" w:lineRule="auto"/>
            </w:pPr>
            <w:r>
              <w:rPr>
                <w:sz w:val="18"/>
              </w:rPr>
              <w:t>Полный перевод есть; чистая тибетская редакция основного трактата не проверена.</w:t>
            </w:r>
          </w:p>
        </w:tc>
      </w:tr>
      <w:tr>
        <w:trPr>
          <w:cantSplit/>
        </w:trPr>
        <w:tc>
          <w:tcPr>
            <w:tcW w:type="dxa" w:w="1928"/>
            <w:vAlign w:val="top"/>
            <w:shd w:fill="FFFFFF"/>
          </w:tcPr>
          <w:p>
            <w:pPr>
              <w:spacing w:after="80" w:before="60" w:line="247" w:lineRule="auto"/>
            </w:pPr>
            <w:r>
              <w:rPr>
                <w:sz w:val="18"/>
              </w:rPr>
              <w:t>Лонгченпа / Ньингма</w:t>
            </w:r>
          </w:p>
        </w:tc>
        <w:tc>
          <w:tcPr>
            <w:tcW w:type="dxa" w:w="2835"/>
            <w:vAlign w:val="top"/>
            <w:shd w:fill="FFFFFF"/>
          </w:tcPr>
          <w:p>
            <w:pPr>
              <w:spacing w:after="80" w:before="60" w:line="247" w:lineRule="auto"/>
            </w:pPr>
            <w:r>
              <w:rPr>
                <w:sz w:val="18"/>
              </w:rPr>
              <w:t>R003, R038–R041, R072, R077–R078, R086–R088</w:t>
            </w:r>
          </w:p>
        </w:tc>
        <w:tc>
          <w:tcPr>
            <w:tcW w:type="dxa" w:w="4876"/>
            <w:vAlign w:val="top"/>
            <w:shd w:fill="FFFFFF"/>
          </w:tcPr>
          <w:p>
            <w:pPr>
              <w:spacing w:after="80" w:before="60" w:line="247" w:lineRule="auto"/>
            </w:pPr>
            <w:r>
              <w:rPr>
                <w:sz w:val="18"/>
              </w:rPr>
              <w:t>Все семь сокровищ целиком не покрыты.</w:t>
            </w:r>
          </w:p>
        </w:tc>
      </w:tr>
      <w:tr>
        <w:trPr>
          <w:cantSplit/>
        </w:trPr>
        <w:tc>
          <w:tcPr>
            <w:tcW w:type="dxa" w:w="1928"/>
            <w:vAlign w:val="top"/>
            <w:shd w:fill="F0F5F6"/>
          </w:tcPr>
          <w:p>
            <w:pPr>
              <w:spacing w:after="80" w:before="60" w:line="247" w:lineRule="auto"/>
            </w:pPr>
            <w:r>
              <w:rPr>
                <w:sz w:val="18"/>
              </w:rPr>
              <w:t>Кагью</w:t>
            </w:r>
          </w:p>
        </w:tc>
        <w:tc>
          <w:tcPr>
            <w:tcW w:type="dxa" w:w="2835"/>
            <w:vAlign w:val="top"/>
            <w:shd w:fill="F0F5F6"/>
          </w:tcPr>
          <w:p>
            <w:pPr>
              <w:spacing w:after="80" w:before="60" w:line="247" w:lineRule="auto"/>
            </w:pPr>
            <w:r>
              <w:rPr>
                <w:sz w:val="18"/>
              </w:rPr>
              <w:t>R006–R007, R042, R050–R055, R061, R076</w:t>
            </w:r>
          </w:p>
        </w:tc>
        <w:tc>
          <w:tcPr>
            <w:tcW w:type="dxa" w:w="4876"/>
            <w:vAlign w:val="top"/>
            <w:shd w:fill="F0F5F6"/>
          </w:tcPr>
          <w:p>
            <w:pPr>
              <w:spacing w:after="80" w:before="60" w:line="247" w:lineRule="auto"/>
            </w:pPr>
            <w:r>
              <w:rPr>
                <w:sz w:val="18"/>
              </w:rPr>
              <w:t>Доступны отдельные тексты и антологии, не все gsung 'bum.</w:t>
            </w:r>
          </w:p>
        </w:tc>
      </w:tr>
      <w:tr>
        <w:trPr>
          <w:cantSplit/>
        </w:trPr>
        <w:tc>
          <w:tcPr>
            <w:tcW w:type="dxa" w:w="1928"/>
            <w:vAlign w:val="top"/>
            <w:shd w:fill="FFFFFF"/>
          </w:tcPr>
          <w:p>
            <w:pPr>
              <w:spacing w:after="80" w:before="60" w:line="247" w:lineRule="auto"/>
            </w:pPr>
            <w:r>
              <w:rPr>
                <w:sz w:val="18"/>
              </w:rPr>
              <w:t>Jonang</w:t>
            </w:r>
          </w:p>
        </w:tc>
        <w:tc>
          <w:tcPr>
            <w:tcW w:type="dxa" w:w="2835"/>
            <w:vAlign w:val="top"/>
            <w:shd w:fill="FFFFFF"/>
          </w:tcPr>
          <w:p>
            <w:pPr>
              <w:spacing w:after="80" w:before="60" w:line="247" w:lineRule="auto"/>
            </w:pPr>
            <w:r>
              <w:rPr>
                <w:sz w:val="18"/>
              </w:rPr>
              <w:t>R043, R056–R060, R062</w:t>
            </w:r>
          </w:p>
        </w:tc>
        <w:tc>
          <w:tcPr>
            <w:tcW w:type="dxa" w:w="4876"/>
            <w:vAlign w:val="top"/>
            <w:shd w:fill="FFFFFF"/>
          </w:tcPr>
          <w:p>
            <w:pPr>
              <w:spacing w:after="80" w:before="60" w:line="247" w:lineRule="auto"/>
            </w:pPr>
            <w:r>
              <w:rPr>
                <w:sz w:val="18"/>
              </w:rPr>
              <w:t>Полный исходный корпус и часть лицензий требуют проверки.</w:t>
            </w:r>
          </w:p>
        </w:tc>
      </w:tr>
      <w:tr>
        <w:trPr>
          <w:cantSplit/>
        </w:trPr>
        <w:tc>
          <w:tcPr>
            <w:tcW w:type="dxa" w:w="1928"/>
            <w:vAlign w:val="top"/>
            <w:shd w:fill="F0F5F6"/>
          </w:tcPr>
          <w:p>
            <w:pPr>
              <w:spacing w:after="80" w:before="60" w:line="247" w:lineRule="auto"/>
            </w:pPr>
            <w:r>
              <w:rPr>
                <w:sz w:val="18"/>
              </w:rPr>
              <w:t>Дебатные руководства</w:t>
            </w:r>
          </w:p>
        </w:tc>
        <w:tc>
          <w:tcPr>
            <w:tcW w:type="dxa" w:w="2835"/>
            <w:vAlign w:val="top"/>
            <w:shd w:fill="F0F5F6"/>
          </w:tcPr>
          <w:p>
            <w:pPr>
              <w:spacing w:after="80" w:before="60" w:line="247" w:lineRule="auto"/>
            </w:pPr>
            <w:r>
              <w:rPr>
                <w:sz w:val="18"/>
              </w:rPr>
              <w:t>R004–R005, R048–R049, R073–R074</w:t>
            </w:r>
          </w:p>
        </w:tc>
        <w:tc>
          <w:tcPr>
            <w:tcW w:type="dxa" w:w="4876"/>
            <w:vAlign w:val="top"/>
            <w:shd w:fill="F0F5F6"/>
          </w:tcPr>
          <w:p>
            <w:pPr>
              <w:spacing w:after="80" w:before="60" w:line="247" w:lineRule="auto"/>
            </w:pPr>
            <w:r>
              <w:rPr>
                <w:sz w:val="18"/>
              </w:rPr>
              <w:t>Rwa stod: только подтверждённый search-only каталог.</w:t>
            </w:r>
          </w:p>
        </w:tc>
      </w:tr>
      <w:tr>
        <w:trPr>
          <w:cantSplit/>
        </w:trPr>
        <w:tc>
          <w:tcPr>
            <w:tcW w:type="dxa" w:w="1928"/>
            <w:vAlign w:val="top"/>
            <w:shd w:fill="FFFFFF"/>
          </w:tcPr>
          <w:p>
            <w:pPr>
              <w:spacing w:after="80" w:before="60" w:line="247" w:lineRule="auto"/>
            </w:pPr>
            <w:r>
              <w:rPr>
                <w:sz w:val="18"/>
              </w:rPr>
              <w:t>Канон и индийские корни</w:t>
            </w:r>
          </w:p>
        </w:tc>
        <w:tc>
          <w:tcPr>
            <w:tcW w:type="dxa" w:w="2835"/>
            <w:vAlign w:val="top"/>
            <w:shd w:fill="FFFFFF"/>
          </w:tcPr>
          <w:p>
            <w:pPr>
              <w:spacing w:after="80" w:before="60" w:line="247" w:lineRule="auto"/>
            </w:pPr>
            <w:r>
              <w:rPr>
                <w:sz w:val="18"/>
              </w:rPr>
              <w:t>R018–R021, R063–R069, R079–R080, R089</w:t>
            </w:r>
          </w:p>
        </w:tc>
        <w:tc>
          <w:tcPr>
            <w:tcW w:type="dxa" w:w="4876"/>
            <w:vAlign w:val="top"/>
            <w:shd w:fill="FFFFFF"/>
          </w:tcPr>
          <w:p>
            <w:pPr>
              <w:spacing w:after="80" w:before="60" w:line="247" w:lineRule="auto"/>
            </w:pPr>
            <w:r>
              <w:rPr>
                <w:sz w:val="18"/>
              </w:rPr>
              <w:t>Не все редакции канона; ZIP не распакованы, Toh106 — оболочка viewer.</w:t>
            </w:r>
          </w:p>
        </w:tc>
      </w:tr>
    </w:tbl>
    <w:p>
      <w:r>
        <w:t>Из 89 записей 42 помечены core, 10 antecedent, 12 commentary_or_reception, пять continuation, шесть transmission_or_preservation, три same_corpus_or_tradition и одна supporting. Категория boundary не потребовалась: поздний, но прямо связанный текст не понижен до «соседнего» только из-за даты.</w:t>
      </w:r>
    </w:p>
    <w:p>
      <w:r>
        <w:t>Учёт предметов объединяет языковые версии и альтернативные издания одного корня, но отличает самостоятельный комментарий. Сборник считается отдельным составным объектом от отдельно проверенного входящего текста; поэтому 59 + 11 — прозрачный рабочий счёт, а не сумма непересекающихся исторических сочинений.</w:t>
      </w:r>
    </w:p>
    <w:p>
      <w:r>
        <w:t>Веб-поиск добавил полный Rigs gter с Гьялцабом, открытый Ронгзом, двенадцать строф Гампопы и их комментарий, документы Jonang, конкретные Gangtey-свидетели Ньингма Гьюбум, современные комментарии к Лонгченпе и поздний трактат Нгаванга Тендара о композиции.</w:t>
      </w:r>
    </w:p>
    <w:p>
      <w:pPr>
        <w:spacing w:after="80"/>
      </w:pPr>
      <w:r>
        <w:rPr>
          <w:sz w:val="18"/>
        </w:rPr>
        <w:t xml:space="preserve">Проверочный источник: </w:t>
      </w:r>
      <w:hyperlink r:id="rId12">
        <w:r>
          <w:rPr>
            <w:color w:val="176B78"/>
            <w:sz w:val="18"/>
          </w:rPr>
          <w:t>Предметные описания завершённых изданий UTA</w:t>
        </w:r>
      </w:hyperlink>
    </w:p>
    <w:p>
      <w:r>
        <w:br w:type="page"/>
      </w:r>
    </w:p>
    <w:p>
      <w:pPr>
        <w:pStyle w:val="Heading2"/>
      </w:pPr>
      <w:r>
        <w:t>Охват: входящие источники и поздняя передача</w:t>
      </w:r>
    </w:p>
    <w:p>
      <w:r>
        <w:rPr>
          <w:b/>
        </w:rPr>
        <w:t xml:space="preserve">Поиск назад. </w:t>
      </w:r>
      <w:r>
        <w:t>Индийская линия здесь включена не по общей принадлежности к буддизму. MMK — корень «Океана рассуждений»; Prasannapadā — его непосредственная комментарийная предыстория; Madhyamakāvatāra — корень «Прояснения замысла». Pramāṇavārttika и её автокомментарий, Nyāyabindu и Vādanyāya принадлежат прямому логическому и диспутационному субстрату тибетского tshad ma. Их санскритские или тибетские текстовые маршруты находятся в R035, R063–R069 и R080.</w:t>
      </w:r>
    </w:p>
    <w:p>
      <w:r>
        <w:t>Сутраланкара с бхашьей представляет конкретную линию Асанги/Йогачары, а не всю литературу этой школы. Атиша включён через Bodhipathapradīpa и его прямую роль в ламриме Гампопы и Цонкапы. Комментированные Pramāṇasamuccaya, Uttaratantra и Abhidharmasamuccaya объявлены UTA; пока подтверждена идентичность этих изданий, но не получены их файлы. Корни Pramāṇaviniścaya и Satyadvayavibhaṅga не подменены конспектами Чапы: они отмечены в G22.</w:t>
      </w:r>
    </w:p>
    <w:p>
      <w:r>
        <w:rPr>
          <w:b/>
        </w:rPr>
        <w:t xml:space="preserve">Поиск вперёд. </w:t>
      </w:r>
      <w:r>
        <w:t>Сакьяская эпистемология прослеживается до главы комментария Лотера Вангпо. Трёхчастная учёная деятельность «объяснять — диспутировать — сочинять» прослеживается до Нгаванга Тендара: выбран именно раздел, прямо связанный с Gateway и цитирующий Цонкапу. Эти записи являются commentary_or_reception, а не случайной поздней литературой.</w:t>
      </w:r>
    </w:p>
    <w:p>
      <w:r>
        <w:t>В Гелуг включены Кхедруб, Easy Path, Swift Path, Sacred Words of Mañjuśrī, IV Amdo Zhamar и Pabongka/Trijang. Для каждого указана связь с ламримом Цонкапы или жанром диспута. Частичные черновики XVIII–XX-вековых линий сохранены как частичные: 8, 28, 63 или 106 страниц PDF не объявлены полными переводами произведений.</w:t>
      </w:r>
    </w:p>
    <w:p>
      <w:r>
        <w:t>В Кагью учтены сочинения Восьмого Кармапы XVI века и комментарии Конгтрула XIX века к Третьему Кармапе. В Ньингма — Мипам к Madhyamakālaṃkāra, Дилго Кхьенце и Кхангсар Тенпаи Вангчук к конкретным сокровищам Лонгченпы. В Jonang — Таранатха как прямое продолжение Долпопы. Это ограниченные авторские и комментарийные цепочки, а не общая история традиций.</w:t>
      </w:r>
    </w:p>
    <w:p>
      <w:r>
        <w:rPr>
          <w:b/>
        </w:rPr>
        <w:t xml:space="preserve">Сохранение. </w:t>
      </w:r>
      <w:r>
        <w:t>Одна страница наставления Цен Кавоче дошла через компиляцию Кунги Дролчока XVI века: ранняя атрибуция не делает поздний свидетель автографом. Gangtey A/B — поздние рукописные комплекты средневекового корпуса; Миларепа представлен старым изданием поздней передачи раннего материала Кагью. Возраст рассказанного учения, дата составления текста, дата экземпляра и дата перевода различены.</w:t>
      </w:r>
    </w:p>
    <w:p>
      <w:pPr>
        <w:shd w:fill="EAF2F3"/>
        <w:spacing w:before="100" w:after="180"/>
      </w:pPr>
      <w:r>
        <w:t>Внепериодный объект включён только при конкретной связи с корнем, автором, корпусом, комментарийной линией или историей сохранения. Даты мастер-строки при этом не расширены.</w:t>
      </w:r>
    </w:p>
    <w:p>
      <w:pPr>
        <w:spacing w:after="80"/>
      </w:pPr>
      <w:r>
        <w:rPr>
          <w:sz w:val="18"/>
        </w:rPr>
        <w:t xml:space="preserve">Проверочный источник: </w:t>
      </w:r>
      <w:hyperlink r:id="rId13">
        <w:r>
          <w:rPr>
            <w:color w:val="176B78"/>
            <w:sz w:val="18"/>
          </w:rPr>
          <w:t>Jonang: предметный список переводов и исходников</w:t>
        </w:r>
      </w:hyperlink>
    </w:p>
    <w:p>
      <w:r>
        <w:br w:type="page"/>
      </w:r>
    </w:p>
    <w:p>
      <w:pPr>
        <w:pStyle w:val="Heading1"/>
      </w:pPr>
      <w:r>
        <w:t>3. Лучшие пути доступа</w:t>
      </w:r>
    </w:p>
    <w:p>
      <w:pPr>
        <w:pStyle w:val="Heading2"/>
      </w:pPr>
      <w:r>
        <w:t>Ранний Сангпу и Сакья Пандита</w:t>
      </w:r>
    </w:p>
    <w:p>
      <w:r>
        <w:rPr>
          <w:b/>
        </w:rPr>
        <w:t xml:space="preserve">Чапа. </w:t>
      </w:r>
      <w:r>
        <w:t>Лучший подтверждённый бесплатный путь — академическая страница ÖAW/IKGA с транскрипциями конспекта Pramāṇaviniścaya и двух сочинений о двух истинах, а также отдельным PDF-изданием экскурса ’Od zer. Это значимые первичные тексты, но они не закрывают весь корпус Чапы. Ссылки Word опубликованы учреждением; их бинарное содержимое не прочитано инструментом. Право на зеркало современной транскрипции не найдено. [R008–R011; G03–G04]</w:t>
      </w:r>
    </w:p>
    <w:p>
      <w:r>
        <w:rPr>
          <w:b/>
        </w:rPr>
        <w:t xml:space="preserve">Нгок. </w:t>
      </w:r>
      <w:r>
        <w:t>WSTB91 Казуо Кано — сильный академический вход для идентификации комментария на Uttaratantra, его структуры и передачи. Издатель, однако, прямо отделяет эту монографию от предполагаемых томов критического издания и перевода. Её нельзя считать найденным полным текстом Нгока. Другие полные первичные маршруты Нгока остаются в G01–G02. [R070]</w:t>
      </w:r>
    </w:p>
    <w:p>
      <w:r>
        <w:rPr>
          <w:b/>
        </w:rPr>
        <w:t xml:space="preserve">Полный Rigs gter. </w:t>
      </w:r>
      <w:r>
        <w:t>Наиболее важная находка — 401-страничный тибетский PDF UTA Publishing: корень Сакья Пандиты и комментарий Гьялцаба в одном издании. Открыты файл, титульные сведения и уведомление о распространении без прибыли. Для полного чтения это существенно лучше, чем отдельные главы у Hugon или глава комментария Лотера Вангпо. Для научного сравнения нужны все три маршрута, поскольку это разные редакционные/комментарийные слои. [R081; R001; R049]</w:t>
      </w:r>
    </w:p>
    <w:p>
      <w:r>
        <w:t>Французское издание Hugon остаётся лучшим из проверенных точечных критических входов к главе IV и части X. Поздний английский перевод главы 1 комментария Лотера Вангпо на Lotsawa House даёт открыто лицензированную рецепцию. Ни один из этих частичных объектов не назван полным английским переводом Rigs gter. При публикации UTA-PDF безопасная рекомендация ограничена неизменённой некоммерческой копией с атрибуцией; собственный перевод или переработанный OCR оставлены на проверку условий.</w:t>
      </w:r>
    </w:p>
    <w:p>
      <w:r>
        <w:rPr>
          <w:b/>
        </w:rPr>
        <w:t xml:space="preserve">Остальные главные сочинения. </w:t>
      </w:r>
      <w:r>
        <w:t>Для третьего раздела Gateway — Jackson, WSTB17; для Three Codes и шести писем — Rhoton/Scott, SUNY. У SUNY отдельно сохранён законный preview, но его 39 страниц преимущественно содержат аппарат и введение, а не основной перевод. Для Clarifying the Sage’s Intent и двух ранних ламримов — антология Stages of the Buddha’s Teachings. Это один том с тремя переводами, а не три отдельных цифровых файла. [R002; R036–R037; R013]</w:t>
      </w:r>
    </w:p>
    <w:p>
      <w:r>
        <w:t>Полного проверенного старого публичнодоменного перевода этого сакьяского ядра не найдено. Отсутствие такого варианта не исключило современные защищённые научные издания из реестра.</w:t>
      </w:r>
    </w:p>
    <w:p>
      <w:pPr>
        <w:spacing w:after="80"/>
      </w:pPr>
      <w:r>
        <w:rPr>
          <w:sz w:val="18"/>
        </w:rPr>
        <w:t xml:space="preserve">Проверочный источник: </w:t>
      </w:r>
      <w:hyperlink r:id="rId14">
        <w:r>
          <w:rPr>
            <w:color w:val="176B78"/>
            <w:sz w:val="18"/>
          </w:rPr>
          <w:t>Полный Rigs gter + Гьялцаб, официальный PDF</w:t>
        </w:r>
      </w:hyperlink>
    </w:p>
    <w:p>
      <w:pPr>
        <w:spacing w:after="80"/>
      </w:pPr>
      <w:r>
        <w:rPr>
          <w:sz w:val="18"/>
        </w:rPr>
        <w:t xml:space="preserve">Проверочный источник: </w:t>
      </w:r>
      <w:hyperlink r:id="rId15">
        <w:r>
          <w:rPr>
            <w:color w:val="176B78"/>
            <w:sz w:val="18"/>
          </w:rPr>
          <w:t>ÖAW: первичные материалы Чапы</w:t>
        </w:r>
      </w:hyperlink>
    </w:p>
    <w:p>
      <w:r>
        <w:br w:type="page"/>
      </w:r>
    </w:p>
    <w:p>
      <w:pPr>
        <w:pStyle w:val="Heading2"/>
      </w:pPr>
      <w:r>
        <w:t>Лучшие пути: Цонкапа, ранний Гелуг и Горампа</w:t>
      </w:r>
    </w:p>
    <w:p>
      <w:r>
        <w:rPr>
          <w:b/>
        </w:rPr>
        <w:t xml:space="preserve">Ламрим Ченмо. </w:t>
      </w:r>
      <w:r>
        <w:t>Лучший проверенный массовый вход в тибетскую ламрим-линию — пяти-томное критическое собрание Jangchup Lamrim. Открыт первый том, объявлены остальные четыре; утверждение о составе опирается на предметное оглавление издателя, а не на просмотр всех страниц. Файл первого тома не равен всему собранию. Для оригинала самого Lamrim Chenmo это важный бесплатный доступ, но современная критическая подготовка не получила автоматического разрешения на зеркало. [R022]</w:t>
      </w:r>
    </w:p>
    <w:p>
      <w:r>
        <w:rPr>
          <w:b/>
        </w:rPr>
        <w:t xml:space="preserve">Русские версии. </w:t>
      </w:r>
      <w:r>
        <w:t>Для русского чтения сохранён ранний пятитомный перевод Кугявичуса/Терентьева через Нартанг и официальный архив организаторов учений. Проверен первый PDF, а исходная страница издателя при повторном обращении дала ошибку декодирования. Седьмая исправленная электронная версия — отдельная платная редакция: карточка указывает два PDF и два EPUB, но одновременно показывает предзаказ. Обещанный бесплатный DOCX поправок пока не выложен; R025 оставлен metadata-only. [R023–R025]</w:t>
      </w:r>
    </w:p>
    <w:p>
      <w:r>
        <w:rPr>
          <w:b/>
        </w:rPr>
        <w:t xml:space="preserve">Другие ламрим-тексты. </w:t>
      </w:r>
      <w:r>
        <w:t>Medium Lamrim в переводе Philip Quarcoo доступен на официальном сайте, но содержит явное DRAFT — please do not distribute further. Это полезное чтение, а не материал для публичного зеркала ToS. Короткие Three Principal Aspects на Lotsawa House дают отдельную чистую тибетскую основу для собственного перевода. Songs of Experience и Destiny Fulfilled в официальных PDF расширяют авторский корпус, но их права на повторное использование не установлены. [R026; R014–R015; R028; R032]</w:t>
      </w:r>
    </w:p>
    <w:p>
      <w:r>
        <w:rPr>
          <w:b/>
        </w:rPr>
        <w:t xml:space="preserve">Мадхьямака Цонкапы. </w:t>
      </w:r>
      <w:r>
        <w:t>Для Legs bshad snying po — Thurman/Princeton через JSTOR. Для комментария на Madhyamakāvatāra — полный современный перевод Thupten Jinpa, Illuminating the Intent. Для Ocean of Reasoning — Samten/Garfield, OUP, с оговорённым сбоем заголовка в DOI-представлении. Все три — самостоятельные произведения и самостоятельные способы доступа; удобство нового перевода не делает его свободным. [R045–R047]</w:t>
      </w:r>
    </w:p>
    <w:p>
      <w:r>
        <w:rPr>
          <w:b/>
        </w:rPr>
        <w:t xml:space="preserve">Ранний Гелуг. </w:t>
      </w:r>
      <w:r>
        <w:t>A Dose of Emptiness Кхедруба найден в официальной цифровой витрине с опцией образца. Для Гьялцаба обнаружены предметные описания полных совместных изданий Uttaratantra, Pramāṇasamuccaya и Abhidharmasamuccaya; конечные файлы пока не извлечены. Они не потеряны, но помечены metadata-only, в отличие от реально открытого Rigs gter. [R071; R081–R084]</w:t>
      </w:r>
    </w:p>
    <w:p>
      <w:r>
        <w:rPr>
          <w:b/>
        </w:rPr>
        <w:t xml:space="preserve">Горампа. </w:t>
      </w:r>
      <w:r>
        <w:t>Для полного Distinguishing the Views — Cabezón/Dargyay, Wisdom. Для свободного короткого философского текста и тибетского оригинала — Response to Denma Tsegyal Kyab на Lotsawa House. Краткий ответ полезен сам по себе, но не заменяет главный трактат. [R012; R016–R017]</w:t>
      </w:r>
    </w:p>
    <w:p>
      <w:pPr>
        <w:spacing w:after="80"/>
      </w:pPr>
      <w:r>
        <w:rPr>
          <w:sz w:val="18"/>
        </w:rPr>
        <w:t xml:space="preserve">Проверочный источник: </w:t>
      </w:r>
      <w:hyperlink r:id="rId16">
        <w:r>
          <w:rPr>
            <w:color w:val="176B78"/>
            <w:sz w:val="18"/>
          </w:rPr>
          <w:t>Официальное собрание тибетских ламримов</w:t>
        </w:r>
      </w:hyperlink>
    </w:p>
    <w:p>
      <w:pPr>
        <w:spacing w:after="80"/>
      </w:pPr>
      <w:r>
        <w:rPr>
          <w:sz w:val="18"/>
        </w:rPr>
        <w:t xml:space="preserve">Проверочный источник: </w:t>
      </w:r>
      <w:hyperlink r:id="rId17">
        <w:r>
          <w:rPr>
            <w:color w:val="176B78"/>
            <w:sz w:val="18"/>
          </w:rPr>
          <w:t>Нартанг: текущая карточка электронного издания</w:t>
        </w:r>
      </w:hyperlink>
    </w:p>
    <w:p>
      <w:r>
        <w:br w:type="page"/>
      </w:r>
    </w:p>
    <w:p>
      <w:pPr>
        <w:pStyle w:val="Heading2"/>
      </w:pPr>
      <w:r>
        <w:t>Лучшие пути: Кагью, Ньингма и Jonang</w:t>
      </w:r>
    </w:p>
    <w:p>
      <w:r>
        <w:rPr>
          <w:b/>
        </w:rPr>
        <w:t xml:space="preserve">Гампопа. </w:t>
      </w:r>
      <w:r>
        <w:t>Для Гампопы есть два полных современных перевода Jewel Ornament: самостоятельная книга и версия в антологии Stages. На Lotsawa House полностью доступны двенадцать строф о четырёх дхармах и ранний комментарий Гомпы Цултрима Ньингпо. Этот короткий текст не смешан с другим сочинением, известным как Precious Garland of the Supreme Path. [R013; R050–R053]</w:t>
      </w:r>
    </w:p>
    <w:p>
      <w:r>
        <w:rPr>
          <w:b/>
        </w:rPr>
        <w:t xml:space="preserve">Третий Кармапа. </w:t>
      </w:r>
      <w:r>
        <w:t>Диссертация Seegers даёт полный критический текст и английский перевод rNam shes ye shes с указанными страницами; другие произведения Кармапы в ней выборочные. Альтернативный перевод — Sheehy на Jonang Foundation. Luminous Heart добавляет другую современную переводную и комментарийную традицию, включая Конгтрула. Двуязычная Mahāmudrā Aspiration на Lotsawa House — чистая основа для собственного перевода только этого краткого произведения. [R042; R054–R055; R061]</w:t>
      </w:r>
    </w:p>
    <w:p>
      <w:r>
        <w:rPr>
          <w:b/>
        </w:rPr>
        <w:t xml:space="preserve">Ронгзом. </w:t>
      </w:r>
      <w:r>
        <w:t>Полное бесплатное чтение Establishing Appearances as Divine найдено в новом переводе Dominic Sur на Lotsawa House вместе с тибетской версией. Это другой перевод, чем научная книга Köppl. Оба сохранены, поскольку открытая лицензия не заменяет различий в редакционной работе и научном аппарате. [R039–R041]</w:t>
      </w:r>
    </w:p>
    <w:p>
      <w:r>
        <w:rPr>
          <w:b/>
        </w:rPr>
        <w:t xml:space="preserve">Лонгченпа. </w:t>
      </w:r>
      <w:r>
        <w:t>Набор Padma Publishing с переводами Richard Barron содержит четыре сокровища и один автокомментарий, не все семь. Higgins полезен для Dris lan и выдержек из Theg mchog mdzod. Дополнительно найдены три конкретные современные линии комментариев: Дилго Кхьенце к Man ngag mdzod и Кхангсар Тенпаи Вангчук к Chos dbyings и Gnas lugs. Издание Essential Instructions 2026 года уже выпущено и отмечено Available; это не будущий неподтверждённый анонс. [R003; R038; R086–R088]</w:t>
      </w:r>
    </w:p>
    <w:p>
      <w:r>
        <w:rPr>
          <w:b/>
        </w:rPr>
        <w:t xml:space="preserve">Долпопа и Jonang. </w:t>
      </w:r>
      <w:r>
        <w:t>Для большого Ri chos — современный полный перевод Hopkins, Mountain Doctrine. Для кратких первичных текстов — официальный ряд Jonang Foundation: два перевода Jovic, Crucial Point, Taranatha’s Essence of Zhentong и короткое наставление, сохраняющее атрибуцию Цен Кавоче. Каталог Henning помогает искать собрание сочинений, но не является самим собранием. [R043; R056–R062]</w:t>
      </w:r>
    </w:p>
    <w:p>
      <w:pPr>
        <w:shd w:fill="EAF2F3"/>
        <w:spacing w:before="100" w:after="180"/>
      </w:pPr>
      <w:r>
        <w:t>Основной предел этой группы — не отсутствие произведений, а неравномерность доступа: хорошие отдельные переводы и короткие открытые тексты соседствуют с непроверенными полными тибетскими собраниями. Tshig don, Theg mchog и Yid bzhin mdzod явно оставлены в gaps, а не исключены из семи сокровищ.</w:t>
      </w:r>
    </w:p>
    <w:p>
      <w:pPr>
        <w:spacing w:after="80"/>
      </w:pPr>
      <w:r>
        <w:rPr>
          <w:sz w:val="18"/>
        </w:rPr>
        <w:t xml:space="preserve">Проверочный источник: </w:t>
      </w:r>
      <w:hyperlink r:id="rId18">
        <w:r>
          <w:rPr>
            <w:color w:val="176B78"/>
            <w:sz w:val="18"/>
          </w:rPr>
          <w:t>Padma: фактический состав Precious Treasury Set</w:t>
        </w:r>
      </w:hyperlink>
    </w:p>
    <w:p>
      <w:pPr>
        <w:spacing w:after="80"/>
      </w:pPr>
      <w:r>
        <w:rPr>
          <w:sz w:val="18"/>
        </w:rPr>
        <w:t xml:space="preserve">Проверочный источник: </w:t>
      </w:r>
      <w:hyperlink r:id="rId19">
        <w:r>
          <w:rPr>
            <w:color w:val="176B78"/>
            <w:sz w:val="18"/>
          </w:rPr>
          <w:t>Hamburg: первичный текст в диссертации Seegers</w:t>
        </w:r>
      </w:hyperlink>
    </w:p>
    <w:p>
      <w:r>
        <w:br w:type="page"/>
      </w:r>
    </w:p>
    <w:p>
      <w:pPr>
        <w:pStyle w:val="Heading2"/>
      </w:pPr>
      <w:r>
        <w:t>Лучшие пути: канон, свидетели и машиночитаемые данные</w:t>
      </w:r>
    </w:p>
    <w:p>
      <w:r>
        <w:rPr>
          <w:b/>
        </w:rPr>
        <w:t xml:space="preserve">Оригинальные тексты. </w:t>
      </w:r>
      <w:r>
        <w:t>Санскритские корни Madhyamaka и pramāṇa лучше всего представлены в предметных GRETIL e-text: MMK, Prasannapadā, Sūtrālaṃkāra с бхашьей, Nyāyabindu, Vādanyāya, Pramāṇavārttikasvavṛtti. Для Madhyamakāvatāra найден открываемый тибетский Wylie-TXT подготовителя Christian Steinert. Это не санскритский оригинал и не автокомментарий. Современная реконструкция, печатный аппарат и электронная транскрипция остаются разными слоями. [R063–R068; R080]</w:t>
      </w:r>
    </w:p>
    <w:p>
      <w:r>
        <w:t>Важная техническая оговорка: полный legacy-HTML Pramāṇavārttika II–IV имеет собственное уведомление FOR REFERENCE PURPOSES ONLY. Новый TEI-экспорт не показал полного текста, поэтому его CC-уведомление не перенесено на старый HTML. Первая глава с автокомментарием и главы II–IV сохранены как разные объекты и не объявлены одним проверенным полным критическим изданием. [R064; R069]</w:t>
      </w:r>
    </w:p>
    <w:p>
      <w:r>
        <w:rPr>
          <w:b/>
        </w:rPr>
        <w:t xml:space="preserve">Пакеты данных. </w:t>
      </w:r>
      <w:r>
        <w:t>ALL/ACIP предоставляет отдельные ZIP Kangyur, Tengyur и Sungbum с явным отказом от принадлежащих библиотеке прав. Это самый свободный по заявленным условиям крупный текстовый слой. Проверены официальная страница и ответы ZIP-endpoint, но пакеты не распакованы. В отличие от них Esukhia показывает конкретную структуру тибетского Дэргэ Кангьюра: один текстовый файл на том, маркеры страниц/Toh, публичнодоменное заявление в README. Том 103 отсутствует. [R018–R021]</w:t>
      </w:r>
    </w:p>
    <w:p>
      <w:r>
        <w:rPr>
          <w:b/>
        </w:rPr>
        <w:t xml:space="preserve">Факсимиле. </w:t>
      </w:r>
      <w:r>
        <w:t>Два 46-томных комплекта Gangtey Ньингма Гьюбум найдены на уровне предметных карточек British Library: EAP039/1/3/1 и EAP039/1/3/2. Каталоги перечисляют 17 480 и 19 088 TIFF, но эти изображения не получены. Это два конкретных рукописных свидетеля, а не 92 самостоятельных произведения. Общие даты обеих карточек не позволяют автоматически назначить A ранним, B поздним комплектом. [R077–R078]</w:t>
      </w:r>
    </w:p>
    <w:p>
      <w:r>
        <w:t>BDRC отдельно называет старое издание Миларепы W1CZ1988 неограниченным по изображениям. Данный item-level пример полезнее глобального предположения «всё BDRC свободно», но viewer и сам PDF не просмотрены. Для остальных W/MW-объектов требуется своя проверка. rKTs служит сравнительной навигацией по канонам, а не заменой их факсимиле. [R075–R079]</w:t>
      </w:r>
    </w:p>
    <w:p>
      <w:r>
        <w:rPr>
          <w:b/>
        </w:rPr>
        <w:t xml:space="preserve">Перевод канона. </w:t>
      </w:r>
      <w:r>
        <w:t>84000 сохранён как инфраструктурный вход, но Toh106 открыл только оболочку. Текст условий от мая 2026 года прямо помечен DRAFT; в нём разделены перевод, метаданные, код и доступ по соглашению. Пока не найден окончательно проверенный конкретный объект, здесь нет разрешения на автоматическое зеркало, заимствование перевода или использование API. [R089; G24–G25]</w:t>
      </w:r>
    </w:p>
    <w:p>
      <w:pPr>
        <w:spacing w:after="80"/>
      </w:pPr>
      <w:r>
        <w:rPr>
          <w:sz w:val="18"/>
        </w:rPr>
        <w:t xml:space="preserve">Проверочный источник: </w:t>
      </w:r>
      <w:hyperlink r:id="rId20">
        <w:r>
          <w:rPr>
            <w:color w:val="176B78"/>
            <w:sz w:val="18"/>
          </w:rPr>
          <w:t>ALL/ACIP: пакеты и специальный отказ от прав</w:t>
        </w:r>
      </w:hyperlink>
    </w:p>
    <w:p>
      <w:pPr>
        <w:spacing w:after="80"/>
      </w:pPr>
      <w:r>
        <w:rPr>
          <w:sz w:val="18"/>
        </w:rPr>
        <w:t xml:space="preserve">Проверочный источник: </w:t>
      </w:r>
      <w:hyperlink r:id="rId21">
        <w:r>
          <w:rPr>
            <w:color w:val="176B78"/>
            <w:sz w:val="18"/>
          </w:rPr>
          <w:t>Esukhia: состав и публичнодоменное заявление</w:t>
        </w:r>
      </w:hyperlink>
    </w:p>
    <w:p>
      <w:r>
        <w:br w:type="page"/>
      </w:r>
    </w:p>
    <w:p>
      <w:pPr>
        <w:pStyle w:val="Heading1"/>
      </w:pPr>
      <w:r>
        <w:t>4. Карта прав и практического использования</w:t>
      </w:r>
    </w:p>
    <w:p>
      <w:r>
        <w:t>Права оценены по четырём уровням: историческое произведение; конкретный перевод/редакция; цифровой текст, файл или изображение; условия платформы. Теги в XLSX относятся только к rights_scope и coverage. Ни FREE_DOWNLOAD, ни некоммерческий характер ToS сами по себе не разрешают повторную публикацию.</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098"/>
            <w:vAlign w:val="top"/>
            <w:shd w:fill="163F4B"/>
          </w:tcPr>
          <w:p>
            <w:pPr>
              <w:spacing w:after="80" w:before="60" w:line="247" w:lineRule="auto"/>
            </w:pPr>
            <w:r>
              <w:rPr>
                <w:b/>
                <w:color w:val="FFFFFF"/>
                <w:sz w:val="18"/>
              </w:rPr>
              <w:t>Группа</w:t>
            </w:r>
          </w:p>
        </w:tc>
        <w:tc>
          <w:tcPr>
            <w:tcW w:type="dxa" w:w="3402"/>
            <w:vAlign w:val="top"/>
            <w:shd w:fill="163F4B"/>
          </w:tcPr>
          <w:p>
            <w:pPr>
              <w:spacing w:after="80" w:before="60" w:line="247" w:lineRule="auto"/>
            </w:pPr>
            <w:r>
              <w:rPr>
                <w:b/>
                <w:color w:val="FFFFFF"/>
                <w:sz w:val="18"/>
              </w:rPr>
              <w:t>Что практически возможно</w:t>
            </w:r>
          </w:p>
        </w:tc>
        <w:tc>
          <w:tcPr>
            <w:tcW w:type="dxa" w:w="4139"/>
            <w:vAlign w:val="top"/>
            <w:shd w:fill="163F4B"/>
          </w:tcPr>
          <w:p>
            <w:pPr>
              <w:spacing w:after="80" w:before="60" w:line="247" w:lineRule="auto"/>
            </w:pPr>
            <w:r>
              <w:rPr>
                <w:b/>
                <w:color w:val="FFFFFF"/>
                <w:sz w:val="18"/>
              </w:rPr>
              <w:t>Граница разрешения</w:t>
            </w:r>
          </w:p>
        </w:tc>
      </w:tr>
      <w:tr>
        <w:trPr>
          <w:cantSplit/>
        </w:trPr>
        <w:tc>
          <w:tcPr>
            <w:tcW w:type="dxa" w:w="2098"/>
            <w:vAlign w:val="top"/>
            <w:shd w:fill="FFFFFF"/>
          </w:tcPr>
          <w:p>
            <w:pPr>
              <w:spacing w:after="80" w:before="60" w:line="247" w:lineRule="auto"/>
            </w:pPr>
            <w:r>
              <w:rPr>
                <w:sz w:val="18"/>
              </w:rPr>
              <w:t>ALL / ACIP; Esukhia</w:t>
            </w:r>
          </w:p>
        </w:tc>
        <w:tc>
          <w:tcPr>
            <w:tcW w:type="dxa" w:w="3402"/>
            <w:vAlign w:val="top"/>
            <w:shd w:fill="FFFFFF"/>
          </w:tcPr>
          <w:p>
            <w:pPr>
              <w:spacing w:after="80" w:before="60" w:line="247" w:lineRule="auto"/>
            </w:pPr>
            <w:r>
              <w:rPr>
                <w:sz w:val="18"/>
              </w:rPr>
              <w:t>Зеркало и машинная обработка явно предоставленных данных.</w:t>
            </w:r>
          </w:p>
        </w:tc>
        <w:tc>
          <w:tcPr>
            <w:tcW w:type="dxa" w:w="4139"/>
            <w:vAlign w:val="top"/>
            <w:shd w:fill="FFFFFF"/>
          </w:tcPr>
          <w:p>
            <w:pPr>
              <w:spacing w:after="80" w:before="60" w:line="247" w:lineRule="auto"/>
            </w:pPr>
            <w:r>
              <w:rPr>
                <w:sz w:val="18"/>
              </w:rPr>
              <w:t>Только собственные права/файлы проекта; архивы ACIP ещё требуют инвентаризации.</w:t>
            </w:r>
          </w:p>
        </w:tc>
      </w:tr>
      <w:tr>
        <w:trPr>
          <w:cantSplit/>
        </w:trPr>
        <w:tc>
          <w:tcPr>
            <w:tcW w:type="dxa" w:w="2098"/>
            <w:vAlign w:val="top"/>
            <w:shd w:fill="F0F5F6"/>
          </w:tcPr>
          <w:p>
            <w:pPr>
              <w:spacing w:after="80" w:before="60" w:line="247" w:lineRule="auto"/>
            </w:pPr>
            <w:r>
              <w:rPr>
                <w:sz w:val="18"/>
              </w:rPr>
              <w:t>Lotsawa House</w:t>
            </w:r>
          </w:p>
        </w:tc>
        <w:tc>
          <w:tcPr>
            <w:tcW w:type="dxa" w:w="3402"/>
            <w:vAlign w:val="top"/>
            <w:shd w:fill="F0F5F6"/>
          </w:tcPr>
          <w:p>
            <w:pPr>
              <w:spacing w:after="80" w:before="60" w:line="247" w:lineRule="auto"/>
            </w:pPr>
            <w:r>
              <w:rPr>
                <w:sz w:val="18"/>
              </w:rPr>
              <w:t>NC-публикация текста с атрибуцией; разрешённая индексация.</w:t>
            </w:r>
          </w:p>
        </w:tc>
        <w:tc>
          <w:tcPr>
            <w:tcW w:type="dxa" w:w="4139"/>
            <w:vAlign w:val="top"/>
            <w:shd w:fill="F0F5F6"/>
          </w:tcPr>
          <w:p>
            <w:pPr>
              <w:spacing w:after="80" w:before="60" w:line="247" w:lineRule="auto"/>
            </w:pPr>
            <w:r>
              <w:rPr>
                <w:sz w:val="18"/>
              </w:rPr>
              <w:t>CC BY-NC 4.0 не распространяется на изображения и внешние материалы.</w:t>
            </w:r>
          </w:p>
        </w:tc>
      </w:tr>
      <w:tr>
        <w:trPr>
          <w:cantSplit/>
        </w:trPr>
        <w:tc>
          <w:tcPr>
            <w:tcW w:type="dxa" w:w="2098"/>
            <w:vAlign w:val="top"/>
            <w:shd w:fill="FFFFFF"/>
          </w:tcPr>
          <w:p>
            <w:pPr>
              <w:spacing w:after="80" w:before="60" w:line="247" w:lineRule="auto"/>
            </w:pPr>
            <w:r>
              <w:rPr>
                <w:sz w:val="18"/>
              </w:rPr>
              <w:t>GRETIL TEI/e-text</w:t>
            </w:r>
          </w:p>
        </w:tc>
        <w:tc>
          <w:tcPr>
            <w:tcW w:type="dxa" w:w="3402"/>
            <w:vAlign w:val="top"/>
            <w:shd w:fill="FFFFFF"/>
          </w:tcPr>
          <w:p>
            <w:pPr>
              <w:spacing w:after="80" w:before="60" w:line="247" w:lineRule="auto"/>
            </w:pPr>
            <w:r>
              <w:rPr>
                <w:sz w:val="18"/>
              </w:rPr>
              <w:t>NC-зеркало с атрибуцией; SA для переработок.</w:t>
            </w:r>
          </w:p>
        </w:tc>
        <w:tc>
          <w:tcPr>
            <w:tcW w:type="dxa" w:w="4139"/>
            <w:vAlign w:val="top"/>
            <w:shd w:fill="FFFFFF"/>
          </w:tcPr>
          <w:p>
            <w:pPr>
              <w:spacing w:after="80" w:before="60" w:line="247" w:lineRule="auto"/>
            </w:pPr>
            <w:r>
              <w:rPr>
                <w:sz w:val="18"/>
              </w:rPr>
              <w:t>Не переносить лицензию на иной legacy-файл или чужой печатный аппарат.</w:t>
            </w:r>
          </w:p>
        </w:tc>
      </w:tr>
      <w:tr>
        <w:trPr>
          <w:cantSplit/>
        </w:trPr>
        <w:tc>
          <w:tcPr>
            <w:tcW w:type="dxa" w:w="2098"/>
            <w:vAlign w:val="top"/>
            <w:shd w:fill="F0F5F6"/>
          </w:tcPr>
          <w:p>
            <w:pPr>
              <w:spacing w:after="80" w:before="60" w:line="247" w:lineRule="auto"/>
            </w:pPr>
            <w:r>
              <w:rPr>
                <w:sz w:val="18"/>
              </w:rPr>
              <w:t>UTA Rigs gter</w:t>
            </w:r>
          </w:p>
        </w:tc>
        <w:tc>
          <w:tcPr>
            <w:tcW w:type="dxa" w:w="3402"/>
            <w:vAlign w:val="top"/>
            <w:shd w:fill="F0F5F6"/>
          </w:tcPr>
          <w:p>
            <w:pPr>
              <w:spacing w:after="80" w:before="60" w:line="247" w:lineRule="auto"/>
            </w:pPr>
            <w:r>
              <w:rPr>
                <w:sz w:val="18"/>
              </w:rPr>
              <w:t>Неизменённое NC-зеркало открытого PDF с атрибуцией.</w:t>
            </w:r>
          </w:p>
        </w:tc>
        <w:tc>
          <w:tcPr>
            <w:tcW w:type="dxa" w:w="4139"/>
            <w:vAlign w:val="top"/>
            <w:shd w:fill="F0F5F6"/>
          </w:tcPr>
          <w:p>
            <w:pPr>
              <w:spacing w:after="80" w:before="60" w:line="247" w:lineRule="auto"/>
            </w:pPr>
            <w:r>
              <w:rPr>
                <w:sz w:val="18"/>
              </w:rPr>
              <w:t>Производный OCR/перевод требуют согласования формулировок разрешения.</w:t>
            </w:r>
          </w:p>
        </w:tc>
      </w:tr>
      <w:tr>
        <w:trPr>
          <w:cantSplit/>
        </w:trPr>
        <w:tc>
          <w:tcPr>
            <w:tcW w:type="dxa" w:w="2098"/>
            <w:vAlign w:val="top"/>
            <w:shd w:fill="FFFFFF"/>
          </w:tcPr>
          <w:p>
            <w:pPr>
              <w:spacing w:after="80" w:before="60" w:line="247" w:lineRule="auto"/>
            </w:pPr>
            <w:r>
              <w:rPr>
                <w:sz w:val="18"/>
              </w:rPr>
              <w:t>Jonang Foundation</w:t>
            </w:r>
          </w:p>
        </w:tc>
        <w:tc>
          <w:tcPr>
            <w:tcW w:type="dxa" w:w="3402"/>
            <w:vAlign w:val="top"/>
            <w:shd w:fill="FFFFFF"/>
          </w:tcPr>
          <w:p>
            <w:pPr>
              <w:spacing w:after="80" w:before="60" w:line="247" w:lineRule="auto"/>
            </w:pPr>
            <w:r>
              <w:rPr>
                <w:sz w:val="18"/>
              </w:rPr>
              <w:t>Часть PDF: CC-BY или проектная NC-SA.</w:t>
            </w:r>
          </w:p>
        </w:tc>
        <w:tc>
          <w:tcPr>
            <w:tcW w:type="dxa" w:w="4139"/>
            <w:vAlign w:val="top"/>
            <w:shd w:fill="FFFFFF"/>
          </w:tcPr>
          <w:p>
            <w:pPr>
              <w:spacing w:after="80" w:before="60" w:line="247" w:lineRule="auto"/>
            </w:pPr>
            <w:r>
              <w:rPr>
                <w:sz w:val="18"/>
              </w:rPr>
              <w:t>Другие PDF явно ARR; права различаются внутри одного сайта.</w:t>
            </w:r>
          </w:p>
        </w:tc>
      </w:tr>
      <w:tr>
        <w:trPr>
          <w:cantSplit/>
        </w:trPr>
        <w:tc>
          <w:tcPr>
            <w:tcW w:type="dxa" w:w="2098"/>
            <w:vAlign w:val="top"/>
            <w:shd w:fill="F0F5F6"/>
          </w:tcPr>
          <w:p>
            <w:pPr>
              <w:spacing w:after="80" w:before="60" w:line="247" w:lineRule="auto"/>
            </w:pPr>
            <w:r>
              <w:rPr>
                <w:sz w:val="18"/>
              </w:rPr>
              <w:t>Gangtey / British Library</w:t>
            </w:r>
          </w:p>
        </w:tc>
        <w:tc>
          <w:tcPr>
            <w:tcW w:type="dxa" w:w="3402"/>
            <w:vAlign w:val="top"/>
            <w:shd w:fill="F0F5F6"/>
          </w:tcPr>
          <w:p>
            <w:pPr>
              <w:spacing w:after="80" w:before="60" w:line="247" w:lineRule="auto"/>
            </w:pPr>
            <w:r>
              <w:rPr>
                <w:sz w:val="18"/>
              </w:rPr>
              <w:t>CC BY 4.0 только на каталожный текст.</w:t>
            </w:r>
          </w:p>
        </w:tc>
        <w:tc>
          <w:tcPr>
            <w:tcW w:type="dxa" w:w="4139"/>
            <w:vAlign w:val="top"/>
            <w:shd w:fill="F0F5F6"/>
          </w:tcPr>
          <w:p>
            <w:pPr>
              <w:spacing w:after="80" w:before="60" w:line="247" w:lineRule="auto"/>
            </w:pPr>
            <w:r>
              <w:rPr>
                <w:sz w:val="18"/>
              </w:rPr>
              <w:t>Изображения research-only; воспроизведение требует письменного разрешения.</w:t>
            </w:r>
          </w:p>
        </w:tc>
      </w:tr>
    </w:tbl>
    <w:p>
      <w:r>
        <w:rPr>
          <w:b/>
        </w:rPr>
        <w:t xml:space="preserve">Собственные переводы. </w:t>
      </w:r>
      <w:r>
        <w:t>У девяти записей выставлен OWN_TRANSLATION_POSSIBLE: конкретные тибетские страницы Lotsawa House, присутствующий текст Esukhia и два открыто лицензированных санскритских объекта GRETIL. Это не девять неограниченных разрешений на любые произведения. Для фрагмента Нгаванга Тендара тег покрывает только раздел о композиции; для Esukhia — только имеющиеся тома; для двуязычного текста Кармапы — тибетский корень, не свободное присвоение английского перевода.</w:t>
      </w:r>
    </w:p>
    <w:p>
      <w:r>
        <w:t>OCR, публичная индексация и embeddings не объединены. OCR явно отмечен для конкретного разрешённого факсимиле BDRC, а не всего архива. Индексация текста Lotsawa House разрешена политикой, но её нельзя распространять на сторонние изображения. Положительные EMBEDDINGS_OK выставлены для свободных слоёв ALL/ACIP, Esukhia и специально названных изображений BDRC; остальные проекты не получают этот тег автоматически.</w:t>
      </w:r>
    </w:p>
    <w:p>
      <w:r>
        <w:t>Официальные бесплатные PDF Jangchup Lamrim, современная подготовка ÖAW, диссертация Hamburg и OA WSTB сохранены как полезные пути доступа без доказанного права публичного зеркала. Защищённые издания Wisdom, Shambhala, SUNY, Princeton, OUP и Нартанг остаются purchase / institutional / preview. Конкретная активная библиотечная выдача или CDL в этом исследовании не подтверждена.</w:t>
      </w:r>
    </w:p>
    <w:p>
      <w:pPr>
        <w:spacing w:after="80"/>
      </w:pPr>
      <w:r>
        <w:rPr>
          <w:sz w:val="18"/>
        </w:rPr>
        <w:t xml:space="preserve">Проверочный источник: </w:t>
      </w:r>
      <w:hyperlink r:id="rId11">
        <w:r>
          <w:rPr>
            <w:color w:val="176B78"/>
            <w:sz w:val="18"/>
          </w:rPr>
          <w:t>Lotsawa House: текст, метаданные, изображения, индексирование</w:t>
        </w:r>
      </w:hyperlink>
    </w:p>
    <w:p>
      <w:pPr>
        <w:spacing w:after="80"/>
      </w:pPr>
      <w:r>
        <w:rPr>
          <w:sz w:val="18"/>
        </w:rPr>
        <w:t xml:space="preserve">Проверочный источник: </w:t>
      </w:r>
      <w:hyperlink r:id="rId22">
        <w:r>
          <w:rPr>
            <w:color w:val="176B78"/>
            <w:sz w:val="18"/>
          </w:rPr>
          <w:t>Предметная карточка Gangtey A и User Conditions</w:t>
        </w:r>
      </w:hyperlink>
    </w:p>
    <w:p>
      <w:r>
        <w:br w:type="page"/>
      </w:r>
    </w:p>
    <w:p>
      <w:pPr>
        <w:pStyle w:val="Heading1"/>
      </w:pPr>
      <w:r>
        <w:t>5. Характерные правовые тонкости</w:t>
      </w:r>
    </w:p>
    <w:p>
      <w:pPr>
        <w:pStyle w:val="Heading2"/>
      </w:pPr>
      <w:r>
        <w:t>Древний корень не освобождает современную работу</w:t>
      </w:r>
    </w:p>
    <w:p>
      <w:r>
        <w:t>Тибетский трактат XIV века может быть вне обычного срока авторской охраны, но перевод Hopkins, Barron, Jinpa или российского переводчика — иной охраняемый объект. То же относится к реконструкции санскрита, критическим решениям и редакционному аппарату. Поэтому покупка лучшего научного издания не превращена в чистую основу для публикации собственного перевода.</w:t>
      </w:r>
    </w:p>
    <w:p>
      <w:pPr>
        <w:pStyle w:val="Heading2"/>
      </w:pPr>
      <w:r>
        <w:t>Одна лицензия не покрывает весь сайт</w:t>
      </w:r>
    </w:p>
    <w:p>
      <w:r>
        <w:t>На Lotsawa House открыты тексты и метаданные, но изображения исключены. На British Library CC BY относится к описанию, тогда как User Conditions запрещают воспроизведение Gangtey-изображений без разрешения монастыря. В GRETIL решающим является уведомление конкретного файла. В 84000 даже опубликованный DRAFT различает CC BY-NC-ND для переводов и CC BY для данных. Общая надпись в footer не заменяет эти различия.</w:t>
      </w:r>
    </w:p>
    <w:p>
      <w:pPr>
        <w:pStyle w:val="Heading2"/>
      </w:pPr>
      <w:r>
        <w:t>Противоречия сохранены, а не сглажены</w:t>
      </w:r>
    </w:p>
    <w:p>
      <w:r>
        <w:t>Два перевода Jovic содержат item-level CC-BY без номера версии: неизменённое распространение с атрибуцией имеет прямую опору, но неясности версии отмечены. В переводах Sheehy Crucial Point и Essence of Zhentong прямо написано All Rights Reserved, хотя общая страница Jonang говорит NC-SA. Для них зеркалирование не рекомендовано. У UTA оставлено консервативное неизменённое NC-зеркало; более широкая переработка вынесена на проверку.</w:t>
      </w:r>
    </w:p>
    <w:p>
      <w:pPr>
        <w:pStyle w:val="Heading2"/>
      </w:pPr>
      <w:r>
        <w:t>Бесплатный файл и свободный файл — не одно и то же</w:t>
      </w:r>
    </w:p>
    <w:p>
      <w:r>
        <w:t>Черновик Medium Lamrim доступен официально, но прямо просит не распространять его далее. Hamburg разрешает чтение диссертации, не выдавая дополнительных прав сверх закона. Обещанный будущий DOCX Нартанг вообще ещё не является доступным файлом. Карточка с кнопкой покупки и предзаказом не доказывает немедленную выдачу eBook. Эти случаи требуют разных access_mode, а не общего ярлыка «открыто».</w:t>
      </w:r>
    </w:p>
    <w:p>
      <w:pPr>
        <w:pStyle w:val="Heading2"/>
      </w:pPr>
      <w:r>
        <w:t>Public Domain, лицензия и юрисдикция</w:t>
      </w:r>
    </w:p>
    <w:p>
      <w:r>
        <w:t>Отказ ALL от собственных прав не переименован в CC0. Заявления Esukhia и BDRC о Public Domain не названы лицензией или Public Domain Mark. Старые переводы отдельно требуют проверки страны, дат авторов/редакторов и конкретного издания; в G33 они не объявлены свободными только из-за ранней даты публикации. NC оценивается по конкретному использованию ToS, а не только по тому, продаётся ли найденная книга.</w:t>
      </w:r>
    </w:p>
    <w:p>
      <w:pPr>
        <w:pStyle w:val="Heading2"/>
      </w:pPr>
      <w:r>
        <w:t>Уверенность в правах не равна полноте доступа</w:t>
      </w:r>
    </w:p>
    <w:p>
      <w:r>
        <w:t>high в rights_confidence означает ясность применимого уведомления, а не получение всех файлов. Так, права на метаданные Gangtey ясны, но TIFF не получены; waiver ALL ясен, но ZIP не разобраны. verification_status сообщает отдельный результат технической проверки. REVIEW рядом с положительным тегом ограничивает его соответствующим компонентом, а не отменяет факт законного чтения.</w:t>
      </w:r>
    </w:p>
    <w:p>
      <w:pPr>
        <w:spacing w:after="80"/>
      </w:pPr>
      <w:r>
        <w:rPr>
          <w:sz w:val="18"/>
        </w:rPr>
        <w:t xml:space="preserve">Проверочный источник: </w:t>
      </w:r>
      <w:hyperlink r:id="rId19">
        <w:r>
          <w:rPr>
            <w:color w:val="176B78"/>
            <w:sz w:val="18"/>
          </w:rPr>
          <w:t>Hamburg: условия доступа к диссертации</w:t>
        </w:r>
      </w:hyperlink>
    </w:p>
    <w:p>
      <w:pPr>
        <w:spacing w:after="80"/>
      </w:pPr>
      <w:r>
        <w:rPr>
          <w:sz w:val="18"/>
        </w:rPr>
        <w:t xml:space="preserve">Проверочный источник: </w:t>
      </w:r>
      <w:hyperlink r:id="rId23">
        <w:r>
          <w:rPr>
            <w:color w:val="176B78"/>
            <w:sz w:val="18"/>
          </w:rPr>
          <w:t>84000: опубликованные условия с маркировкой DRAFT</w:t>
        </w:r>
      </w:hyperlink>
    </w:p>
    <w:p>
      <w:r>
        <w:br w:type="page"/>
      </w:r>
    </w:p>
    <w:p>
      <w:pPr>
        <w:pStyle w:val="Heading1"/>
      </w:pPr>
      <w:r>
        <w:t>6. Пробелы и дальнейший поиск</w:t>
      </w:r>
    </w:p>
    <w:p>
      <w:r>
        <w:t>Лист gaps содержит 35 конкретных незавершённых вопросов. «Полный текст не найден» означает отсутствие проверенного маршрута в этом запуске, а не отсутствие произведения. Ни один кандидат не исключён только потому, что он старше или младше XI–XV веков. Ниже — восемь приоритетных направлений, объединяющих предметные пробелы и необходимые повторные проверки.</w:t>
      </w:r>
    </w:p>
    <w:p>
      <w:pPr>
        <w:pStyle w:val="Heading2"/>
      </w:pPr>
      <w:r>
        <w:t>1. Замкнуть ранний Сангпу</w:t>
      </w:r>
    </w:p>
    <w:p>
      <w:r>
        <w:t>Нужны полные первичные сочинения Нгока о Pramāṇaviniścaya и Uttaratantra, Tshad ma yid kyi mun sel Чапы и полный ’Od zer. Следует пройти точные Wylie-заглавия, каталожные номера bKa' gdams gsung 'bum, приложения академических изданий и фактические файлы ÖAW. Отдельно искать коренные Pramāṇaviniścaya и Satyadvayavibhaṅga: найденный тибетский конспект не заменяет индийский текст. [G01–G04; G21–G22]</w:t>
      </w:r>
    </w:p>
    <w:p>
      <w:pPr>
        <w:pStyle w:val="Heading2"/>
      </w:pPr>
      <w:r>
        <w:t>2. Завершить сакьяско-гелугпинские учебные издания</w:t>
      </w:r>
    </w:p>
    <w:p>
      <w:r>
        <w:t>Получить четыре объявленных файла UTA, проверить их титулы и каждое разрешение. Для Gateway найти разделы I–II; для Горампы — полный чистый тибетский lTa ba'i shan 'byed. Для Rwa stod найти законный полный экземпляр, а не другой поисковый каталог. Новый полный Rigs gter уже закрывает важнейший пробел чтения; дополнительная задача теперь — аккуратное определение права на производный текст и перевод. [G05–G10]</w:t>
      </w:r>
    </w:p>
    <w:p>
      <w:pPr>
        <w:pStyle w:val="Heading2"/>
      </w:pPr>
      <w:r>
        <w:t>3. Разобрать полный авторский корпус Лонгченпы</w:t>
      </w:r>
    </w:p>
    <w:p>
      <w:r>
        <w:t>Первыми идут три недопокрытых сокровища: Tshig don, Theg mchog и Yid bzhin mdzod. Затем нужен проверенный полный тибетский mdzod bdun и предметные версии Trilogy of Finding Rest. Современные комментарии к трём сокровищам уже включены, но не заменяют недостающие корни. Датировка позднего перевода или комментария не является причиной исключать его; нужен конкретный состав и лицензия. [G11–G15]</w:t>
      </w:r>
    </w:p>
    <w:p>
      <w:pPr>
        <w:pStyle w:val="Heading2"/>
      </w:pPr>
      <w:r>
        <w:t>4. Перейти от канонических порталов к свидетелям</w:t>
      </w:r>
    </w:p>
    <w:p>
      <w:r>
        <w:t>Проверить Tshal pa, Them spangs ma и Old Narthang на уровне конкретных редакций, рукописей и колофонов, поскольку Дэргэ/ACIP не представляют всю эту историю. Для Gangtey открыть факсимиле и уточнить соответствие комплектов A/B датам; дополнительный Tshamdrak остаётся непроверенным входом. Для Toh106 получить настоящий текст и выходные данные из 84000 вместо оболочки viewer. [G16; G23–G25]</w:t>
      </w:r>
    </w:p>
    <w:p>
      <w:r>
        <w:t>К числу неоткрывшихся или неполно открывшихся объектов относятся динамические BDRC/EAP-viewer, предметная страница rKTs Toh106, отдельные Word/PDF ÖAW, повторные запросы WSTB90/91 и нестабильная карточка OUP. Эти технические отказы не трактуются как закрытие сервиса для обычного читателя.</w:t>
      </w:r>
    </w:p>
    <w:p>
      <w:pPr>
        <w:spacing w:after="80"/>
      </w:pPr>
      <w:r>
        <w:rPr>
          <w:sz w:val="18"/>
        </w:rPr>
        <w:t xml:space="preserve">Проверочный источник: </w:t>
      </w:r>
      <w:hyperlink r:id="rId24">
        <w:r>
          <w:rPr>
            <w:color w:val="176B78"/>
            <w:sz w:val="18"/>
          </w:rPr>
          <w:t>rKTs: отправная точка сравнительного поиска</w:t>
        </w:r>
      </w:hyperlink>
    </w:p>
    <w:p>
      <w:pPr>
        <w:spacing w:after="80"/>
      </w:pPr>
      <w:r>
        <w:rPr>
          <w:sz w:val="18"/>
        </w:rPr>
        <w:t xml:space="preserve">Проверочный источник: </w:t>
      </w:r>
      <w:hyperlink r:id="rId25">
        <w:r>
          <w:rPr>
            <w:color w:val="176B78"/>
            <w:sz w:val="18"/>
          </w:rPr>
          <w:t>HathiTrust: подтверждённый ограниченный доступ Rwa stod</w:t>
        </w:r>
      </w:hyperlink>
    </w:p>
    <w:p>
      <w:r>
        <w:br w:type="page"/>
      </w:r>
    </w:p>
    <w:p>
      <w:pPr>
        <w:pStyle w:val="Heading2"/>
      </w:pPr>
      <w:r>
        <w:t>Пробелы: правовые и корпусные продолжения</w:t>
      </w:r>
    </w:p>
    <w:p>
      <w:pPr>
        <w:pStyle w:val="Heading2"/>
      </w:pPr>
      <w:r>
        <w:t>5. Инвентаризировать открытые данные до импорта</w:t>
      </w:r>
    </w:p>
    <w:p>
      <w:r>
        <w:t>Распаковать три ACIP-пакета, определить версии, кодировки, названия и пропуски; проверить файлы Esukhia, не забывая отсутствующий каталог. Не дробить ZIP на фиктивные независимые «находки», но сопоставить реальные файлы центральным произведениям. Для BDRC подтвердить каждый W/MW-объект, право на OCR и документированный машинный способ получения. Открытый GitHub-код или технический endpoint не равен открытым данным. [G26; G35]</w:t>
      </w:r>
    </w:p>
    <w:p>
      <w:pPr>
        <w:pStyle w:val="Heading2"/>
      </w:pPr>
      <w:r>
        <w:t>6. Разрешить противоречия лицензий и доступности</w:t>
      </w:r>
    </w:p>
    <w:p>
      <w:r>
        <w:t>Приоритетны UTA, Jonang PDF, DRAFT-условия 84000 и поздние ламрим-редакции. Следует проверить все пять тибетских томов, статус русского eBook, появление обещанных поправок и устойчивость официальных OA PDF. Для данных/переводов 84000 нужно item-level подтверждение действующих условий: заявление страницы о fair use не является универсальным разрешением ToS на обучение моделей. [G09; G19–G20; G25; G27]</w:t>
      </w:r>
    </w:p>
    <w:p>
      <w:pPr>
        <w:pStyle w:val="Heading2"/>
      </w:pPr>
      <w:r>
        <w:t>7. Достроить непосредственно связанные, но недоисследованные линии</w:t>
      </w:r>
    </w:p>
    <w:p>
      <w:r>
        <w:t>Сохраняются Dolpopa’s Fourth Council и полное gsung 'bum; конкретные учебные тексты Нгорчена и Lam 'bras; тантрический корпус Цонкапы, включая sNgags rim chen mo; Entering the Way of the Great Vehicle Ронгзома. Эти объекты связаны с авторскими/институциональными якорями DR, а не просто с большой религией. Здесь пока недостаточно полных item-level маршрутов или точной идентификации произведений. [G28–G31]</w:t>
      </w:r>
    </w:p>
    <w:p>
      <w:r>
        <w:t>Отдельный unverified_candidate — предполагаемый первичный устав мантринов Ронгзома в публикации Sur, Religions 2017. Поисковый указатель и неоткрывшийся полный объект не подтверждают состав перевода, атрибуцию или применимость лицензии. Он оставлен только в G32, а не в основном registry. Википедия не используется как подтверждение.</w:t>
      </w:r>
    </w:p>
    <w:p>
      <w:pPr>
        <w:pStyle w:val="Heading2"/>
      </w:pPr>
      <w:r>
        <w:t>8. Найти старые издания и реальную библиотечную выдачу</w:t>
      </w:r>
    </w:p>
    <w:p>
      <w:r>
        <w:t>Старые переводы Бутёна/Obermiller и Миларепы/Evans-Wentz заслуживают проверки конкретных институциональных сканов и юрисдикции. Для основных защищённых современных изданий нужно искать действующую библиотечную выдачу или лицензионный eBook-доступ по holding/ISBN. Наличие карточки HathiTrust, Torrossa или JSTOR не превращено в подтверждённый library_borrow либо CDL. [G33–G34]</w:t>
      </w:r>
    </w:p>
    <w:p>
      <w:pPr>
        <w:shd w:fill="EAF2F3"/>
        <w:spacing w:before="100" w:after="180"/>
      </w:pPr>
      <w:r>
        <w:t>Ограничение исследования — неполная проверка тяжёлых и динамических объектов, отсутствие распаковки bulk-пакетов и незавершённые item-level поиски в обозначенных линиях. Это не основание заменять найденное ядро списком порталов: все 89 проверенных маршрутов сохранены, а 35 незавершённых вопросов имеют конкретный следующий шаг.</w:t>
      </w:r>
    </w:p>
    <w:p>
      <w:r>
        <w:t>Письма правообладателям, получение аккаунтов, покупки и публикация файлов не выполнялись. Поэтому закрытые маршруты описывают официально заявленный доступ, а не фактически приобретённую или выданную копию.</w:t>
      </w:r>
    </w:p>
    <w:p>
      <w:pPr>
        <w:spacing w:after="80"/>
      </w:pPr>
      <w:r>
        <w:rPr>
          <w:sz w:val="18"/>
        </w:rPr>
        <w:t xml:space="preserve">Проверочный источник: </w:t>
      </w:r>
      <w:hyperlink r:id="rId26">
        <w:r>
          <w:rPr>
            <w:color w:val="176B78"/>
            <w:sz w:val="18"/>
          </w:rPr>
          <w:t>Ронгзом: кандидат, требующий проверки полного текста</w:t>
        </w:r>
      </w:hyperlink>
    </w:p>
    <w:p>
      <w:r>
        <w:br w:type="page"/>
      </w:r>
    </w:p>
    <w:p>
      <w:pPr>
        <w:pStyle w:val="Heading1"/>
      </w:pPr>
      <w:r>
        <w:t>7. Итоговая оценка</w:t>
      </w:r>
    </w:p>
    <w:p>
      <w:r>
        <w:t>Покрытие хорошее для многоканального доступа к основным сакьяским и гелугпинским произведениям, существенным текстам Кагью/Jonang и части Ньингма-корпуса. Особенно важны полный тибетский Rigs gter с Гьялцабом, несколько законных русских/английских ламрим-входов, открытые краткие произведения и явно лицензированные машинные данные. Покрытие недостаточно для заявления о полном раннем Сангпу, всех семи сокровищах Лонгченпы или всех канонических редакциях.</w:t>
      </w:r>
    </w:p>
    <w:p>
      <w:r>
        <w:t>Оригинальные тексты доступны неравномерно. Есть полный тибетский Rigs gter, крупное собрание ламримов, предметные тибетские транскрипции и санскритские e-text. Однако часть «оригиналов» в практике читателя существует пока только как современная критическая подготовка, каталог или неполностью проверенный пакет. Для факсимиле наиболее заметны ограничения технического просмотра и прав на изображения.</w:t>
      </w:r>
    </w:p>
    <w:p>
      <w:r>
        <w:t>Переводы представлены лучше, чем свободные оригинальные факсимиле: современные полные научные версии, официальные фрагменты и черновики, несколько альтернатив одного произведения, русский Ламрим, новые комментарии к Лонгченпе. Старый бесспорно свободный перевод не найден для каждого главного трактата; это честный пробел, а не повод отказаться от защищённого качественного издания.</w:t>
      </w:r>
    </w:p>
    <w:p>
      <w:r>
        <w:t>Наиболее свободный крупный слой — предоставленные ALL/ACIP данные и заявленный публичнодоменным текст Esukhia. Наиболее практичный условно открытый слой — Lotsawa House и предметные CC BY-NC-SA e-text GRETIL. Для ToS это разные режимы: свободные данные; некоммерческие тексты с атрибуцией/SA; неизменённый разрешённый PDF; только чтение/загрузка; только официальный линк, preview, библиотека или покупка.</w:t>
      </w:r>
    </w:p>
    <w:p>
      <w:r>
        <w:t>Главные ограничения сосредоточены в современных переводах и критическом аппарате, фотографиях/факсимиле с отдельными условиями, неполных PDF, неоткрытых item-viewer и лицензиях с внутренними противоречиями. Ни древность произведения, ни бесплатная регистрация, ни образовательная цель проекта не снимают эти ограничения.</w:t>
      </w:r>
    </w:p>
    <w:p>
      <w:pPr>
        <w:shd w:fill="EAF2F3"/>
        <w:spacing w:before="100" w:after="180"/>
      </w:pPr>
      <w:r>
        <w:t>Пакет пригоден для передачи Codex как исследовательский вход, но не как автоматическое разрешение на массовое скачивание и публикацию. Первым безопасным результатом могут быть библиографические карточки и внешние ссылки. Импорт, OCR, индексирование, embeddings, переводы и зеркала следует выбирать построчно по rights_scope, coverage и verification_status.</w:t>
      </w:r>
    </w:p>
    <w:p>
      <w:r>
        <w:rPr>
          <w:b/>
        </w:rPr>
        <w:t xml:space="preserve">Финальные ориентиры. </w:t>
      </w:r>
      <w:r>
        <w:t>Реестр: 89 маршрутов; gaps: 35. В рабочем учёте 59 произведений/комментированных комплексов и 11 сборников/корпусов, без пересчёта непроверенных внутренних файлов. Доступы пересекаются: 47 записей с полным свободным чтением, 46 со скачиванием, 24 с покупкой и три с институциональным доступом. Эти числа описывают заявленные и проверенные на указанном уровне маршруты, а не количество полученных полных книг.</w:t>
      </w:r>
    </w:p>
    <w:p>
      <w:r>
        <w:t>31 запись содержит положительный тег повторного размещения, но часть из них касается только метаданных или условного неизменённого NC-слоя. Девять записей указывают конкретную основу собственного перевода. Ни одно из этих чисел не следует использовать как разрешение на весь связанный корпус.</w:t>
      </w:r>
    </w:p>
    <w:p>
      <w:r>
        <w:t>Файлы поставки: ToS_Corpus_Rights_T2-43_registry.xlsx и ToS_Corpus_Rights_T2-43_report.docx. Детальные доказательства, даты проверки, прямые ссылки, состав и исключения хранятся в строках registry; недостающее — на листе gaps.</w:t>
      </w:r>
    </w:p>
    <w:sectPr w:rsidR="00FC693F" w:rsidRPr="0006063C" w:rsidSect="00034616">
      <w:headerReference w:type="default" r:id="rId9"/>
      <w:footerReference w:type="default" r:id="rId10"/>
      <w:pgSz w:w="11906" w:h="16838"/>
      <w:pgMar w:top="992" w:right="1134" w:bottom="1020" w:left="1134"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T2-43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TREE OF SOPHIA  /  CORPUS &amp; RIGHTS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63F4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63F4B"/>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63F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63F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6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otsawahouse.org/about/terms" TargetMode="External"/><Relationship Id="rId12" Type="http://schemas.openxmlformats.org/officeDocument/2006/relationships/hyperlink" Target="https://publishing.simplebuddhistmonk.net/index.php/projects/completed-projects/" TargetMode="External"/><Relationship Id="rId13" Type="http://schemas.openxmlformats.org/officeDocument/2006/relationships/hyperlink" Target="https://jonangfoundation.org/works-list/" TargetMode="External"/><Relationship Id="rId14" Type="http://schemas.openxmlformats.org/officeDocument/2006/relationships/hyperlink" Target="https://publishing.simplebuddhistmonk.net/wp-content/uploads/2017/12/tshad-ma-rigs-gter-rnam-bshad-Sakya-Pandita-and-Gyaltshab-Je.pdf" TargetMode="External"/><Relationship Id="rId15" Type="http://schemas.openxmlformats.org/officeDocument/2006/relationships/hyperlink" Target="https://www.oeaw.ac.at/en/ikga/forschung/tibetologie/materialien/phyapa" TargetMode="External"/><Relationship Id="rId16" Type="http://schemas.openxmlformats.org/officeDocument/2006/relationships/hyperlink" Target="https://jangchuplamrim.org/tibetan-lamrim-texts/" TargetMode="External"/><Relationship Id="rId17" Type="http://schemas.openxmlformats.org/officeDocument/2006/relationships/hyperlink" Target="https://narthang.ru/product/bolshoe-rukovodstvo-k-etapam-puti-probuzhdeniya-elektronnaya-kniga" TargetMode="External"/><Relationship Id="rId18" Type="http://schemas.openxmlformats.org/officeDocument/2006/relationships/hyperlink" Target="https://tibetantreasures.com/products/the-precious-treasury-set-t02180" TargetMode="External"/><Relationship Id="rId19" Type="http://schemas.openxmlformats.org/officeDocument/2006/relationships/hyperlink" Target="https://ediss.sub.uni-hamburg.de/handle/ediss/6268" TargetMode="External"/><Relationship Id="rId20" Type="http://schemas.openxmlformats.org/officeDocument/2006/relationships/hyperlink" Target="https://asianlegacylibrary.org/library/downloads/" TargetMode="External"/><Relationship Id="rId21" Type="http://schemas.openxmlformats.org/officeDocument/2006/relationships/hyperlink" Target="https://github.com/Esukhia/derge-kangyur" TargetMode="External"/><Relationship Id="rId22" Type="http://schemas.openxmlformats.org/officeDocument/2006/relationships/hyperlink" Target="https://searcharchives.bl.uk/catalog/037-003384930" TargetMode="External"/><Relationship Id="rId23" Type="http://schemas.openxmlformats.org/officeDocument/2006/relationships/hyperlink" Target="https://84000.co/documents/terms-of-use" TargetMode="External"/><Relationship Id="rId24" Type="http://schemas.openxmlformats.org/officeDocument/2006/relationships/hyperlink" Target="https://www.rkts.org/" TargetMode="External"/><Relationship Id="rId25" Type="http://schemas.openxmlformats.org/officeDocument/2006/relationships/hyperlink" Target="https://catalog.hathitrust.org/Record/002971363" TargetMode="External"/><Relationship Id="rId26" Type="http://schemas.openxmlformats.org/officeDocument/2006/relationships/hyperlink" Target="https://www.mdpi.com/2077-1444/8/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T2-43</dc:title>
  <dc:subject>Тибетские школы и дебатная культура: корпус, доступ, права</dc:subject>
  <dc:creator>Tree of Sophia</dc:creator>
  <cp:keywords>T2-43; Tibetan; corpus; rights; registry</cp:keywords>
  <dc:description>generated by python-docx</dc:description>
  <cp:lastModifiedBy/>
  <cp:revision>1</cp:revision>
  <dcterms:created xsi:type="dcterms:W3CDTF">2013-12-23T23:15:00Z</dcterms:created>
  <dcterms:modified xsi:type="dcterms:W3CDTF">2013-12-23T23:15:00Z</dcterms:modified>
  <cp:category/>
</cp:coreProperties>
</file>