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erif CJK SC" w:hAnsi="Noto Serif CJK SC" w:eastAsia="Noto Serif CJK SC" w:cs="Noto Serif CJK SC"/>
          <w:b/>
          <w:color w:val="123B4A"/>
          <w:sz w:val="54"/>
        </w:rPr>
        <w:t>ToS Corpus &amp; Rights Registry</w:t>
      </w:r>
    </w:p>
    <w:p>
      <w:pPr>
        <w:jc w:val="center"/>
      </w:pPr>
      <w:r>
        <w:rPr>
          <w:rFonts w:ascii="Noto Serif CJK SC" w:hAnsi="Noto Serif CJK SC" w:eastAsia="Noto Serif CJK SC" w:cs="Noto Serif CJK SC"/>
          <w:b/>
          <w:color w:val="3B7285"/>
          <w:sz w:val="38"/>
        </w:rPr>
        <w:t>A14 — Шан и ранний Чжоу</w:t>
      </w:r>
    </w:p>
    <w:p>
      <w:pPr>
        <w:jc w:val="center"/>
      </w:pPr>
      <w:r>
        <w:rPr>
          <w:rFonts w:ascii="Noto Serif CJK SC" w:hAnsi="Noto Serif CJK SC" w:eastAsia="Noto Serif CJK SC" w:cs="Noto Serif CJK SC"/>
          <w:i/>
          <w:color w:val="5A3345"/>
          <w:sz w:val="27"/>
        </w:rPr>
        <w:t>oracle bones, бронзы, политическая теология</w:t>
      </w:r>
    </w:p>
    <w:p>
      <w:pPr>
        <w:spacing w:before="600"/>
        <w:jc w:val="center"/>
      </w:pPr>
      <w:r>
        <w:rPr>
          <w:rFonts w:ascii="Noto Serif CJK SC" w:hAnsi="Noto Serif CJK SC" w:eastAsia="Noto Serif CJK SC" w:cs="Noto Serif CJK SC"/>
          <w:color w:val="59646B"/>
          <w:sz w:val="25"/>
        </w:rPr>
        <w:t>Исследовательский пакет по корпусу, доступу и правам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8DE"/>
          <w:left w:val="single" w:sz="5" w:space="0" w:color="C9D8DE"/>
          <w:bottom w:val="single" w:sz="5" w:space="0" w:color="C9D8DE"/>
          <w:right w:val="single" w:sz="5" w:space="0" w:color="C9D8DE"/>
          <w:insideH w:val="single" w:sz="5" w:space="0" w:color="C9D8DE"/>
          <w:insideV w:val="single" w:sz="5" w:space="0" w:color="C9D8DE"/>
        </w:tblBorders>
      </w:tblPr>
      <w:tblGrid>
        <w:gridCol w:w="3402"/>
        <w:gridCol w:w="3402"/>
      </w:tblGrid>
      <w:tr>
        <w:tc>
          <w:tcPr>
            <w:tcW w:type="dxa" w:w="476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2F5"/>
          </w:tcPr>
          <w:p>
            <w:r>
              <w:rPr>
                <w:rFonts w:ascii="Noto Serif CJK SC" w:hAnsi="Noto Serif CJK SC" w:eastAsia="Noto Serif CJK SC" w:cs="Noto Serif CJK SC"/>
                <w:b/>
                <w:color w:val="123B4A"/>
                <w:sz w:val="21"/>
              </w:rPr>
              <w:t>Строка ToS</w:t>
            </w:r>
          </w:p>
        </w:tc>
        <w:tc>
          <w:tcPr>
            <w:tcW w:type="dxa" w:w="476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r>
              <w:rPr>
                <w:rFonts w:ascii="Noto Serif CJK SC" w:hAnsi="Noto Serif CJK SC" w:eastAsia="Noto Serif CJK SC" w:cs="Noto Serif CJK SC"/>
                <w:b w:val="0"/>
                <w:color w:val="222222"/>
                <w:sz w:val="21"/>
              </w:rPr>
              <w:t>A14 / статус B / уверенность 5</w:t>
            </w:r>
          </w:p>
        </w:tc>
      </w:tr>
      <w:tr>
        <w:tc>
          <w:tcPr>
            <w:tcW w:type="dxa" w:w="476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2F5"/>
          </w:tcPr>
          <w:p>
            <w:r>
              <w:rPr>
                <w:rFonts w:ascii="Noto Serif CJK SC" w:hAnsi="Noto Serif CJK SC" w:eastAsia="Noto Serif CJK SC" w:cs="Noto Serif CJK SC"/>
                <w:b/>
                <w:color w:val="123B4A"/>
                <w:sz w:val="21"/>
              </w:rPr>
              <w:t>Проверка доступа</w:t>
            </w:r>
          </w:p>
        </w:tc>
        <w:tc>
          <w:tcPr>
            <w:tcW w:type="dxa" w:w="476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r>
              <w:rPr>
                <w:rFonts w:ascii="Noto Serif CJK SC" w:hAnsi="Noto Serif CJK SC" w:eastAsia="Noto Serif CJK SC" w:cs="Noto Serif CJK SC"/>
                <w:b w:val="0"/>
                <w:color w:val="222222"/>
                <w:sz w:val="21"/>
              </w:rPr>
              <w:t>2026-09-03</w:t>
            </w:r>
          </w:p>
        </w:tc>
      </w:tr>
      <w:tr>
        <w:tc>
          <w:tcPr>
            <w:tcW w:type="dxa" w:w="476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2F5"/>
          </w:tcPr>
          <w:p>
            <w:r>
              <w:rPr>
                <w:rFonts w:ascii="Noto Serif CJK SC" w:hAnsi="Noto Serif CJK SC" w:eastAsia="Noto Serif CJK SC" w:cs="Noto Serif CJK SC"/>
                <w:b/>
                <w:color w:val="123B4A"/>
                <w:sz w:val="21"/>
              </w:rPr>
              <w:t>Реестр</w:t>
            </w:r>
          </w:p>
        </w:tc>
        <w:tc>
          <w:tcPr>
            <w:tcW w:type="dxa" w:w="476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r>
              <w:rPr>
                <w:rFonts w:ascii="Noto Serif CJK SC" w:hAnsi="Noto Serif CJK SC" w:eastAsia="Noto Serif CJK SC" w:cs="Noto Serif CJK SC"/>
                <w:b w:val="0"/>
                <w:color w:val="222222"/>
                <w:sz w:val="21"/>
              </w:rPr>
              <w:t>92 способов доступа; 20 зафиксированных пробелов</w:t>
            </w:r>
          </w:p>
        </w:tc>
      </w:tr>
      <w:tr>
        <w:tc>
          <w:tcPr>
            <w:tcW w:type="dxa" w:w="476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2F5"/>
          </w:tcPr>
          <w:p>
            <w:r>
              <w:rPr>
                <w:rFonts w:ascii="Noto Serif CJK SC" w:hAnsi="Noto Serif CJK SC" w:eastAsia="Noto Serif CJK SC" w:cs="Noto Serif CJK SC"/>
                <w:b/>
                <w:color w:val="123B4A"/>
                <w:sz w:val="21"/>
              </w:rPr>
              <w:t>Поставка</w:t>
            </w:r>
          </w:p>
        </w:tc>
        <w:tc>
          <w:tcPr>
            <w:tcW w:type="dxa" w:w="476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r>
              <w:rPr>
                <w:rFonts w:ascii="Noto Serif CJK SC" w:hAnsi="Noto Serif CJK SC" w:eastAsia="Noto Serif CJK SC" w:cs="Noto Serif CJK SC"/>
                <w:b w:val="0"/>
                <w:color w:val="222222"/>
                <w:sz w:val="21"/>
              </w:rPr>
              <w:t>XLSX-реестр + данный DOCX-отчёт</w:t>
            </w:r>
          </w:p>
        </w:tc>
      </w:tr>
    </w:tbl>
    <w:p>
      <w:pPr>
        <w:spacing w:before="480"/>
        <w:jc w:val="center"/>
      </w:pPr>
      <w:r>
        <w:rPr>
          <w:rFonts w:ascii="Noto Serif CJK SC" w:hAnsi="Noto Serif CJK SC" w:eastAsia="Noto Serif CJK SC" w:cs="Noto Serif CJK SC"/>
          <w:i/>
          <w:color w:val="59646B"/>
          <w:sz w:val="20"/>
        </w:rPr>
        <w:t>Исходный DR не изменялся. Он использован как карта области, затем корпус был расширен живым веб-поиском.</w:t>
      </w:r>
    </w:p>
    <w:p>
      <w:r>
        <w:br w:type="page"/>
      </w:r>
    </w:p>
    <w:p>
      <w:pPr>
        <w:pStyle w:val="Heading1"/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CE1"/>
          <w:left w:val="single" w:sz="4" w:space="0" w:color="CFDCE1"/>
          <w:bottom w:val="single" w:sz="4" w:space="0" w:color="CFDCE1"/>
          <w:right w:val="single" w:sz="4" w:space="0" w:color="CFDCE1"/>
          <w:insideH w:val="single" w:sz="4" w:space="0" w:color="CFDCE1"/>
          <w:insideV w:val="single" w:sz="4" w:space="0" w:color="CFDCE1"/>
        </w:tblBorders>
      </w:tblPr>
      <w:tblGrid>
        <w:gridCol w:w="4762"/>
        <w:gridCol w:w="4762"/>
      </w:tblGrid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AF2F5"/>
          </w:tcPr>
          <w:p>
            <w:r>
              <w:rPr>
                <w:rFonts w:ascii="Noto Serif CJK SC" w:hAnsi="Noto Serif CJK SC" w:eastAsia="Noto Serif CJK SC" w:cs="Noto Serif CJK SC"/>
                <w:b/>
                <w:color w:val="123B4A"/>
                <w:sz w:val="19"/>
              </w:rPr>
              <w:t>ID и название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erif CJK SC" w:hAnsi="Noto Serif CJK SC" w:eastAsia="Noto Serif CJK SC" w:cs="Noto Serif CJK SC"/>
                <w:b w:val="0"/>
                <w:color w:val="222222"/>
                <w:sz w:val="19"/>
              </w:rPr>
              <w:t>A14 — «Шан и ранний Чжоу: oracle bones, бронзы, политическая теология.»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AF2F5"/>
          </w:tcPr>
          <w:p>
            <w:r>
              <w:rPr>
                <w:rFonts w:ascii="Noto Serif CJK SC" w:hAnsi="Noto Serif CJK SC" w:eastAsia="Noto Serif CJK SC" w:cs="Noto Serif CJK SC"/>
                <w:b/>
                <w:color w:val="123B4A"/>
                <w:sz w:val="19"/>
              </w:rPr>
              <w:t>Исходный статус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erif CJK SC" w:hAnsi="Noto Serif CJK SC" w:eastAsia="Noto Serif CJK SC" w:cs="Noto Serif CJK SC"/>
                <w:b w:val="0"/>
                <w:color w:val="222222"/>
                <w:sz w:val="19"/>
              </w:rPr>
              <w:t>B; внутренняя уверенность строки — 5.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AF2F5"/>
          </w:tcPr>
          <w:p>
            <w:r>
              <w:rPr>
                <w:rFonts w:ascii="Noto Serif CJK SC" w:hAnsi="Noto Serif CJK SC" w:eastAsia="Noto Serif CJK SC" w:cs="Noto Serif CJK SC"/>
                <w:b/>
                <w:color w:val="123B4A"/>
                <w:sz w:val="19"/>
              </w:rPr>
              <w:t>Исходный документ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erif CJK SC" w:hAnsi="Noto Serif CJK SC" w:eastAsia="Noto Serif CJK SC" w:cs="Noto Serif CJK SC"/>
                <w:b w:val="0"/>
                <w:color w:val="222222"/>
                <w:sz w:val="19"/>
              </w:rPr>
              <w:t>ToS Deep Research_ A14 — Шан и ранний Чжоу.docx.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AF2F5"/>
          </w:tcPr>
          <w:p>
            <w:r>
              <w:rPr>
                <w:rFonts w:ascii="Noto Serif CJK SC" w:hAnsi="Noto Serif CJK SC" w:eastAsia="Noto Serif CJK SC" w:cs="Noto Serif CJK SC"/>
                <w:b/>
                <w:color w:val="123B4A"/>
                <w:sz w:val="19"/>
              </w:rPr>
              <w:t>Дата проверки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erif CJK SC" w:hAnsi="Noto Serif CJK SC" w:eastAsia="Noto Serif CJK SC" w:cs="Noto Serif CJK SC"/>
                <w:b w:val="0"/>
                <w:color w:val="222222"/>
                <w:sz w:val="19"/>
              </w:rPr>
              <w:t>3 сентября 2026 года.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AF2F5"/>
          </w:tcPr>
          <w:p>
            <w:r>
              <w:rPr>
                <w:rFonts w:ascii="Noto Serif CJK SC" w:hAnsi="Noto Serif CJK SC" w:eastAsia="Noto Serif CJK SC" w:cs="Noto Serif CJK SC"/>
                <w:b/>
                <w:color w:val="123B4A"/>
                <w:sz w:val="19"/>
              </w:rPr>
              <w:t>Языки поиска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erif CJK SC" w:hAnsi="Noto Serif CJK SC" w:eastAsia="Noto Serif CJK SC" w:cs="Noto Serif CJK SC"/>
                <w:b w:val="0"/>
                <w:color w:val="222222"/>
                <w:sz w:val="19"/>
              </w:rPr>
              <w:t>русский, английский, упрощённый и традиционный китайский; точечно — японские библиотечные каталоги и французские библиографические маршруты.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AF2F5"/>
          </w:tcPr>
          <w:p>
            <w:r>
              <w:rPr>
                <w:rFonts w:ascii="Noto Serif CJK SC" w:hAnsi="Noto Serif CJK SC" w:eastAsia="Noto Serif CJK SC" w:cs="Noto Serif CJK SC"/>
                <w:b/>
                <w:color w:val="123B4A"/>
                <w:sz w:val="19"/>
              </w:rPr>
              <w:t>Ядро корпуса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erif CJK SC" w:hAnsi="Noto Serif CJK SC" w:eastAsia="Noto Serif CJK SC" w:cs="Noto Serif CJK SC"/>
                <w:b w:val="0"/>
                <w:color w:val="222222"/>
                <w:sz w:val="19"/>
              </w:rPr>
              <w:t>инскрипции на гадательных костях Иньсюя; стандартный корпус 甲骨文合集; раннечжоуские гадательные кости Чжоуаня/Цицзя и Чжоугунмяо; бронзовые надписи Западного Чжоу; 何尊, 大盂鼎, 頌簋; полученная традиция 尚書/周書 и связанные гимнические и комментаторские линии.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AF2F5"/>
          </w:tcPr>
          <w:p>
            <w:r>
              <w:rPr>
                <w:rFonts w:ascii="Noto Serif CJK SC" w:hAnsi="Noto Serif CJK SC" w:eastAsia="Noto Serif CJK SC" w:cs="Noto Serif CJK SC"/>
                <w:b/>
                <w:color w:val="123B4A"/>
                <w:sz w:val="19"/>
              </w:rPr>
              <w:t>Искомые типы объектов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erif CJK SC" w:hAnsi="Noto Serif CJK SC" w:eastAsia="Noto Serif CJK SC" w:cs="Noto Serif CJK SC"/>
                <w:b w:val="0"/>
                <w:color w:val="222222"/>
                <w:sz w:val="19"/>
              </w:rPr>
              <w:t>произведения, корпусы, физические свидетели, переводы и издания, цифровые тексты и факсимиле, datasets/API, цифровые проекты/каталоги и только необходимые навигационные вторичные ресурсы.</w:t>
            </w:r>
          </w:p>
        </w:tc>
      </w:tr>
    </w:tbl>
    <w:p>
      <w:r>
        <w:rPr>
          <w:rFonts w:ascii="Noto Serif CJK SC" w:hAnsi="Noto Serif CJK SC" w:eastAsia="Noto Serif CJK SC" w:cs="Noto Serif CJK SC"/>
        </w:rPr>
        <w:t>Методический принцип: хронологический диапазон A14 использован как фокус, а не как запрет. Внепериодные объекты включались только при конкретной связи — как материальный предшественник, член той же корпусной семьи, линия продолжения, комментарий, рецепция, перевод или канал сохранения.</w:t>
      </w:r>
    </w:p>
    <w:p>
      <w:pPr>
        <w:pStyle w:val="ToSNote"/>
      </w:pPr>
      <w:r>
        <w:rPr>
          <w:rFonts w:ascii="Noto Serif CJK SC" w:hAnsi="Noto Serif CJK SC" w:eastAsia="Noto Serif CJK SC" w:cs="Noto Serif CJK SC"/>
        </w:rPr>
        <w:t>Правовой принцип: в каждой записи разведены права на древнее произведение, на современную редакцию/перевод/реконструкцию, на цифровой объект и на платформенные условия. Тег практического использования действует только в пределах полей rights_scope и coverage.</w:t>
      </w:r>
    </w:p>
    <w:p>
      <w:pPr>
        <w:pStyle w:val="Heading1"/>
      </w:pPr>
      <w:r>
        <w:t>2. Охват корпуса</w:t>
      </w:r>
    </w:p>
    <w:p>
      <w:pPr>
        <w:pStyle w:val="Heading2"/>
      </w:pPr>
      <w:r>
        <w:t>2.1. Ядро, извлечённое из DR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Позднешанский корпус гадательных костей Иньсюя: формульные записи divination, имена предков, жертвоприношения, военные и хозяйственные решения, погодные и календарные наблюдения.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Стандартная современная публикационная опора 甲骨文合集 (Jiaguwen Heji), сохранённая в реестре через библиотечный маршрут и отдельный gap на полный законный цифровой доступ.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Раннечжоуские гадательные кости Чжоуаня/Цицзя и Чжоугунмяо — важнейший переходный слой, для которого полноценный item-level корпус пока не найден.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Бронзовые надписи Западного Чжоу как документы пожалований, команд, службы, родовой памяти и ритуальной коммуникации.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Три предметных якоря исходного исследования: 何尊 (He zun), 大盂鼎 (Da Yu ding) и 頌簋 (Song gui).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Полученная традиция 尚書/書經, прежде всего Zhou Shu; сопряжённый корпус 詩經 и поздние линии комментария, канонизации и исторической памяти.</w:t>
      </w:r>
    </w:p>
    <w:p>
      <w:pPr>
        <w:pStyle w:val="Heading2"/>
      </w:pPr>
      <w:r>
        <w:t>2.2. Что добавлено веб-поиском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К ранним ключевым бронзам добавлен 利簋 (Li gui), непосредственно фиксирующий память о завоевании Шан.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В поздний западночжоуский ореол включены 毛公鼎, 散氏盤 и 宗周鐘: продолжение царских поручений, административно-правовой памяти и родовой/военной репрезентации.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Найдены юридически сильные witness-level маршруты: The Met и Smithsonian с CC0; Cambridge Digital Library с CC BY-NC 4.0; Yale Song gui с IIIF и смешанными открытыми компонентами; National Palace Museum с раздельными слоями CC0 и CC BY 4.0.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Найдены открытые палеографические данные Xiaoxuetang (CC0 на обозначенные query-outputs), а также EVOBC, HUST-OBC и OBIMD с заявленными CC BY 4.0 и обязательной проверкой происхождения исходных изображений.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Для текста и комментариев добавлен открытый машинный слой Kanripo (CC BY-SA 4.0), публичнодоменные переводы Джеймса Легга и исторические факсимильные издания oracle-bone и bronze scholarship.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В линию передачи включены 逸周書, 史記, 竹書紀年, 尚書正義, 毛詩註疏, 周易正義, критика 古文尚書 у Янь Жоцзюя и связанные с 尚書 тексты цинхуаских бамбуковых рукописей.</w:t>
      </w:r>
    </w:p>
    <w:p>
      <w:pPr>
        <w:pStyle w:val="Heading2"/>
      </w:pPr>
      <w:r>
        <w:t>2.3. Открытый хронологический контур</w:t>
      </w:r>
    </w:p>
    <w:p>
      <w:r>
        <w:rPr>
          <w:rFonts w:ascii="Noto Serif CJK SC" w:hAnsi="Noto Serif CJK SC" w:eastAsia="Noto Serif CJK SC" w:cs="Noto Serif CJK SC"/>
        </w:rPr>
      </w:r>
      <w:r>
        <w:rPr>
          <w:rFonts w:ascii="Noto Serif CJK SC" w:hAnsi="Noto Serif CJK SC" w:eastAsia="Noto Serif CJK SC" w:cs="Noto Serif CJK SC"/>
          <w:b/>
          <w:color w:val="123B4A"/>
        </w:rPr>
        <w:t xml:space="preserve">Назад во времени. </w:t>
      </w:r>
      <w:r>
        <w:rPr>
          <w:rFonts w:ascii="Noto Serif CJK SC" w:hAnsi="Noto Serif CJK SC" w:eastAsia="Noto Serif CJK SC" w:cs="Noto Serif CJK SC"/>
        </w:rPr>
        <w:t>Достоверного доиньсюйского читаемого корпуса, сопоставимого с oracle bones, не обнаружено. Вместо выдумывания «предфилософских текстов» внесены конкретные эрилиганские ритуальные бронзы как материальные antecedent-объекты: они показывают институциональную среду литургического металла до развернутых западночжоуских надписей.</w:t>
      </w:r>
    </w:p>
    <w:p>
      <w:r>
        <w:rPr>
          <w:rFonts w:ascii="Noto Serif CJK SC" w:hAnsi="Noto Serif CJK SC" w:eastAsia="Noto Serif CJK SC" w:cs="Noto Serif CJK SC"/>
        </w:rPr>
      </w:r>
      <w:r>
        <w:rPr>
          <w:rFonts w:ascii="Noto Serif CJK SC" w:hAnsi="Noto Serif CJK SC" w:eastAsia="Noto Serif CJK SC" w:cs="Noto Serif CJK SC"/>
          <w:b/>
          <w:color w:val="123B4A"/>
        </w:rPr>
        <w:t xml:space="preserve">Вперёд во времени. </w:t>
      </w:r>
      <w:r>
        <w:rPr>
          <w:rFonts w:ascii="Noto Serif CJK SC" w:hAnsi="Noto Serif CJK SC" w:eastAsia="Noto Serif CJK SC" w:cs="Noto Serif CJK SC"/>
        </w:rPr>
        <w:t>Корпус прослежен через более поздние бронзовые команды и договорные надписи, полученные classics, комментаторские и историографические линии, старые издания, переводы и археологические рукописные открытия. Эти объекты не меняют границы A14; они отмечены как continuation, commentary_or_reception, transmission_or_preservation или boundary.</w:t>
      </w:r>
    </w:p>
    <w:p>
      <w:pPr>
        <w:pStyle w:val="Heading2"/>
      </w:pPr>
      <w:r>
        <w:t>2.4. Количественный итог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CE1"/>
          <w:left w:val="single" w:sz="4" w:space="0" w:color="CFDCE1"/>
          <w:bottom w:val="single" w:sz="4" w:space="0" w:color="CFDCE1"/>
          <w:right w:val="single" w:sz="4" w:space="0" w:color="CFDCE1"/>
          <w:insideH w:val="single" w:sz="4" w:space="0" w:color="CFDCE1"/>
          <w:insideV w:val="single" w:sz="4" w:space="0" w:color="CFDCE1"/>
        </w:tblBorders>
      </w:tblPr>
      <w:tblGrid>
        <w:gridCol w:w="4762"/>
        <w:gridCol w:w="4762"/>
      </w:tblGrid>
      <w:tr>
        <w:tc>
          <w:tcPr>
            <w:tcW w:type="dxa" w:w="4762"/>
            <w:shd w:fill="123B4A"/>
          </w:tcPr>
          <w:p>
            <w:pPr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4762"/>
            <w:shd w:fill="123B4A"/>
          </w:tcPr>
          <w:p>
            <w:pPr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 w:cs="Noto Serif CJK SC"/>
                <w:b/>
                <w:sz w:val="19"/>
              </w:rPr>
              <w:t>Записи реестра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92</w:t>
            </w:r>
          </w:p>
        </w:tc>
      </w:tr>
      <w:tr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shd w:fill="F4F8F9"/>
          </w:tcPr>
          <w:p>
            <w:r>
              <w:rPr>
                <w:rFonts w:ascii="Noto Serif CJK SC" w:hAnsi="Noto Serif CJK SC" w:eastAsia="Noto Serif CJK SC" w:cs="Noto Serif CJK SC"/>
                <w:b/>
                <w:sz w:val="19"/>
              </w:rPr>
              <w:t>Записи о первичных произведениях, корпусах, свидетелях, переводах/изданиях и факсимиле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shd w:fill="F4F8F9"/>
          </w:tcPr>
          <w:p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65</w:t>
            </w:r>
          </w:p>
        </w:tc>
      </w:tr>
      <w:tr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 w:cs="Noto Serif CJK SC"/>
                <w:b/>
                <w:sz w:val="19"/>
              </w:rPr>
              <w:t>Практически различимые первичные объекты/корпусы (после объединения повторных способов доступа)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около 59</w:t>
            </w:r>
          </w:p>
        </w:tc>
      </w:tr>
      <w:tr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shd w:fill="F4F8F9"/>
          </w:tcPr>
          <w:p>
            <w:r>
              <w:rPr>
                <w:rFonts w:ascii="Noto Serif CJK SC" w:hAnsi="Noto Serif CJK SC" w:eastAsia="Noto Serif CJK SC" w:cs="Noto Serif CJK SC"/>
                <w:b/>
                <w:sz w:val="19"/>
              </w:rPr>
              <w:t>Инфраструктурные, dataset/API и навигационные записи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shd w:fill="F4F8F9"/>
          </w:tcPr>
          <w:p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27</w:t>
            </w:r>
          </w:p>
        </w:tc>
      </w:tr>
      <w:tr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 w:cs="Noto Serif CJK SC"/>
                <w:b/>
                <w:sz w:val="19"/>
              </w:rPr>
              <w:t>Свободное чтение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72 записи (часть пересекается со скачиванием)</w:t>
            </w:r>
          </w:p>
        </w:tc>
      </w:tr>
      <w:tr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shd w:fill="F4F8F9"/>
          </w:tcPr>
          <w:p>
            <w:r>
              <w:rPr>
                <w:rFonts w:ascii="Noto Serif CJK SC" w:hAnsi="Noto Serif CJK SC" w:eastAsia="Noto Serif CJK SC" w:cs="Noto Serif CJK SC"/>
                <w:b/>
                <w:sz w:val="19"/>
              </w:rPr>
              <w:t>Свободное скачивание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shd w:fill="F4F8F9"/>
          </w:tcPr>
          <w:p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39 записей</w:t>
            </w:r>
          </w:p>
        </w:tc>
      </w:tr>
      <w:tr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 w:cs="Noto Serif CJK SC"/>
                <w:b/>
                <w:sz w:val="19"/>
              </w:rPr>
              <w:t>Library/institutional/preview/purchase пути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27 совокупных отметок; многие записи имеют несколько режимов</w:t>
            </w:r>
          </w:p>
        </w:tc>
      </w:tr>
      <w:tr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shd w:fill="F4F8F9"/>
          </w:tcPr>
          <w:p>
            <w:r>
              <w:rPr>
                <w:rFonts w:ascii="Noto Serif CJK SC" w:hAnsi="Noto Serif CJK SC" w:eastAsia="Noto Serif CJK SC" w:cs="Noto Serif CJK SC"/>
                <w:b/>
                <w:sz w:val="19"/>
              </w:rPr>
              <w:t>Зафиксированные gaps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shd w:fill="F4F8F9"/>
          </w:tcPr>
          <w:p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20</w:t>
            </w:r>
          </w:p>
        </w:tc>
      </w:tr>
    </w:tbl>
    <w:p>
      <w:pPr>
        <w:pStyle w:val="ToSNote"/>
      </w:pPr>
      <w:r>
        <w:rPr>
          <w:rFonts w:ascii="Noto Serif CJK SC" w:hAnsi="Noto Serif CJK SC" w:eastAsia="Noto Serif CJK SC" w:cs="Noto Serif CJK SC"/>
        </w:rPr>
        <w:t>Количество способов доступа сознательно не приравнено к количеству произведений: например, Song gui имеет отдельные записи для объектной страницы и IIIF, а три предмета NPM — раздельные лицензионные строки для CC0 1MP и CC BY 4.0 6MP+ слоёв.</w:t>
      </w:r>
    </w:p>
    <w:p>
      <w:pPr>
        <w:pStyle w:val="Heading1"/>
      </w:pPr>
      <w:r>
        <w:t>3. Лучшие пути доступа</w:t>
      </w:r>
    </w:p>
    <w:p>
      <w:pPr>
        <w:pStyle w:val="Heading2"/>
      </w:pPr>
      <w:r>
        <w:t>3.1. Позднешанские oracle bones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Лучшее бесплатное чтение и поиск: YinQiWenYuan / 殷契文淵 (A14-R001) и академические базы Academia Sinica (A14-R002–R003). Они сильны по охвату, но не дают blanket-разрешения на зеркалирование.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b/>
          <w:sz w:val="20"/>
        </w:rPr>
        <w:t xml:space="preserve">YinQiWenYuan — </w:t>
      </w:r>
      <w:hyperlink r:id="rId11">
        <w:r>
          <w:rPr>
            <w:rFonts w:ascii="Noto Serif CJK SC" w:hAnsi="Noto Serif CJK SC" w:eastAsia="Noto Serif CJK SC" w:cs="Noto Serif CJK SC"/>
            <w:color w:val="2B6478"/>
            <w:u w:val="single"/>
          </w:rPr>
          <w:t>http://jgw.aynu.edu.cn/</w:t>
        </w:r>
      </w:hyperlink>
      <w:r>
        <w:rPr>
          <w:rFonts w:ascii="Noto Serif CJK SC" w:hAnsi="Noto Serif CJK SC" w:eastAsia="Noto Serif CJK SC" w:cs="Noto Serif CJK SC"/>
          <w:sz w:val="20"/>
        </w:rPr>
        <w:t xml:space="preserve"> — поиск, фотографии, rubbing/transcription layer; права требуют проверки.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Лучшие переиспользуемые witness-level изображения: The Met (A14-R011) и Smithsonian (A14-R012) — CC0 для явно Open Access компонентов; Cambridge (A14-R009–R010) — CC BY-NC 4.0.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b/>
          <w:sz w:val="20"/>
        </w:rPr>
        <w:t xml:space="preserve">The Met oracle bone — </w:t>
      </w:r>
      <w:hyperlink r:id="rId12">
        <w:r>
          <w:rPr>
            <w:rFonts w:ascii="Noto Serif CJK SC" w:hAnsi="Noto Serif CJK SC" w:eastAsia="Noto Serif CJK SC" w:cs="Noto Serif CJK SC"/>
            <w:color w:val="2B6478"/>
            <w:u w:val="single"/>
          </w:rPr>
          <w:t>https://www.metmuseum.org/art/collection/search/60696</w:t>
        </w:r>
      </w:hyperlink>
      <w:r>
        <w:rPr>
          <w:rFonts w:ascii="Noto Serif CJK SC" w:hAnsi="Noto Serif CJK SC" w:eastAsia="Noto Serif CJK SC" w:cs="Noto Serif CJK SC"/>
          <w:sz w:val="20"/>
        </w:rPr>
        <w:t xml:space="preserve"> — CC0 Open Access image/data for the marked item.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b/>
          <w:sz w:val="20"/>
        </w:rPr>
        <w:t xml:space="preserve">Smithsonian oracle bone — </w:t>
      </w:r>
      <w:hyperlink r:id="rId13">
        <w:r>
          <w:rPr>
            <w:rFonts w:ascii="Noto Serif CJK SC" w:hAnsi="Noto Serif CJK SC" w:eastAsia="Noto Serif CJK SC" w:cs="Noto Serif CJK SC"/>
            <w:color w:val="2B6478"/>
            <w:u w:val="single"/>
          </w:rPr>
          <w:t>https://asia-archive.si.edu/object/S2012.9.451</w:t>
        </w:r>
      </w:hyperlink>
      <w:r>
        <w:rPr>
          <w:rFonts w:ascii="Noto Serif CJK SC" w:hAnsi="Noto Serif CJK SC" w:eastAsia="Noto Serif CJK SC" w:cs="Noto Serif CJK SC"/>
          <w:sz w:val="20"/>
        </w:rPr>
        <w:t xml:space="preserve"> — item image marked CC0.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b/>
          <w:sz w:val="20"/>
        </w:rPr>
        <w:t xml:space="preserve">Cambridge witness — </w:t>
      </w:r>
      <w:hyperlink r:id="rId14">
        <w:r>
          <w:rPr>
            <w:rFonts w:ascii="Noto Serif CJK SC" w:hAnsi="Noto Serif CJK SC" w:eastAsia="Noto Serif CJK SC" w:cs="Noto Serif CJK SC"/>
            <w:color w:val="2B6478"/>
            <w:u w:val="single"/>
          </w:rPr>
          <w:t>https://cudl.lib.cam.ac.uk/view/MS-CUL-00001-00155/1</w:t>
        </w:r>
      </w:hyperlink>
      <w:r>
        <w:rPr>
          <w:rFonts w:ascii="Noto Serif CJK SC" w:hAnsi="Noto Serif CJK SC" w:eastAsia="Noto Serif CJK SC" w:cs="Noto Serif CJK SC"/>
          <w:sz w:val="20"/>
        </w:rPr>
        <w:t xml:space="preserve"> — high-resolution facsimile; noncommercial attribution conditions.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Лучший свободный исторический facsimile layer: 鐵雲藏龜 и 殷墟書契菁華 (A14-R020–R022). Это public-domain исторические издания; они не заменяют современную дешифровку.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Лучший современный открытый научный вариант: Adam C. Schwartz, The Oracle Bone Inscriptions from Huayuanzhuang East (A14-R016) — полный OA PDF, но CC BY-NC-ND; распространять только неизменённо, не переносить лицензию на новые транскрипции.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b/>
          <w:sz w:val="20"/>
        </w:rPr>
        <w:t xml:space="preserve">OAPEN edition — </w:t>
      </w:r>
      <w:hyperlink r:id="rId15">
        <w:r>
          <w:rPr>
            <w:rFonts w:ascii="Noto Serif CJK SC" w:hAnsi="Noto Serif CJK SC" w:eastAsia="Noto Serif CJK SC" w:cs="Noto Serif CJK SC"/>
            <w:color w:val="2B6478"/>
            <w:u w:val="single"/>
          </w:rPr>
          <w:t>https://library.oapen.org/handle/20.500.12657/23217</w:t>
        </w:r>
      </w:hyperlink>
      <w:r>
        <w:rPr>
          <w:rFonts w:ascii="Noto Serif CJK SC" w:hAnsi="Noto Serif CJK SC" w:eastAsia="Noto Serif CJK SC" w:cs="Noto Serif CJK SC"/>
          <w:sz w:val="20"/>
        </w:rPr>
        <w:t xml:space="preserve"> — свободное чтение/скачивание; NC-ND.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Лучший защищённый общий научный маршрут: David N. Keightley, Sources of Shang History (A14-R017–R018) — Controlled Digital Lending, preview или покупка.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Лучший машинный/ML слой: Xiaoxuetang oracle glyph data (CC0; A14-R005), OBIMD, EVOBC и HUST-OBC (A14-R024–R026). Для dataset releases действует открытая лицензия, но provenance исходных image crops требует отдельной проверки.</w:t>
      </w:r>
    </w:p>
    <w:p>
      <w:pPr>
        <w:pStyle w:val="Heading2"/>
      </w:pPr>
      <w:r>
        <w:t>3.2. Раннечжоуские гадательные кости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Лучший фактически доступный путь — CHANT и специализированные академические статьи/археологические публикации (A14-R027–R028).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Полного открытого item-level корпуса Чжоуаня/Цицзя и Чжоугунмяо не найдено. Это главный содержательный пробел A14: реестр сохраняет законные partial/institutional routes, а gaps фиксируют, что именно ещё нужно найти.</w:t>
      </w:r>
    </w:p>
    <w:p>
      <w:pPr>
        <w:pStyle w:val="ToSNote"/>
      </w:pPr>
      <w:r>
        <w:rPr>
          <w:rFonts w:ascii="Noto Serif CJK SC" w:hAnsi="Noto Serif CJK SC" w:eastAsia="Noto Serif CJK SC" w:cs="Noto Serif CJK SC"/>
        </w:rPr>
        <w:t>Здесь намеренно не заявлена «полнота» на основании нескольких опубликованных фрагментов: один доступный PDF или статья не равны полному корпусу раннечжоуских oracle bones.</w:t>
      </w:r>
    </w:p>
    <w:p>
      <w:pPr>
        <w:pStyle w:val="Heading2"/>
      </w:pPr>
      <w:r>
        <w:t>3.3. Бронзовые надписи Западного Чжоу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Лучший широкий исследовательский поиск: база бронз Academia Sinica (A14-R031) и CHANT (A14-R032). Первая свободнее по просмотру, вторая сильнее как интегрированная scholarly database, но обе требуют правовой осторожности.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b/>
          <w:sz w:val="20"/>
        </w:rPr>
        <w:t xml:space="preserve">Academia Sinica bronze database — </w:t>
      </w:r>
      <w:hyperlink r:id="rId16">
        <w:r>
          <w:rPr>
            <w:rFonts w:ascii="Noto Serif CJK SC" w:hAnsi="Noto Serif CJK SC" w:eastAsia="Noto Serif CJK SC" w:cs="Noto Serif CJK SC"/>
            <w:color w:val="2B6478"/>
            <w:u w:val="single"/>
          </w:rPr>
          <w:t>https://w9.ihp.sinica.edu.tw/bronze</w:t>
        </w:r>
      </w:hyperlink>
      <w:r>
        <w:rPr>
          <w:rFonts w:ascii="Noto Serif CJK SC" w:hAnsi="Noto Serif CJK SC" w:eastAsia="Noto Serif CJK SC" w:cs="Noto Serif CJK SC"/>
          <w:sz w:val="20"/>
        </w:rPr>
        <w:t xml:space="preserve"> — witness/inscription search, rights mostly link-only.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Лучшие rights-clean facsimiles: National Palace Museum — 毛公鼎, 散氏盤, 宗周鐘 (A14-R040–R045). 1MP image слой — CC0; 6MP+ и catalog text — CC BY 4.0.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b/>
          <w:sz w:val="20"/>
        </w:rPr>
        <w:t xml:space="preserve">NPM Mao Gong ding — </w:t>
      </w:r>
      <w:hyperlink r:id="rId17">
        <w:r>
          <w:rPr>
            <w:rFonts w:ascii="Noto Serif CJK SC" w:hAnsi="Noto Serif CJK SC" w:eastAsia="Noto Serif CJK SC" w:cs="Noto Serif CJK SC"/>
            <w:color w:val="2B6478"/>
            <w:u w:val="single"/>
          </w:rPr>
          <w:t>https://digitalarchive.npm.gov.tw/Collection/Detail/1438?dep=U</w:t>
        </w:r>
      </w:hyperlink>
      <w:r>
        <w:rPr>
          <w:rFonts w:ascii="Noto Serif CJK SC" w:hAnsi="Noto Serif CJK SC" w:eastAsia="Noto Serif CJK SC" w:cs="Noto Serif CJK SC"/>
          <w:sz w:val="20"/>
        </w:rPr>
        <w:t xml:space="preserve"> — два лицензионных уровня.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b/>
          <w:sz w:val="20"/>
        </w:rPr>
        <w:t xml:space="preserve">NPM San Shi pan — </w:t>
      </w:r>
      <w:hyperlink r:id="rId18">
        <w:r>
          <w:rPr>
            <w:rFonts w:ascii="Noto Serif CJK SC" w:hAnsi="Noto Serif CJK SC" w:eastAsia="Noto Serif CJK SC" w:cs="Noto Serif CJK SC"/>
            <w:color w:val="2B6478"/>
            <w:u w:val="single"/>
          </w:rPr>
          <w:t>https://digitalarchive.npm.gov.tw/Collection/Detail/1462?dep=U</w:t>
        </w:r>
      </w:hyperlink>
      <w:r>
        <w:rPr>
          <w:rFonts w:ascii="Noto Serif CJK SC" w:hAnsi="Noto Serif CJK SC" w:eastAsia="Noto Serif CJK SC" w:cs="Noto Serif CJK SC"/>
          <w:sz w:val="20"/>
        </w:rPr>
        <w:t xml:space="preserve"> — два лицензионных уровня.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Лучший machine-readable item: Yale Song gui IIIF manifest (A14-R039). Объектная страница и manifest открыты, но изображение/metadata/editorial components надо читать по отдельным rights fields.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b/>
          <w:sz w:val="20"/>
        </w:rPr>
        <w:t xml:space="preserve">Yale Song gui — </w:t>
      </w:r>
      <w:hyperlink r:id="rId19">
        <w:r>
          <w:rPr>
            <w:rFonts w:ascii="Noto Serif CJK SC" w:hAnsi="Noto Serif CJK SC" w:eastAsia="Noto Serif CJK SC" w:cs="Noto Serif CJK SC"/>
            <w:color w:val="2B6478"/>
            <w:u w:val="single"/>
          </w:rPr>
          <w:t>https://artgallery.yale.edu/collections/objects/49627</w:t>
        </w:r>
      </w:hyperlink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b/>
          <w:sz w:val="20"/>
        </w:rPr>
        <w:t xml:space="preserve">Yale IIIF manifest — </w:t>
      </w:r>
      <w:hyperlink r:id="rId20">
        <w:r>
          <w:rPr>
            <w:rFonts w:ascii="Noto Serif CJK SC" w:hAnsi="Noto Serif CJK SC" w:eastAsia="Noto Serif CJK SC" w:cs="Noto Serif CJK SC"/>
            <w:color w:val="2B6478"/>
            <w:u w:val="single"/>
          </w:rPr>
          <w:t>https://manifests.collections.yale.edu/yuag/obj/49627</w:t>
        </w:r>
      </w:hyperlink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Для He zun, Da Yu ding и Li gui найдены официальные museum pages (A14-R035–R037), но не права на зеркалирование изображений. Это надёжные link-only пути и доказательство provenance/custody.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Лучшие современные protected scholarly routes: Shaughnessy, Sources of Western Zhou History (A14-R047–R048), и Cook &amp; Goldin, A Source Book of Ancient Chinese Bronze Inscriptions (A14-R049).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Лучший открытый character-level слой: Xiaoxuetang bronze data (A14-R006, CC0 в точном обозначенном scope).</w:t>
      </w:r>
    </w:p>
    <w:p>
      <w:pPr>
        <w:pStyle w:val="Heading2"/>
      </w:pPr>
      <w:r>
        <w:t>3.4. Shang Shu и линии канонического сохранения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Лучшее бесплатное чтение: Chinese Text Project (A14-R050–R060) — corpus page и ключевые Zhou Shu chapters. Это link/read route, а не разрешение копировать CText transcription.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b/>
          <w:sz w:val="20"/>
        </w:rPr>
        <w:t xml:space="preserve">Shang Shu on CText — </w:t>
      </w:r>
      <w:hyperlink r:id="rId21">
        <w:r>
          <w:rPr>
            <w:rFonts w:ascii="Noto Serif CJK SC" w:hAnsi="Noto Serif CJK SC" w:eastAsia="Noto Serif CJK SC" w:cs="Noto Serif CJK SC"/>
            <w:color w:val="2B6478"/>
            <w:u w:val="single"/>
          </w:rPr>
          <w:t>https://ctext.org/shang-shu</w:t>
        </w:r>
      </w:hyperlink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Лучший открытый machine-readable original-language layer: Kanripo KR1b0001 (A14-R074), CC BY-SA 4.0. Для комментария — 尚書正義 KR1b0002 (A14-R075).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b/>
          <w:sz w:val="20"/>
        </w:rPr>
        <w:t xml:space="preserve">Kanripo Shang Shu — </w:t>
      </w:r>
      <w:hyperlink r:id="rId22">
        <w:r>
          <w:rPr>
            <w:rFonts w:ascii="Noto Serif CJK SC" w:hAnsi="Noto Serif CJK SC" w:eastAsia="Noto Serif CJK SC" w:cs="Noto Serif CJK SC"/>
            <w:color w:val="2B6478"/>
            <w:u w:val="single"/>
          </w:rPr>
          <w:t>https://github.com/kanripo/KR1b0001</w:t>
        </w:r>
      </w:hyperlink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b/>
          <w:sz w:val="20"/>
        </w:rPr>
        <w:t xml:space="preserve">Kanripo Shangshu Zhengyi — </w:t>
      </w:r>
      <w:hyperlink r:id="rId23">
        <w:r>
          <w:rPr>
            <w:rFonts w:ascii="Noto Serif CJK SC" w:hAnsi="Noto Serif CJK SC" w:eastAsia="Noto Serif CJK SC" w:cs="Noto Serif CJK SC"/>
            <w:color w:val="2B6478"/>
            <w:u w:val="single"/>
          </w:rPr>
          <w:t>https://github.com/kanripo/KR1b0002</w:t>
        </w:r>
      </w:hyperlink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Лучший public-domain English translation: James Legge, The Shu King, SBE 3 (A14-R085), свободный scan/download. Это перевод-посредник, а не original-language basis.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b/>
          <w:sz w:val="20"/>
        </w:rPr>
        <w:t xml:space="preserve">Legge, The Shu King — </w:t>
      </w:r>
      <w:hyperlink r:id="rId24">
        <w:r>
          <w:rPr>
            <w:rFonts w:ascii="Noto Serif CJK SC" w:hAnsi="Noto Serif CJK SC" w:eastAsia="Noto Serif CJK SC" w:cs="Noto Serif CJK SC"/>
            <w:color w:val="2B6478"/>
            <w:u w:val="single"/>
          </w:rPr>
          <w:t>https://archive.org/details/sacredbooksofch03conf</w:t>
        </w:r>
      </w:hyperlink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Лучший поздний manuscript-control route: цинхуаские бамбуковые рукописи (A14-R092), пока только purchase/library; modern facsimile/transcription rights are protected.</w:t>
      </w:r>
    </w:p>
    <w:p>
      <w:pPr>
        <w:pStyle w:val="Heading2"/>
      </w:pPr>
      <w:r>
        <w:t>3.5. Shijing, Yi Zhou Shu, Zhouyi и историческая рецепция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Shijing: CText для чтения и навигации (A14-R061–R066), Kanripo KR1c0001/KR1c0004 для открытого текста и commentarial line (A14-R076–R077), Legge/Gutenberg для public-domain English translation (A14-R086).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b/>
          <w:sz w:val="20"/>
        </w:rPr>
        <w:t xml:space="preserve">Legge, The Shih King — </w:t>
      </w:r>
      <w:hyperlink r:id="rId25">
        <w:r>
          <w:rPr>
            <w:rFonts w:ascii="Noto Serif CJK SC" w:hAnsi="Noto Serif CJK SC" w:eastAsia="Noto Serif CJK SC" w:cs="Noto Serif CJK SC"/>
            <w:color w:val="2B6478"/>
            <w:u w:val="single"/>
          </w:rPr>
          <w:t>https://www.gutenberg.org/ebooks/9394</w:t>
        </w:r>
      </w:hyperlink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Yi Zhou Shu: CText (A14-R067) — лучший найденный полный бесплатный reading route; открытая complete TEI edition остаётся gap.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Zhouyi: включён как boundary, а не как тождество oracle bones. CText и Kanripo дают reading/machine-readable routes; Legge SBE 16 — public-domain English translation.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Shiji, Bamboo Annals и поздние комментарии образуют transmission/reception layer, через который Шан–Чжоу продолжали жить в историографии и каноне.</w:t>
      </w:r>
    </w:p>
    <w:p>
      <w:pPr>
        <w:pStyle w:val="Heading1"/>
      </w:pPr>
      <w:r>
        <w:t>4. Карта прав и практического использования</w:t>
      </w:r>
    </w:p>
    <w:p>
      <w:pPr>
        <w:pStyle w:val="Heading2"/>
      </w:pPr>
      <w:r>
        <w:t>4.1. Что ToS может потенциально зеркалировать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CC0 witness images/data: The Met oracle bone, Smithsonian oracle-bone image, NPM 1MP object images, а также заявленные CC0 query-outputs Xiaoxuetang. Зеркалирование допустимо только для явно отмеченного компонента и конкретного coverage.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Public-domain historical scans on Wikimedia Commons: 鐵雲藏龜 и 殷墟書契菁華, при сохранении file-level public-domain statement.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Kanripo TEI/text repositories по CC BY-SA 4.0: допустимы копирование и переработка с атрибуцией и ShareAlike.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NPM 6MP+ images/catalogue text по CC BY 4.0: допустимы копирование и переработка с атрибуцией.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Public-domain Gutenberg edition of Legge’s Shih King: допустимо повторное распространение с соблюдением Project Gutenberg file/notice rules.</w:t>
      </w:r>
    </w:p>
    <w:p>
      <w:pPr>
        <w:pStyle w:val="Heading2"/>
      </w:pPr>
      <w:r>
        <w:t>4.2. Некоммерческие и неизменяемые слои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Cambridge oracle-bone facsimiles: CC BY-NC 4.0 — полезны ToS как некоммерческому проекту; attribution обязательна, коммерческое использование не покрыто.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Schwartz, Huayuanzhuang East: CC BY-NC-ND. Можно бесплатно читать, скачивать и распространять неизменённую OA-версию некоммерчески с атрибуцией. Публичный OCR-derived text, переработанная транскрипция или изменённое издание требуют отдельной проверки/разрешения.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В любой NC/ND записи положительный тег ограничен тем компонентом, который прямо назван в rights_scope; он не распространяется на древний корпус в целом.</w:t>
      </w:r>
    </w:p>
    <w:p>
      <w:pPr>
        <w:pStyle w:val="Heading2"/>
      </w:pPr>
      <w:r>
        <w:t>4.3. Бесплатно читать или скачивать, но не зеркалировать автоматически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Chinese Text Project: свободное чтение, но transcription/alignment/interface protected; автоматическое скачивание ограничено.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YinQiWenYuan и базы IHP: широкое исследовательское чтение, но photos/rubbings/transcriptions/database records не имеют blanket open license.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Официальные страницы He zun, Da Yu ding и Li gui: link-only/metadata route; права на изображения не доказаны.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Internet Archive scans, для которых public-domain status выводится по дате, сохранены как свободное чтение/скачивание и clean basis для исследования, но без безусловного mirror tag на сам платформенный scan.</w:t>
      </w:r>
    </w:p>
    <w:p>
      <w:pPr>
        <w:pStyle w:val="Heading2"/>
      </w:pPr>
      <w:r>
        <w:t>4.4. Link-only, borrow, preview и purchase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CHANT — institutional/subscription access; no bulk extraction.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Jiaguwen Heji, Yin Zhou Jinwen Jicheng и Shang Zhou qingtongqi mingwen ji tuxiang jicheng — библиотека/покупка, без найденного clean full digital layer.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Keightley, Shaughnessy, Cook &amp; Goldin, Takashima и цинхуаские тома — borrow/preview/purchase; modern translations/readings protected.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British Library witness path сохранён как metadata/temporarily unavailable из-за нестабильности цифрового сервиса и неясности item-level image rights.</w:t>
      </w:r>
    </w:p>
    <w:p>
      <w:pPr>
        <w:pStyle w:val="Heading2"/>
      </w:pPr>
      <w:r>
        <w:t>4.5. Где возможен собственный перевод ToS</w:t>
      </w:r>
    </w:p>
    <w:p>
      <w:r>
        <w:rPr>
          <w:rFonts w:ascii="Noto Serif CJK SC" w:hAnsi="Noto Serif CJK SC" w:eastAsia="Noto Serif CJK SC" w:cs="Noto Serif CJK SC"/>
        </w:rPr>
        <w:t>Безусловно употреблять тег OWN_TRANSLATION_POSSIBLE можно лишь в пределах чистой основы. В A14 такие основы найдены, но они не одинаковы по масштабу: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CC0/CC BY/CC BY-NC facsimiles отдельных oracle bones и bronzes — перевод возможен только для конкретного witness; для NC-материала распространение перевода/derived facsimile требует учёта noncommercial scope.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Public-domain scans старых oracle-bone/bronze editions — можно создавать собственные транскрипции и переводы тех inscription witnesses, которые реально воспроизведены.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Kanripo CC BY-SA 4.0 — clean machine-readable basis для полученных classics и комментариев; атрибуция и ShareAlike должны быть отражены в derivative text layer.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NPM CC0/CC BY images — basis для собственных чтений конкретных bronzes; ToS translation нужно явно отделять от museum catalogue interpretation.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Xiaoxuetang CC0 query outputs — только glyph-level basis, не разрешение объявить весь oracle/bronze corpus открытым.</w:t>
      </w:r>
    </w:p>
    <w:p>
      <w:pPr>
        <w:pStyle w:val="ToSNote"/>
      </w:pPr>
      <w:r>
        <w:rPr>
          <w:rFonts w:ascii="Noto Serif CJK SC" w:hAnsi="Noto Serif CJK SC" w:eastAsia="Noto Serif CJK SC" w:cs="Noto Serif CJK SC"/>
        </w:rPr>
        <w:t>Для полного Jiaguwen Heji, раннечжоуских oracle bones, He zun/Da Yu ding/Li gui и современных защищённых critical editions безусловного clean basis на весь объект не установлено.</w:t>
      </w:r>
    </w:p>
    <w:p>
      <w:pPr>
        <w:pStyle w:val="Heading1"/>
      </w:pPr>
      <w:r>
        <w:t>5. Характерные правовые тонкости</w:t>
      </w:r>
    </w:p>
    <w:p>
      <w:pPr>
        <w:spacing w:after="100"/>
      </w:pPr>
      <w:r>
        <w:rPr>
          <w:rFonts w:ascii="Noto Serif CJK SC" w:hAnsi="Noto Serif CJK SC" w:eastAsia="Noto Serif CJK SC" w:cs="Noto Serif CJK SC"/>
          <w:b/>
          <w:color w:val="5A3345"/>
        </w:rPr>
        <w:t xml:space="preserve">Древность текста не освобождает современную версию. </w:t>
      </w:r>
      <w:r>
        <w:rPr>
          <w:rFonts w:ascii="Noto Serif CJK SC" w:hAnsi="Noto Serif CJK SC" w:eastAsia="Noto Serif CJK SC" w:cs="Noto Serif CJK SC"/>
        </w:rPr>
        <w:t>Oracle-bone или bronze inscription как древнее произведение свободны, но modern reading, reconstruction, translation, apparatus и photograph могут быть защищены.</w:t>
      </w:r>
    </w:p>
    <w:p>
      <w:pPr>
        <w:spacing w:after="100"/>
      </w:pPr>
      <w:r>
        <w:rPr>
          <w:rFonts w:ascii="Noto Serif CJK SC" w:hAnsi="Noto Serif CJK SC" w:eastAsia="Noto Serif CJK SC" w:cs="Noto Serif CJK SC"/>
          <w:b/>
          <w:color w:val="5A3345"/>
        </w:rPr>
        <w:t xml:space="preserve">Public Domain Mark — не лицензия. </w:t>
      </w:r>
      <w:r>
        <w:rPr>
          <w:rFonts w:ascii="Noto Serif CJK SC" w:hAnsi="Noto Serif CJK SC" w:eastAsia="Noto Serif CJK SC" w:cs="Noto Serif CJK SC"/>
        </w:rPr>
        <w:t>Он сообщает статус, но не создаёт договорных условий. В реестре он отделён от CC0/CC BY.</w:t>
      </w:r>
    </w:p>
    <w:p>
      <w:pPr>
        <w:spacing w:after="100"/>
      </w:pPr>
      <w:r>
        <w:rPr>
          <w:rFonts w:ascii="Noto Serif CJK SC" w:hAnsi="Noto Serif CJK SC" w:eastAsia="Noto Serif CJK SC" w:cs="Noto Serif CJK SC"/>
          <w:b/>
          <w:color w:val="5A3345"/>
        </w:rPr>
        <w:t xml:space="preserve">Download не равен republication. </w:t>
      </w:r>
      <w:r>
        <w:rPr>
          <w:rFonts w:ascii="Noto Serif CJK SC" w:hAnsi="Noto Serif CJK SC" w:eastAsia="Noto Serif CJK SC" w:cs="Noto Serif CJK SC"/>
        </w:rPr>
        <w:t>Кнопка PDF/JPEG, library loan или API endpoint не доказывают право публичного зеркалирования.</w:t>
      </w:r>
    </w:p>
    <w:p>
      <w:pPr>
        <w:spacing w:after="100"/>
      </w:pPr>
      <w:r>
        <w:rPr>
          <w:rFonts w:ascii="Noto Serif CJK SC" w:hAnsi="Noto Serif CJK SC" w:eastAsia="Noto Serif CJK SC" w:cs="Noto Serif CJK SC"/>
          <w:b/>
          <w:color w:val="5A3345"/>
        </w:rPr>
        <w:t xml:space="preserve">Dataset license не всегда очищает upstream images. </w:t>
      </w:r>
      <w:r>
        <w:rPr>
          <w:rFonts w:ascii="Noto Serif CJK SC" w:hAnsi="Noto Serif CJK SC" w:eastAsia="Noto Serif CJK SC" w:cs="Noto Serif CJK SC"/>
        </w:rPr>
        <w:t>EVOBC, HUST-OBC и OBIMD имеют открытые dataset cards, но reproduced crops могут происходить из protected books/databases. Поэтому открытую лицензию сопровождает provenance review.</w:t>
      </w:r>
    </w:p>
    <w:p>
      <w:pPr>
        <w:spacing w:after="100"/>
      </w:pPr>
      <w:r>
        <w:rPr>
          <w:rFonts w:ascii="Noto Serif CJK SC" w:hAnsi="Noto Serif CJK SC" w:eastAsia="Noto Serif CJK SC" w:cs="Noto Serif CJK SC"/>
          <w:b/>
          <w:color w:val="5A3345"/>
        </w:rPr>
        <w:t xml:space="preserve">Одному предмету могут соответствовать разные правовые слои. </w:t>
      </w:r>
      <w:r>
        <w:rPr>
          <w:rFonts w:ascii="Noto Serif CJK SC" w:hAnsi="Noto Serif CJK SC" w:eastAsia="Noto Serif CJK SC" w:cs="Noto Serif CJK SC"/>
        </w:rPr>
        <w:t>В NPM low-resolution image — CC0, high-resolution image/text — CC BY 4.0. В Yale manifest/metadata и embedded image rights читаются отдельно.</w:t>
      </w:r>
    </w:p>
    <w:p>
      <w:pPr>
        <w:spacing w:after="100"/>
      </w:pPr>
      <w:r>
        <w:rPr>
          <w:rFonts w:ascii="Noto Serif CJK SC" w:hAnsi="Noto Serif CJK SC" w:eastAsia="Noto Serif CJK SC" w:cs="Noto Serif CJK SC"/>
          <w:b/>
          <w:color w:val="5A3345"/>
        </w:rPr>
        <w:t xml:space="preserve">Платформенная лицензия не покрывает материалы третьих лиц. </w:t>
      </w:r>
      <w:r>
        <w:rPr>
          <w:rFonts w:ascii="Noto Serif CJK SC" w:hAnsi="Noto Serif CJK SC" w:eastAsia="Noto Serif CJK SC" w:cs="Noto Serif CJK SC"/>
        </w:rPr>
        <w:t>GitHub/Kanripo license покрывает repository content; museum pages или project portals могут встраивать изображения иных правообладателей.</w:t>
      </w:r>
    </w:p>
    <w:p>
      <w:pPr>
        <w:spacing w:after="100"/>
      </w:pPr>
      <w:r>
        <w:rPr>
          <w:rFonts w:ascii="Noto Serif CJK SC" w:hAnsi="Noto Serif CJK SC" w:eastAsia="Noto Serif CJK SC" w:cs="Noto Serif CJK SC"/>
          <w:b/>
          <w:color w:val="5A3345"/>
        </w:rPr>
        <w:t xml:space="preserve">OCR, индекс и embeddings — разные действия. </w:t>
      </w:r>
      <w:r>
        <w:rPr>
          <w:rFonts w:ascii="Noto Serif CJK SC" w:hAnsi="Noto Serif CJK SC" w:eastAsia="Noto Serif CJK SC" w:cs="Noto Serif CJK SC"/>
        </w:rPr>
        <w:t>В реестре OCR_OK, FULLTEXT_INDEX_OK и EMBEDDINGS_OK выставлены отдельно и только там, где конкретный scope это разумно допускает.</w:t>
      </w:r>
    </w:p>
    <w:p>
      <w:pPr>
        <w:spacing w:after="100"/>
      </w:pPr>
      <w:r>
        <w:rPr>
          <w:rFonts w:ascii="Noto Serif CJK SC" w:hAnsi="Noto Serif CJK SC" w:eastAsia="Noto Serif CJK SC" w:cs="Noto Serif CJK SC"/>
          <w:b/>
          <w:color w:val="5A3345"/>
        </w:rPr>
        <w:t xml:space="preserve">Юрисдикции различаются. </w:t>
      </w:r>
      <w:r>
        <w:rPr>
          <w:rFonts w:ascii="Noto Serif CJK SC" w:hAnsi="Noto Serif CJK SC" w:eastAsia="Noto Serif CJK SC" w:cs="Noto Serif CJK SC"/>
        </w:rPr>
        <w:t>Старое издание может быть public domain в США и одновременно требовать отдельной проверки в другой стране; для авторов, умерших более 70 лет назад, уверенность обычно выше, но scan/platform rights всё равно отделяются.</w:t>
      </w:r>
    </w:p>
    <w:p>
      <w:pPr>
        <w:pStyle w:val="Heading1"/>
      </w:pPr>
      <w:r>
        <w:t>6. Пробелы и дальнейший поиск</w:t>
      </w:r>
    </w:p>
    <w:p>
      <w:r>
        <w:rPr>
          <w:rFonts w:ascii="Noto Serif CJK SC" w:hAnsi="Noto Serif CJK SC" w:eastAsia="Noto Serif CJK SC" w:cs="Noto Serif CJK SC"/>
        </w:rPr>
        <w:t>Лист gaps содержит 20 конкретных незакрытых направлений. Ниже — основные, без повторения всех служебных строк.</w:t>
      </w:r>
    </w:p>
    <w:p>
      <w:pPr>
        <w:pStyle w:val="Heading2"/>
      </w:pPr>
      <w:r>
        <w:t>6.1. Главные незакрытые объекты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Полная authorized digital facsimile версия 甲骨文合集 и её reading/index supplements.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Item-level открытые корпуса раннечжоуских oracle bones Чжоуаня/Цицзя и Чжоугунмяо.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Rights-clean high-resolution inscription facsimiles для 何尊, 大盂鼎 и 利簋.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Официальные item pages и права для 史牆盤, 大克鼎 и 虢季子白盤.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Полные законные цифровые версии 殷周金文集成 и 商周青銅器銘文暨圖像集成.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Открытые images/transcriptions цинхуаских Shangshu-related bamboo manuscripts.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Проверенный complete TEI/XML для 逸周書 и точный license scope CText LOD.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Текущие законные полные русские переводы Shang Shu и Shijing с ясными правами и реальным borrow/purchase/read route.</w:t>
      </w:r>
    </w:p>
    <w:p>
      <w:pPr>
        <w:pStyle w:val="Heading2"/>
      </w:pPr>
      <w:r>
        <w:t>6.2. Ссылки и права, требующие перепроверки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British Library/IDP: стабильность image service и item-level rights для Or.7694.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Yale Song gui: граница между no-copyright artwork, CC0 metadata/manifest и image-service notice.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Cambridge Digital Library: закрепить exact rights statement на каждом используемом witness, а не переносить collection-level assumption.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Internet Archive historical scans: проверить item metadata, прежде чем зеркалировать сам scan; public-domain ancient/historical text не должен автоматически распространяться на платформенный derivative.</w:t>
      </w:r>
    </w:p>
    <w:p>
      <w:pPr>
        <w:pStyle w:val="ListBullet"/>
        <w:ind w:left="369" w:hanging="159"/>
      </w:pPr>
      <w:r>
        <w:rPr>
          <w:rFonts w:ascii="Noto Serif CJK SC" w:hAnsi="Noto Serif CJK SC" w:eastAsia="Noto Serif CJK SC" w:cs="Noto Serif CJK SC"/>
          <w:sz w:val="20"/>
        </w:rPr>
        <w:t>He zun official page: часть media обозначена как внешняя; для публикации изображения нужен отдельный чистый источник.</w:t>
      </w:r>
    </w:p>
    <w:p>
      <w:pPr>
        <w:pStyle w:val="Heading2"/>
      </w:pPr>
      <w:r>
        <w:t>6.3. Восемь целевых follow-up направлений</w:t>
      </w:r>
    </w:p>
    <w:p>
      <w:pPr>
        <w:pStyle w:val="ListNumber"/>
      </w:pPr>
      <w:r>
        <w:rPr>
          <w:rFonts w:ascii="Noto Serif CJK SC" w:hAnsi="Noto Serif CJK SC" w:eastAsia="Noto Serif CJK SC" w:cs="Noto Serif CJK SC"/>
          <w:sz w:val="20"/>
        </w:rPr>
        <w:t>Поиск по exact Jicheng/Heji number, shelfmark и excavation number, а не только по названию предмета.</w:t>
      </w:r>
    </w:p>
    <w:p>
      <w:pPr>
        <w:pStyle w:val="ListNumber"/>
      </w:pPr>
      <w:r>
        <w:rPr>
          <w:rFonts w:ascii="Noto Serif CJK SC" w:hAnsi="Noto Serif CJK SC" w:eastAsia="Noto Serif CJK SC" w:cs="Noto Serif CJK SC"/>
          <w:sz w:val="20"/>
        </w:rPr>
        <w:t>Прямой запрос в CASS/публикаторам 甲骨文合集 и 殷周金文集成 о licensed institutional access, API или partner digitization.</w:t>
      </w:r>
    </w:p>
    <w:p>
      <w:pPr>
        <w:pStyle w:val="ListNumber"/>
      </w:pPr>
      <w:r>
        <w:rPr>
          <w:rFonts w:ascii="Noto Serif CJK SC" w:hAnsi="Noto Serif CJK SC" w:eastAsia="Noto Serif CJK SC" w:cs="Noto Serif CJK SC"/>
          <w:sz w:val="20"/>
        </w:rPr>
        <w:t>Поиск item-level IIIF в Harvard-Yenching, Berkeley Chinese Rubbings, Yale, Smithsonian и NPM по vessel name и inscription number.</w:t>
      </w:r>
    </w:p>
    <w:p>
      <w:pPr>
        <w:pStyle w:val="ListNumber"/>
      </w:pPr>
      <w:r>
        <w:rPr>
          <w:rFonts w:ascii="Noto Serif CJK SC" w:hAnsi="Noto Serif CJK SC" w:eastAsia="Noto Serif CJK SC" w:cs="Noto Serif CJK SC"/>
          <w:sz w:val="20"/>
        </w:rPr>
        <w:t>Отдельный китайскоязычный проход по сайтам Shaanxi Archaeology, Zhouyuan Museum и Baoji collections для раннечжоуских oracle bones и 史牆盤.</w:t>
      </w:r>
    </w:p>
    <w:p>
      <w:pPr>
        <w:pStyle w:val="ListNumber"/>
      </w:pPr>
      <w:r>
        <w:rPr>
          <w:rFonts w:ascii="Noto Serif CJK SC" w:hAnsi="Noto Serif CJK SC" w:eastAsia="Noto Serif CJK SC" w:cs="Noto Serif CJK SC"/>
          <w:sz w:val="20"/>
        </w:rPr>
        <w:t>Rights inquiry в Baoji Bronzeware Museum и National Museum of China по He zun, Da Yu ding и Li gui: image license, high-res delivery, scholarly reuse.</w:t>
      </w:r>
    </w:p>
    <w:p>
      <w:pPr>
        <w:pStyle w:val="ListNumber"/>
      </w:pPr>
      <w:r>
        <w:rPr>
          <w:rFonts w:ascii="Noto Serif CJK SC" w:hAnsi="Noto Serif CJK SC" w:eastAsia="Noto Serif CJK SC" w:cs="Noto Serif CJK SC"/>
          <w:sz w:val="20"/>
        </w:rPr>
        <w:t>Проверка Kanripo catalog/branches и Wikisource exports для 逸周書; при отсутствии — создание собственного TEI из public-domain base с provenance ledger.</w:t>
      </w:r>
    </w:p>
    <w:p>
      <w:pPr>
        <w:pStyle w:val="ListNumber"/>
      </w:pPr>
      <w:r>
        <w:rPr>
          <w:rFonts w:ascii="Noto Serif CJK SC" w:hAnsi="Noto Serif CJK SC" w:eastAsia="Noto Serif CJK SC" w:cs="Noto Serif CJK SC"/>
          <w:sz w:val="20"/>
        </w:rPr>
        <w:t>Поиск author-repository/OA copies статей о Zhouyuan и Zhougongmiao; фиксировать plate coverage и rights каждого PDF отдельно.</w:t>
      </w:r>
    </w:p>
    <w:p>
      <w:pPr>
        <w:pStyle w:val="ListNumber"/>
      </w:pPr>
      <w:r>
        <w:rPr>
          <w:rFonts w:ascii="Noto Serif CJK SC" w:hAnsi="Noto Serif CJK SC" w:eastAsia="Noto Serif CJK SC" w:cs="Noto Serif CJK SC"/>
          <w:sz w:val="20"/>
        </w:rPr>
        <w:t>Русскоязычный библиографический проход по РГБ, РНБ, eLIBRARY, ЛитРес и страницам издателей с разделением древнего оригинала и прав переводчика.</w:t>
      </w:r>
    </w:p>
    <w:p>
      <w:pPr>
        <w:pStyle w:val="Heading2"/>
      </w:pPr>
      <w:r>
        <w:t>6.4. Внепериодные кандидаты, не доведённые до полного доступа</w:t>
      </w:r>
    </w:p>
    <w:p>
      <w:r>
        <w:rPr>
          <w:rFonts w:ascii="Noto Serif CJK SC" w:hAnsi="Noto Serif CJK SC" w:eastAsia="Noto Serif CJK SC" w:cs="Noto Serif CJK SC"/>
        </w:rPr>
        <w:t>Kaogu Tu 考古圖, Xuanhe Bogu Tu 宣和博古圖 и другие antiquarian bronze catalogues представляют важную линию сохранения изображений и inscriptions; их exact public-domain scans и item-level rights следует добавить отдельным проходом. Также полезно расширить цинхуаские manuscript witnesses и поздние Shangshu commentaries, но только при наличии конкретной text-family связи.</w:t>
      </w:r>
    </w:p>
    <w:p>
      <w:pPr>
        <w:pStyle w:val="Heading1"/>
      </w:pPr>
      <w:r>
        <w:t>7. Итоговая оценка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CE1"/>
          <w:left w:val="single" w:sz="4" w:space="0" w:color="CFDCE1"/>
          <w:bottom w:val="single" w:sz="4" w:space="0" w:color="CFDCE1"/>
          <w:right w:val="single" w:sz="4" w:space="0" w:color="CFDCE1"/>
          <w:insideH w:val="single" w:sz="4" w:space="0" w:color="CFDCE1"/>
          <w:insideV w:val="single" w:sz="4" w:space="0" w:color="CFDCE1"/>
        </w:tblBorders>
      </w:tblPr>
      <w:tblGrid>
        <w:gridCol w:w="4762"/>
        <w:gridCol w:w="4762"/>
      </w:tblGrid>
      <w:tr>
        <w:tc>
          <w:tcPr>
            <w:tcW w:type="dxa" w:w="2268"/>
            <w:tcMar>
              <w:top w:w="100" w:type="dxa"/>
              <w:start w:w="115" w:type="dxa"/>
              <w:bottom w:w="100" w:type="dxa"/>
              <w:end w:w="115" w:type="dxa"/>
            </w:tcMar>
            <w:shd w:fill="EAF2F5"/>
          </w:tcPr>
          <w:p>
            <w:r>
              <w:rPr>
                <w:rFonts w:ascii="Noto Serif CJK SC" w:hAnsi="Noto Serif CJK SC" w:eastAsia="Noto Serif CJK SC" w:cs="Noto Serif CJK SC"/>
                <w:b/>
                <w:color w:val="123B4A"/>
                <w:sz w:val="19"/>
              </w:rPr>
              <w:t>Покрытие корпуса</w:t>
            </w:r>
          </w:p>
        </w:tc>
        <w:tc>
          <w:tcPr>
            <w:tcW w:type="dxa" w:w="7087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r>
              <w:rPr>
                <w:rFonts w:ascii="Noto Serif CJK SC" w:hAnsi="Noto Serif CJK SC" w:eastAsia="Noto Serif CJK SC" w:cs="Noto Serif CJK SC"/>
                <w:b w:val="0"/>
                <w:color w:val="222222"/>
                <w:sz w:val="19"/>
              </w:rPr>
              <w:t>Хорошее для главных типов источников и правовых режимов: позднешанские oracle bones, bronze inscriptions, key objects, received classics, commentary/translation and machine-readable layers. Неполнота сосредоточена не в общей навигации, а в двух самых трудных ядрах — complete modern facsimile corpora и early-Zhou oracle bones.</w:t>
            </w:r>
          </w:p>
        </w:tc>
      </w:tr>
      <w:tr>
        <w:tc>
          <w:tcPr>
            <w:tcW w:type="dxa" w:w="2268"/>
            <w:tcMar>
              <w:top w:w="100" w:type="dxa"/>
              <w:start w:w="115" w:type="dxa"/>
              <w:bottom w:w="100" w:type="dxa"/>
              <w:end w:w="115" w:type="dxa"/>
            </w:tcMar>
            <w:shd w:fill="EAF2F5"/>
          </w:tcPr>
          <w:p>
            <w:r>
              <w:rPr>
                <w:rFonts w:ascii="Noto Serif CJK SC" w:hAnsi="Noto Serif CJK SC" w:eastAsia="Noto Serif CJK SC" w:cs="Noto Serif CJK SC"/>
                <w:b/>
                <w:color w:val="123B4A"/>
                <w:sz w:val="19"/>
              </w:rPr>
              <w:t>Доступность оригиналов</w:t>
            </w:r>
          </w:p>
        </w:tc>
        <w:tc>
          <w:tcPr>
            <w:tcW w:type="dxa" w:w="7087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r>
              <w:rPr>
                <w:rFonts w:ascii="Noto Serif CJK SC" w:hAnsi="Noto Serif CJK SC" w:eastAsia="Noto Serif CJK SC" w:cs="Noto Serif CJK SC"/>
                <w:b w:val="0"/>
                <w:color w:val="222222"/>
                <w:sz w:val="19"/>
              </w:rPr>
              <w:t>Высокая на уровне отдельных witnesses и исторических facsimile editions; средняя/низкая на уровне полного Jiaguwen Heji и Yin Zhou Jinwen Jicheng.</w:t>
            </w:r>
          </w:p>
        </w:tc>
      </w:tr>
      <w:tr>
        <w:tc>
          <w:tcPr>
            <w:tcW w:type="dxa" w:w="2268"/>
            <w:tcMar>
              <w:top w:w="100" w:type="dxa"/>
              <w:start w:w="115" w:type="dxa"/>
              <w:bottom w:w="100" w:type="dxa"/>
              <w:end w:w="115" w:type="dxa"/>
            </w:tcMar>
            <w:shd w:fill="EAF2F5"/>
          </w:tcPr>
          <w:p>
            <w:r>
              <w:rPr>
                <w:rFonts w:ascii="Noto Serif CJK SC" w:hAnsi="Noto Serif CJK SC" w:eastAsia="Noto Serif CJK SC" w:cs="Noto Serif CJK SC"/>
                <w:b/>
                <w:color w:val="123B4A"/>
                <w:sz w:val="19"/>
              </w:rPr>
              <w:t>Доступность переводов</w:t>
            </w:r>
          </w:p>
        </w:tc>
        <w:tc>
          <w:tcPr>
            <w:tcW w:type="dxa" w:w="7087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r>
              <w:rPr>
                <w:rFonts w:ascii="Noto Serif CJK SC" w:hAnsi="Noto Serif CJK SC" w:eastAsia="Noto Serif CJK SC" w:cs="Noto Serif CJK SC"/>
                <w:b w:val="0"/>
                <w:color w:val="222222"/>
                <w:sz w:val="19"/>
              </w:rPr>
              <w:t>Сильна для public-domain English received classics и одного крупного OA modern OBI subcorpus; слабее для полного современного bronze corpus и русских переводов.</w:t>
            </w:r>
          </w:p>
        </w:tc>
      </w:tr>
      <w:tr>
        <w:tc>
          <w:tcPr>
            <w:tcW w:type="dxa" w:w="2268"/>
            <w:tcMar>
              <w:top w:w="100" w:type="dxa"/>
              <w:start w:w="115" w:type="dxa"/>
              <w:bottom w:w="100" w:type="dxa"/>
              <w:end w:w="115" w:type="dxa"/>
            </w:tcMar>
            <w:shd w:fill="EAF2F5"/>
          </w:tcPr>
          <w:p>
            <w:r>
              <w:rPr>
                <w:rFonts w:ascii="Noto Serif CJK SC" w:hAnsi="Noto Serif CJK SC" w:eastAsia="Noto Serif CJK SC" w:cs="Noto Serif CJK SC"/>
                <w:b/>
                <w:color w:val="123B4A"/>
                <w:sz w:val="19"/>
              </w:rPr>
              <w:t>Наиболее свободный слой</w:t>
            </w:r>
          </w:p>
        </w:tc>
        <w:tc>
          <w:tcPr>
            <w:tcW w:type="dxa" w:w="7087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r>
              <w:rPr>
                <w:rFonts w:ascii="Noto Serif CJK SC" w:hAnsi="Noto Serif CJK SC" w:eastAsia="Noto Serif CJK SC" w:cs="Noto Serif CJK SC"/>
                <w:b w:val="0"/>
                <w:color w:val="222222"/>
                <w:sz w:val="19"/>
              </w:rPr>
              <w:t>CC0 museum images/data, NPM CC0/CC BY layers, Xiaoxuetang CC0 query outputs, Kanripo CC BY-SA, Wikimedia public-domain scans и Gutenberg public-domain edition.</w:t>
            </w:r>
          </w:p>
        </w:tc>
      </w:tr>
      <w:tr>
        <w:tc>
          <w:tcPr>
            <w:tcW w:type="dxa" w:w="2268"/>
            <w:tcMar>
              <w:top w:w="100" w:type="dxa"/>
              <w:start w:w="115" w:type="dxa"/>
              <w:bottom w:w="100" w:type="dxa"/>
              <w:end w:w="115" w:type="dxa"/>
            </w:tcMar>
            <w:shd w:fill="EAF2F5"/>
          </w:tcPr>
          <w:p>
            <w:r>
              <w:rPr>
                <w:rFonts w:ascii="Noto Serif CJK SC" w:hAnsi="Noto Serif CJK SC" w:eastAsia="Noto Serif CJK SC" w:cs="Noto Serif CJK SC"/>
                <w:b/>
                <w:color w:val="123B4A"/>
                <w:sz w:val="19"/>
              </w:rPr>
              <w:t>Главные ограничения</w:t>
            </w:r>
          </w:p>
        </w:tc>
        <w:tc>
          <w:tcPr>
            <w:tcW w:type="dxa" w:w="7087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r>
              <w:rPr>
                <w:rFonts w:ascii="Noto Serif CJK SC" w:hAnsi="Noto Serif CJK SC" w:eastAsia="Noto Serif CJK SC" w:cs="Noto Serif CJK SC"/>
                <w:b w:val="0"/>
                <w:color w:val="222222"/>
                <w:sz w:val="19"/>
              </w:rPr>
              <w:t>Modern critical editions, protected transcriptions/reconstructions, restricted academic databases, unclear museum image terms и upstream provenance open datasets.</w:t>
            </w:r>
          </w:p>
        </w:tc>
      </w:tr>
      <w:tr>
        <w:tc>
          <w:tcPr>
            <w:tcW w:type="dxa" w:w="2268"/>
            <w:tcMar>
              <w:top w:w="100" w:type="dxa"/>
              <w:start w:w="115" w:type="dxa"/>
              <w:bottom w:w="100" w:type="dxa"/>
              <w:end w:w="115" w:type="dxa"/>
            </w:tcMar>
            <w:shd w:fill="EAF2F5"/>
          </w:tcPr>
          <w:p>
            <w:r>
              <w:rPr>
                <w:rFonts w:ascii="Noto Serif CJK SC" w:hAnsi="Noto Serif CJK SC" w:eastAsia="Noto Serif CJK SC" w:cs="Noto Serif CJK SC"/>
                <w:b/>
                <w:color w:val="123B4A"/>
                <w:sz w:val="19"/>
              </w:rPr>
              <w:t>Готовность к Codex</w:t>
            </w:r>
          </w:p>
        </w:tc>
        <w:tc>
          <w:tcPr>
            <w:tcW w:type="dxa" w:w="7087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r>
              <w:rPr>
                <w:rFonts w:ascii="Noto Serif CJK SC" w:hAnsi="Noto Serif CJK SC" w:eastAsia="Noto Serif CJK SC" w:cs="Noto Serif CJK SC"/>
                <w:b w:val="0"/>
                <w:color w:val="222222"/>
                <w:sz w:val="19"/>
              </w:rPr>
              <w:t>Да. Реестр нормализован на уровне access records, содержит scope/coverage/rights evidence и явные gaps. Codex сможет выполнять межстрочную дедупликацию и graph normalization без повторного изобретения правовых границ.</w:t>
            </w:r>
          </w:p>
        </w:tc>
      </w:tr>
    </w:tbl>
    <w:p>
      <w:pPr>
        <w:pStyle w:val="ToSNote"/>
        <w:spacing w:before="240"/>
      </w:pPr>
      <w:r>
        <w:rPr>
          <w:rFonts w:ascii="Noto Serif CJK SC" w:hAnsi="Noto Serif CJK SC" w:eastAsia="Noto Serif CJK SC" w:cs="Noto Serif CJK SC"/>
          <w:i/>
          <w:color w:val="59646B"/>
          <w:sz w:val="18"/>
        </w:rPr>
        <w:t>Правовая оговорка: это исследовательская карта доступа и evidence-based рекомендации для ToS, а не юридическое заключение. Перед массовым зеркалированием, публикацией производных наборов данных или коммерческим использованием следует повторно проверить актуальные item-level terms.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59646B"/>
        <w:sz w:val="17"/>
      </w:rPr>
      <w:t xml:space="preserve">A14  |  Corpus &amp; Rights Registry  |  </w:t>
    </w:r>
    <w:r>
      <w:rPr>
        <w:rFonts w:ascii="Noto Sans CJK SC" w:hAnsi="Noto Sans CJK SC" w:eastAsia="Noto Sans CJK SC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b/>
        <w:color w:val="59646B"/>
        <w:sz w:val="17"/>
      </w:rPr>
      <w:t>ToS / Древо Софии — A14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9" w:lineRule="auto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23B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3B728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5A33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123B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59646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Noto Serif CJK SC" w:hAnsi="Noto Serif CJK SC" w:eastAsia="Noto Serif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Noto Serif CJK SC" w:hAnsi="Noto Serif CJK SC" w:eastAsia="Noto Serif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SNote">
    <w:name w:val="ToS Note"/>
    <w:pPr>
      <w:spacing w:before="100" w:after="140"/>
      <w:ind w:left="283" w:right="283"/>
    </w:pPr>
    <w:rPr>
      <w:rFonts w:ascii="Noto Serif CJK SC" w:hAnsi="Noto Serif CJK SC" w:eastAsia="Noto Serif CJK SC"/>
      <w:i/>
      <w:color w:val="59646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://jgw.aynu.edu.cn/" TargetMode="External"/><Relationship Id="rId12" Type="http://schemas.openxmlformats.org/officeDocument/2006/relationships/hyperlink" Target="https://www.metmuseum.org/art/collection/search/60696" TargetMode="External"/><Relationship Id="rId13" Type="http://schemas.openxmlformats.org/officeDocument/2006/relationships/hyperlink" Target="https://asia-archive.si.edu/object/S2012.9.451" TargetMode="External"/><Relationship Id="rId14" Type="http://schemas.openxmlformats.org/officeDocument/2006/relationships/hyperlink" Target="https://cudl.lib.cam.ac.uk/view/MS-CUL-00001-00155/1" TargetMode="External"/><Relationship Id="rId15" Type="http://schemas.openxmlformats.org/officeDocument/2006/relationships/hyperlink" Target="https://library.oapen.org/handle/20.500.12657/23217" TargetMode="External"/><Relationship Id="rId16" Type="http://schemas.openxmlformats.org/officeDocument/2006/relationships/hyperlink" Target="https://w9.ihp.sinica.edu.tw/bronze" TargetMode="External"/><Relationship Id="rId17" Type="http://schemas.openxmlformats.org/officeDocument/2006/relationships/hyperlink" Target="https://digitalarchive.npm.gov.tw/Collection/Detail/1438?dep=U" TargetMode="External"/><Relationship Id="rId18" Type="http://schemas.openxmlformats.org/officeDocument/2006/relationships/hyperlink" Target="https://digitalarchive.npm.gov.tw/Collection/Detail/1462?dep=U" TargetMode="External"/><Relationship Id="rId19" Type="http://schemas.openxmlformats.org/officeDocument/2006/relationships/hyperlink" Target="https://artgallery.yale.edu/collections/objects/49627" TargetMode="External"/><Relationship Id="rId20" Type="http://schemas.openxmlformats.org/officeDocument/2006/relationships/hyperlink" Target="https://manifests.collections.yale.edu/yuag/obj/49627" TargetMode="External"/><Relationship Id="rId21" Type="http://schemas.openxmlformats.org/officeDocument/2006/relationships/hyperlink" Target="https://ctext.org/shang-shu" TargetMode="External"/><Relationship Id="rId22" Type="http://schemas.openxmlformats.org/officeDocument/2006/relationships/hyperlink" Target="https://github.com/kanripo/KR1b0001" TargetMode="External"/><Relationship Id="rId23" Type="http://schemas.openxmlformats.org/officeDocument/2006/relationships/hyperlink" Target="https://github.com/kanripo/KR1b0002" TargetMode="External"/><Relationship Id="rId24" Type="http://schemas.openxmlformats.org/officeDocument/2006/relationships/hyperlink" Target="https://archive.org/details/sacredbooksofch03conf" TargetMode="External"/><Relationship Id="rId25" Type="http://schemas.openxmlformats.org/officeDocument/2006/relationships/hyperlink" Target="https://www.gutenberg.org/ebooks/9394" TargetMode="External"/><Relationship Id="rId26" Type="http://schemas.openxmlformats.org/officeDocument/2006/relationships/hyperlink" Target="https://ctext.org/" TargetMode="External"/><Relationship Id="rId27" Type="http://schemas.openxmlformats.org/officeDocument/2006/relationships/hyperlink" Target="https://github.com/kanripo" TargetMode="External"/><Relationship Id="rId28" Type="http://schemas.openxmlformats.org/officeDocument/2006/relationships/hyperlink" Target="https://dap.ihp.sinica.edu.tw/database/" TargetMode="External"/><Relationship Id="rId29" Type="http://schemas.openxmlformats.org/officeDocument/2006/relationships/hyperlink" Target="https://xiaoxue.iis.sinica.edu.tw/copyright" TargetMode="External"/><Relationship Id="rId30" Type="http://schemas.openxmlformats.org/officeDocument/2006/relationships/hyperlink" Target="https://www.metmuseum.org/hubs/open-access" TargetMode="External"/><Relationship Id="rId31" Type="http://schemas.openxmlformats.org/officeDocument/2006/relationships/hyperlink" Target="https://www.si.edu/openaccess" TargetMode="External"/><Relationship Id="rId32" Type="http://schemas.openxmlformats.org/officeDocument/2006/relationships/hyperlink" Target="https://digitalarchive.npm.gov.tw/opendata/Pub/EngVersion" TargetMode="External"/><Relationship Id="rId33" Type="http://schemas.openxmlformats.org/officeDocument/2006/relationships/hyperlink" Target="https://foundation.wikimedia.org/wiki/Policy:Terms_of_Use" TargetMode="External"/><Relationship Id="rId34" Type="http://schemas.openxmlformats.org/officeDocument/2006/relationships/hyperlink" Target="https://library.oapen.org/" TargetMode="External"/><Relationship Id="rId35" Type="http://schemas.openxmlformats.org/officeDocument/2006/relationships/hyperlink" Target="https://www.gutenberg.org/policy/licens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A14</dc:title>
  <dc:subject>Корпус и права доступа: Шан и ранний Чжоу</dc:subject>
  <dc:creator>ToS / OpenAI research package</dc:creator>
  <cp:keywords>ToS, A14, Shang, Zhou, oracle bones, bronze inscriptions, rights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