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T2-08 · Багдадское переводческое движение</w:t>
        <w:br/>
        <w:t>и спорный узел Bayt al-Ḥikma</w:t>
      </w:r>
    </w:p>
    <w:p>
      <w:r>
        <w:t>Исследовательский отчёт • 4 сентября 2026 года</w:t>
      </w:r>
    </w:p>
    <w:p>
      <w:pPr>
        <w:pStyle w:val="Subtitle"/>
      </w:pPr>
      <w:r>
        <w:t>73 записи доступа · 46 групп произведений и корпусов · 22 записи пробелов</w:t>
      </w:r>
    </w:p>
    <w:p>
      <w:r>
        <w:t>Основной результат — карта законного доступа, а не разрешение на автоматическую публикацию всего найденного. Для каждого действия решающими остаются конкретная версия, объём покрытия и область действия прав в XLSX. Ссылки [R001]–[R073] в отчёте открывают источники одноимённых записей T2-08-R001–T2-08-R073; обозначения G001–G022 относятся к листу gaps.</w:t>
      </w:r>
    </w:p>
    <w:p>
      <w:pPr>
        <w:pStyle w:val="Heading1"/>
      </w:pPr>
      <w:r>
        <w:t>1. Паспорт</w:t>
      </w:r>
    </w:p>
    <w:tbl>
      <w:tblPr>
        <w:tblW w:type="auto" w:w="0"/>
        <w:tblLayout w:type="fixed"/>
        <w:tblLook w:firstColumn="1" w:firstRow="1" w:lastColumn="0" w:lastRow="0" w:noHBand="0" w:noVBand="1" w:val="04A0"/>
      </w:tblPr>
      <w:tblGrid>
        <w:gridCol w:w="2268"/>
        <w:gridCol w:w="7370"/>
      </w:tblGrid>
      <w:tr>
        <w:trPr>
          <w:cantSplit/>
          <w:tblHeader/>
        </w:trPr>
        <w:tc>
          <w:tcPr>
            <w:tcW w:type="dxa" w:w="2268"/>
            <w:shd w:fill="123C48"/>
          </w:tcPr>
          <w:p>
            <w:pPr>
              <w:spacing w:after="100" w:before="80" w:line="252" w:lineRule="auto"/>
            </w:pPr>
            <w:r>
              <w:rPr>
                <w:b/>
                <w:color w:val="FFFFFF"/>
                <w:sz w:val="19"/>
              </w:rPr>
              <w:t>Поле</w:t>
            </w:r>
          </w:p>
        </w:tc>
        <w:tc>
          <w:tcPr>
            <w:tcW w:type="dxa" w:w="7370"/>
            <w:shd w:fill="123C48"/>
          </w:tcPr>
          <w:p>
            <w:pPr>
              <w:spacing w:after="100" w:before="80" w:line="252" w:lineRule="auto"/>
            </w:pPr>
            <w:r>
              <w:rPr>
                <w:b/>
                <w:color w:val="FFFFFF"/>
                <w:sz w:val="19"/>
              </w:rPr>
              <w:t>Значение</w:t>
            </w:r>
          </w:p>
        </w:tc>
      </w:tr>
      <w:tr>
        <w:trPr>
          <w:cantSplit/>
        </w:trPr>
        <w:tc>
          <w:tcPr>
            <w:tcW w:type="dxa" w:w="2268"/>
            <w:shd w:fill="F0F5F7"/>
          </w:tcPr>
          <w:p>
            <w:pPr>
              <w:spacing w:after="100" w:before="80" w:line="252" w:lineRule="auto"/>
            </w:pPr>
            <w:r>
              <w:rPr>
                <w:sz w:val="19"/>
              </w:rPr>
              <w:t>Строка и статус</w:t>
            </w:r>
          </w:p>
        </w:tc>
        <w:tc>
          <w:tcPr>
            <w:tcW w:type="dxa" w:w="7370"/>
            <w:shd w:fill="F0F5F7"/>
          </w:tcPr>
          <w:p>
            <w:pPr>
              <w:spacing w:after="100" w:before="80" w:line="252" w:lineRule="auto"/>
            </w:pPr>
            <w:r>
              <w:rPr>
                <w:sz w:val="19"/>
              </w:rPr>
              <w:t>T2-08, таблица II, строка 8. Исходный статус A; исходная уверенность 5/5. Не изменены.</w:t>
            </w:r>
          </w:p>
        </w:tc>
      </w:tr>
      <w:tr>
        <w:trPr>
          <w:cantSplit/>
        </w:trPr>
        <w:tc>
          <w:tcPr>
            <w:tcW w:type="dxa" w:w="2268"/>
            <w:shd w:fill="FFFFFF"/>
          </w:tcPr>
          <w:p>
            <w:pPr>
              <w:spacing w:after="100" w:before="80" w:line="252" w:lineRule="auto"/>
            </w:pPr>
            <w:r>
              <w:rPr>
                <w:sz w:val="19"/>
              </w:rPr>
              <w:t>Историческое ядро</w:t>
            </w:r>
          </w:p>
        </w:tc>
        <w:tc>
          <w:tcPr>
            <w:tcW w:type="dxa" w:w="7370"/>
            <w:shd w:fill="FFFFFF"/>
          </w:tcPr>
          <w:p>
            <w:pPr>
              <w:spacing w:after="100" w:before="80" w:line="252" w:lineRule="auto"/>
            </w:pPr>
            <w:r>
              <w:rPr>
                <w:sz w:val="19"/>
              </w:rPr>
              <w:t>Формирование VII–IX вв.; письменная фиксация и перевод VIII–X вв.; канонизация и комментарий IX–X вв. Центр — Багдад.</w:t>
            </w:r>
          </w:p>
        </w:tc>
      </w:tr>
      <w:tr>
        <w:trPr>
          <w:cantSplit/>
        </w:trPr>
        <w:tc>
          <w:tcPr>
            <w:tcW w:type="dxa" w:w="2268"/>
            <w:shd w:fill="F0F5F7"/>
          </w:tcPr>
          <w:p>
            <w:pPr>
              <w:spacing w:after="100" w:before="80" w:line="252" w:lineRule="auto"/>
            </w:pPr>
            <w:r>
              <w:rPr>
                <w:sz w:val="19"/>
              </w:rPr>
              <w:t>Исходный документ</w:t>
            </w:r>
          </w:p>
        </w:tc>
        <w:tc>
          <w:tcPr>
            <w:tcW w:type="dxa" w:w="7370"/>
            <w:shd w:fill="F0F5F7"/>
          </w:tcPr>
          <w:p>
            <w:pPr>
              <w:spacing w:after="100" w:before="80" w:line="252" w:lineRule="auto"/>
            </w:pPr>
            <w:r>
              <w:rPr>
                <w:sz w:val="19"/>
              </w:rPr>
              <w:t>ToS Deep Research_ T2-08 — Багдадское переводческое движение и спорный узел Bayt al-Ḥikma(1).docx</w:t>
            </w:r>
          </w:p>
        </w:tc>
      </w:tr>
      <w:tr>
        <w:trPr>
          <w:cantSplit/>
        </w:trPr>
        <w:tc>
          <w:tcPr>
            <w:tcW w:type="dxa" w:w="2268"/>
            <w:shd w:fill="FFFFFF"/>
          </w:tcPr>
          <w:p>
            <w:pPr>
              <w:spacing w:after="100" w:before="80" w:line="252" w:lineRule="auto"/>
            </w:pPr>
            <w:r>
              <w:rPr>
                <w:sz w:val="19"/>
              </w:rPr>
              <w:t>Дата и языки проверки</w:t>
            </w:r>
          </w:p>
        </w:tc>
        <w:tc>
          <w:tcPr>
            <w:tcW w:type="dxa" w:w="7370"/>
            <w:shd w:fill="FFFFFF"/>
          </w:tcPr>
          <w:p>
            <w:pPr>
              <w:spacing w:after="100" w:before="80" w:line="252" w:lineRule="auto"/>
            </w:pPr>
            <w:r>
              <w:rPr>
                <w:sz w:val="19"/>
              </w:rPr>
              <w:t>2026-09-04. Английский, арабский, русский, французский и немецкий; греческие и латинские названия, сирийские атрибуции, сигнатуры и идентификаторы использовались дополнительно.</w:t>
            </w:r>
          </w:p>
        </w:tc>
      </w:tr>
      <w:tr>
        <w:trPr>
          <w:cantSplit/>
        </w:trPr>
        <w:tc>
          <w:tcPr>
            <w:tcW w:type="dxa" w:w="2268"/>
            <w:shd w:fill="F0F5F7"/>
          </w:tcPr>
          <w:p>
            <w:pPr>
              <w:spacing w:after="100" w:before="80" w:line="252" w:lineRule="auto"/>
            </w:pPr>
            <w:r>
              <w:rPr>
                <w:sz w:val="19"/>
              </w:rPr>
              <w:t>Итоговая поставка</w:t>
            </w:r>
          </w:p>
        </w:tc>
        <w:tc>
          <w:tcPr>
            <w:tcW w:type="dxa" w:w="7370"/>
            <w:shd w:fill="F0F5F7"/>
          </w:tcPr>
          <w:p>
            <w:pPr>
              <w:spacing w:after="100" w:before="80" w:line="252" w:lineRule="auto"/>
            </w:pPr>
            <w:r>
              <w:rPr>
                <w:sz w:val="19"/>
              </w:rPr>
              <w:t>Один XLSX: registry — 32 заданных поля, gaps — очередь непроверенного. Один DOCX: аналитическая карта покрытия и использования.</w:t>
            </w:r>
          </w:p>
        </w:tc>
      </w:tr>
    </w:tbl>
    <w:p>
      <w:pPr>
        <w:spacing w:after="0"/>
      </w:pPr>
    </w:p>
    <w:p>
      <w:r>
        <w:t>Из DR извлечены арабский Аристотель, переводческая сеть Хунайна–Исхака, арабо-сирийский Гален, Risāla, Fihrist, Theology of Aristotle и Book on the Pure Good. Входящие персидские и индийские линии, медицина, математика и астрономия оставлены частью задачи, но не поводом собирать всю литературу соответствующих цивилизаций. Bayt al-Ḥikma не использован как установленная единая академия или место создания всех переводов. Это рамка исходного DR, не новый исторический вывод.</w:t>
      </w:r>
    </w:p>
    <w:p>
      <w:r>
        <w:t>Веб-расширение искало отдельные сочинения, редакции, переводы, рукописные свидетели, цифровые тексты и пакеты данных. Доступ проверялся на страницах DGA, HUNAYNNET, QDL, университетских библиотек и репозиториев, издательств, NCBI Bookshelf, Project Gutenberg и Google Books. Библиографические сведения брались из карточек изданий, каталогов и научных описаний; права — из уведомлений конкретного объекта или явно применимого заявления проекта.</w:t>
      </w:r>
      <w:r>
        <w:t xml:space="preserve">  </w:t>
      </w:r>
      <w:hyperlink r:id="rId11">
        <w:r>
          <w:rPr>
            <w:color w:val="176373"/>
            <w:sz w:val="18"/>
          </w:rPr>
          <w:t>[R006]</w:t>
        </w:r>
      </w:hyperlink>
      <w:r>
        <w:t xml:space="preserve"> · </w:t>
      </w:r>
      <w:hyperlink r:id="rId12">
        <w:r>
          <w:rPr>
            <w:color w:val="176373"/>
            <w:sz w:val="18"/>
          </w:rPr>
          <w:t>[R007]</w:t>
        </w:r>
      </w:hyperlink>
      <w:r>
        <w:t xml:space="preserve"> · </w:t>
      </w:r>
      <w:hyperlink r:id="rId13">
        <w:r>
          <w:rPr>
            <w:color w:val="176373"/>
            <w:sz w:val="18"/>
          </w:rPr>
          <w:t>[R040]</w:t>
        </w:r>
      </w:hyperlink>
      <w:r>
        <w:t xml:space="preserve"> · </w:t>
      </w:r>
      <w:hyperlink r:id="rId14">
        <w:r>
          <w:rPr>
            <w:color w:val="176373"/>
            <w:sz w:val="18"/>
          </w:rPr>
          <w:t>[R041]</w:t>
        </w:r>
      </w:hyperlink>
      <w:r>
        <w:t xml:space="preserve"> · </w:t>
      </w:r>
      <w:hyperlink r:id="rId15">
        <w:r>
          <w:rPr>
            <w:color w:val="176373"/>
            <w:sz w:val="18"/>
          </w:rPr>
          <w:t>[R067]</w:t>
        </w:r>
      </w:hyperlink>
      <w:r>
        <w:t xml:space="preserve"> · </w:t>
      </w:r>
      <w:hyperlink r:id="rId16">
        <w:r>
          <w:rPr>
            <w:color w:val="176373"/>
            <w:sz w:val="18"/>
          </w:rPr>
          <w:t>[R068]</w:t>
        </w:r>
      </w:hyperlink>
      <w:r>
        <w:t xml:space="preserve"> · </w:t>
      </w:r>
      <w:hyperlink r:id="rId17">
        <w:r>
          <w:rPr>
            <w:color w:val="176373"/>
            <w:sz w:val="18"/>
          </w:rPr>
          <w:t>[R073]</w:t>
        </w:r>
      </w:hyperlink>
    </w:p>
    <w:p>
      <w:r>
        <w:t>Три уровня проверки не смешаны: открывшаяся карточка, реально видимый текст и успешно полученный файл. Несколько динамических читателей и крупных PDF были заявлены официальными источниками, но не выгружены инструментом. Это записано в verification_status; такие объекты не объявлены скачанными. Высокая rights_confidence может относиться к явной лицензии, даже когда загрузка технически не состоялась.</w:t>
      </w:r>
      <w:r>
        <w:t xml:space="preserve">  </w:t>
      </w:r>
      <w:hyperlink r:id="rId14">
        <w:r>
          <w:rPr>
            <w:color w:val="176373"/>
            <w:sz w:val="18"/>
          </w:rPr>
          <w:t>[R041]</w:t>
        </w:r>
      </w:hyperlink>
      <w:r>
        <w:t xml:space="preserve"> · </w:t>
      </w:r>
      <w:hyperlink r:id="rId16">
        <w:r>
          <w:rPr>
            <w:color w:val="176373"/>
            <w:sz w:val="18"/>
          </w:rPr>
          <w:t>[R068]</w:t>
        </w:r>
      </w:hyperlink>
      <w:r>
        <w:t xml:space="preserve"> · </w:t>
      </w:r>
      <w:hyperlink r:id="rId17">
        <w:r>
          <w:rPr>
            <w:color w:val="176373"/>
            <w:sz w:val="18"/>
          </w:rPr>
          <w:t>[R073]</w:t>
        </w:r>
      </w:hyperlink>
    </w:p>
    <w:p>
      <w:r>
        <w:t>Wikipedia не используется в итоговых ссылках, метаданных или доказательствах прав. Навигационные подсказки без достаточной проверки не повышены до установленных цифровых объектов: см. G022; у конкретных кандидатов указаны также G006, G007 и G014. Отсутствие проверенной страницы означает пробел доступа или идентификации, а не отсутствие произведения.</w:t>
      </w:r>
    </w:p>
    <w:p>
      <w:pPr>
        <w:pStyle w:val="Heading1"/>
      </w:pPr>
      <w:r>
        <w:t>2. Охват корпуса</w:t>
      </w:r>
    </w:p>
    <w:p>
      <w:pPr>
        <w:pStyle w:val="Heading2"/>
      </w:pPr>
      <w:r>
        <w:t>2.1. Что вошло и как считалось</w:t>
      </w:r>
    </w:p>
    <w:p>
      <w:r>
        <w:t>В registry находятся 73 записи. Из них 66 относятся к доступу к первичным текстам, их версиям, переводам, изданиям и свидетелям; ещё 7 — к инфраструктуре и необходимой библиографической навигации. Материальные записи сгруппированы для подсчёта в 46 групп произведений/корпусов. Это рабочий уровень, не окончательная библиографическая нормализация: антология ал-Кинди считается одной группой; пять версий «Категорий» — одним произведением; комментарии Галена к отдельным книгам «Эпидемик» — отдельными единицами покрытия.</w:t>
      </w:r>
    </w:p>
    <w:tbl>
      <w:tblPr>
        <w:tblW w:type="auto" w:w="0"/>
        <w:tblLayout w:type="fixed"/>
        <w:tblLook w:firstColumn="1" w:firstRow="1" w:lastColumn="0" w:lastRow="0" w:noHBand="0" w:noVBand="1" w:val="04A0"/>
      </w:tblPr>
      <w:tblGrid>
        <w:gridCol w:w="2891"/>
        <w:gridCol w:w="1020"/>
        <w:gridCol w:w="5726"/>
      </w:tblGrid>
      <w:tr>
        <w:trPr>
          <w:cantSplit/>
          <w:tblHeader/>
        </w:trPr>
        <w:tc>
          <w:tcPr>
            <w:tcW w:type="dxa" w:w="2891"/>
            <w:shd w:fill="123C48"/>
          </w:tcPr>
          <w:p>
            <w:pPr>
              <w:spacing w:after="100" w:before="80" w:line="252" w:lineRule="auto"/>
            </w:pPr>
            <w:r>
              <w:rPr>
                <w:b/>
                <w:color w:val="FFFFFF"/>
                <w:sz w:val="19"/>
              </w:rPr>
              <w:t>Роль в реестре</w:t>
            </w:r>
          </w:p>
        </w:tc>
        <w:tc>
          <w:tcPr>
            <w:tcW w:type="dxa" w:w="1020"/>
            <w:shd w:fill="123C48"/>
          </w:tcPr>
          <w:p>
            <w:pPr>
              <w:spacing w:after="100" w:before="80" w:line="252" w:lineRule="auto"/>
            </w:pPr>
            <w:r>
              <w:rPr>
                <w:b/>
                <w:color w:val="FFFFFF"/>
                <w:sz w:val="19"/>
              </w:rPr>
              <w:t>Записей</w:t>
            </w:r>
          </w:p>
        </w:tc>
        <w:tc>
          <w:tcPr>
            <w:tcW w:type="dxa" w:w="5726"/>
            <w:shd w:fill="123C48"/>
          </w:tcPr>
          <w:p>
            <w:pPr>
              <w:spacing w:after="100" w:before="80" w:line="252" w:lineRule="auto"/>
            </w:pPr>
            <w:r>
              <w:rPr>
                <w:b/>
                <w:color w:val="FFFFFF"/>
                <w:sz w:val="19"/>
              </w:rPr>
              <w:t>Содержательный смысл</w:t>
            </w:r>
          </w:p>
        </w:tc>
      </w:tr>
      <w:tr>
        <w:trPr>
          <w:cantSplit/>
        </w:trPr>
        <w:tc>
          <w:tcPr>
            <w:tcW w:type="dxa" w:w="2891"/>
            <w:shd w:fill="F0F5F7"/>
          </w:tcPr>
          <w:p>
            <w:pPr>
              <w:spacing w:after="100" w:before="80" w:line="252" w:lineRule="auto"/>
            </w:pPr>
            <w:r>
              <w:rPr>
                <w:sz w:val="19"/>
              </w:rPr>
              <w:t>core</w:t>
            </w:r>
          </w:p>
        </w:tc>
        <w:tc>
          <w:tcPr>
            <w:tcW w:type="dxa" w:w="1020"/>
            <w:shd w:fill="F0F5F7"/>
          </w:tcPr>
          <w:p>
            <w:pPr>
              <w:spacing w:after="100" w:before="80" w:line="252" w:lineRule="auto"/>
            </w:pPr>
            <w:r>
              <w:rPr>
                <w:sz w:val="19"/>
              </w:rPr>
              <w:t>24</w:t>
            </w:r>
          </w:p>
        </w:tc>
        <w:tc>
          <w:tcPr>
            <w:tcW w:type="dxa" w:w="5726"/>
            <w:shd w:fill="F0F5F7"/>
          </w:tcPr>
          <w:p>
            <w:pPr>
              <w:spacing w:after="100" w:before="80" w:line="252" w:lineRule="auto"/>
            </w:pPr>
            <w:r>
              <w:rPr>
                <w:sz w:val="19"/>
              </w:rPr>
              <w:t>Центральные переводные тексты и первичные метатексты.</w:t>
            </w:r>
          </w:p>
        </w:tc>
      </w:tr>
      <w:tr>
        <w:trPr>
          <w:cantSplit/>
        </w:trPr>
        <w:tc>
          <w:tcPr>
            <w:tcW w:type="dxa" w:w="2891"/>
            <w:shd w:fill="FFFFFF"/>
          </w:tcPr>
          <w:p>
            <w:pPr>
              <w:spacing w:after="100" w:before="80" w:line="252" w:lineRule="auto"/>
            </w:pPr>
            <w:r>
              <w:rPr>
                <w:sz w:val="19"/>
              </w:rPr>
              <w:t>same_corpus_or_tradition</w:t>
            </w:r>
          </w:p>
        </w:tc>
        <w:tc>
          <w:tcPr>
            <w:tcW w:type="dxa" w:w="1020"/>
            <w:shd w:fill="FFFFFF"/>
          </w:tcPr>
          <w:p>
            <w:pPr>
              <w:spacing w:after="100" w:before="80" w:line="252" w:lineRule="auto"/>
            </w:pPr>
            <w:r>
              <w:rPr>
                <w:sz w:val="19"/>
              </w:rPr>
              <w:t>13</w:t>
            </w:r>
          </w:p>
        </w:tc>
        <w:tc>
          <w:tcPr>
            <w:tcW w:type="dxa" w:w="5726"/>
            <w:shd w:fill="FFFFFF"/>
          </w:tcPr>
          <w:p>
            <w:pPr>
              <w:spacing w:after="100" w:before="80" w:line="252" w:lineRule="auto"/>
            </w:pPr>
            <w:r>
              <w:rPr>
                <w:sz w:val="19"/>
              </w:rPr>
              <w:t>Прямые корпусные родственники и сопоставимые версии.</w:t>
            </w:r>
          </w:p>
        </w:tc>
      </w:tr>
      <w:tr>
        <w:trPr>
          <w:cantSplit/>
        </w:trPr>
        <w:tc>
          <w:tcPr>
            <w:tcW w:type="dxa" w:w="2891"/>
            <w:shd w:fill="F0F5F7"/>
          </w:tcPr>
          <w:p>
            <w:pPr>
              <w:spacing w:after="100" w:before="80" w:line="252" w:lineRule="auto"/>
            </w:pPr>
            <w:r>
              <w:rPr>
                <w:sz w:val="19"/>
              </w:rPr>
              <w:t>antecedent</w:t>
            </w:r>
          </w:p>
        </w:tc>
        <w:tc>
          <w:tcPr>
            <w:tcW w:type="dxa" w:w="1020"/>
            <w:shd w:fill="F0F5F7"/>
          </w:tcPr>
          <w:p>
            <w:pPr>
              <w:spacing w:after="100" w:before="80" w:line="252" w:lineRule="auto"/>
            </w:pPr>
            <w:r>
              <w:rPr>
                <w:sz w:val="19"/>
              </w:rPr>
              <w:t>10</w:t>
            </w:r>
          </w:p>
        </w:tc>
        <w:tc>
          <w:tcPr>
            <w:tcW w:type="dxa" w:w="5726"/>
            <w:shd w:fill="F0F5F7"/>
          </w:tcPr>
          <w:p>
            <w:pPr>
              <w:spacing w:after="100" w:before="80" w:line="252" w:lineRule="auto"/>
            </w:pPr>
            <w:r>
              <w:rPr>
                <w:sz w:val="19"/>
              </w:rPr>
              <w:t>Ранние тексты и языковые слои; современные пути к ним.</w:t>
            </w:r>
          </w:p>
        </w:tc>
      </w:tr>
      <w:tr>
        <w:trPr>
          <w:cantSplit/>
        </w:trPr>
        <w:tc>
          <w:tcPr>
            <w:tcW w:type="dxa" w:w="2891"/>
            <w:shd w:fill="FFFFFF"/>
          </w:tcPr>
          <w:p>
            <w:pPr>
              <w:spacing w:after="100" w:before="80" w:line="252" w:lineRule="auto"/>
            </w:pPr>
            <w:r>
              <w:rPr>
                <w:sz w:val="19"/>
              </w:rPr>
              <w:t>continuation</w:t>
            </w:r>
          </w:p>
        </w:tc>
        <w:tc>
          <w:tcPr>
            <w:tcW w:type="dxa" w:w="1020"/>
            <w:shd w:fill="FFFFFF"/>
          </w:tcPr>
          <w:p>
            <w:pPr>
              <w:spacing w:after="100" w:before="80" w:line="252" w:lineRule="auto"/>
            </w:pPr>
            <w:r>
              <w:rPr>
                <w:sz w:val="19"/>
              </w:rPr>
              <w:t>1</w:t>
            </w:r>
          </w:p>
        </w:tc>
        <w:tc>
          <w:tcPr>
            <w:tcW w:type="dxa" w:w="5726"/>
            <w:shd w:fill="FFFFFF"/>
          </w:tcPr>
          <w:p>
            <w:pPr>
              <w:spacing w:after="100" w:before="80" w:line="252" w:lineRule="auto"/>
            </w:pPr>
            <w:r>
              <w:rPr>
                <w:sz w:val="19"/>
              </w:rPr>
              <w:t>Поздняя переводческая версия в той же линии.</w:t>
            </w:r>
          </w:p>
        </w:tc>
      </w:tr>
      <w:tr>
        <w:trPr>
          <w:cantSplit/>
        </w:trPr>
        <w:tc>
          <w:tcPr>
            <w:tcW w:type="dxa" w:w="2891"/>
            <w:shd w:fill="F0F5F7"/>
          </w:tcPr>
          <w:p>
            <w:pPr>
              <w:spacing w:after="100" w:before="80" w:line="252" w:lineRule="auto"/>
            </w:pPr>
            <w:r>
              <w:rPr>
                <w:sz w:val="19"/>
              </w:rPr>
              <w:t>commentary_or_reception</w:t>
            </w:r>
          </w:p>
        </w:tc>
        <w:tc>
          <w:tcPr>
            <w:tcW w:type="dxa" w:w="1020"/>
            <w:shd w:fill="F0F5F7"/>
          </w:tcPr>
          <w:p>
            <w:pPr>
              <w:spacing w:after="100" w:before="80" w:line="252" w:lineRule="auto"/>
            </w:pPr>
            <w:r>
              <w:rPr>
                <w:sz w:val="19"/>
              </w:rPr>
              <w:t>6</w:t>
            </w:r>
          </w:p>
        </w:tc>
        <w:tc>
          <w:tcPr>
            <w:tcW w:type="dxa" w:w="5726"/>
            <w:shd w:fill="F0F5F7"/>
          </w:tcPr>
          <w:p>
            <w:pPr>
              <w:spacing w:after="100" w:before="80" w:line="252" w:lineRule="auto"/>
            </w:pPr>
            <w:r>
              <w:rPr>
                <w:sz w:val="19"/>
              </w:rPr>
              <w:t>Именные комментарии и непосредственная переработка.</w:t>
            </w:r>
          </w:p>
        </w:tc>
      </w:tr>
      <w:tr>
        <w:trPr>
          <w:cantSplit/>
        </w:trPr>
        <w:tc>
          <w:tcPr>
            <w:tcW w:type="dxa" w:w="2891"/>
            <w:shd w:fill="FFFFFF"/>
          </w:tcPr>
          <w:p>
            <w:pPr>
              <w:spacing w:after="100" w:before="80" w:line="252" w:lineRule="auto"/>
            </w:pPr>
            <w:r>
              <w:rPr>
                <w:sz w:val="19"/>
              </w:rPr>
              <w:t>transmission_or_preservation</w:t>
            </w:r>
          </w:p>
        </w:tc>
        <w:tc>
          <w:tcPr>
            <w:tcW w:type="dxa" w:w="1020"/>
            <w:shd w:fill="FFFFFF"/>
          </w:tcPr>
          <w:p>
            <w:pPr>
              <w:spacing w:after="100" w:before="80" w:line="252" w:lineRule="auto"/>
            </w:pPr>
            <w:r>
              <w:rPr>
                <w:sz w:val="19"/>
              </w:rPr>
              <w:t>12</w:t>
            </w:r>
          </w:p>
        </w:tc>
        <w:tc>
          <w:tcPr>
            <w:tcW w:type="dxa" w:w="5726"/>
            <w:shd w:fill="FFFFFF"/>
          </w:tcPr>
          <w:p>
            <w:pPr>
              <w:spacing w:after="100" w:before="80" w:line="252" w:lineRule="auto"/>
            </w:pPr>
            <w:r>
              <w:rPr>
                <w:sz w:val="19"/>
              </w:rPr>
              <w:t>Издания, поздние источники сохранения, переводы и передача.</w:t>
            </w:r>
          </w:p>
        </w:tc>
      </w:tr>
      <w:tr>
        <w:trPr>
          <w:cantSplit/>
        </w:trPr>
        <w:tc>
          <w:tcPr>
            <w:tcW w:type="dxa" w:w="2891"/>
            <w:shd w:fill="F0F5F7"/>
          </w:tcPr>
          <w:p>
            <w:pPr>
              <w:spacing w:after="100" w:before="80" w:line="252" w:lineRule="auto"/>
            </w:pPr>
            <w:r>
              <w:rPr>
                <w:sz w:val="19"/>
              </w:rPr>
              <w:t>infrastructure / secondary_navigation</w:t>
            </w:r>
          </w:p>
        </w:tc>
        <w:tc>
          <w:tcPr>
            <w:tcW w:type="dxa" w:w="1020"/>
            <w:shd w:fill="F0F5F7"/>
          </w:tcPr>
          <w:p>
            <w:pPr>
              <w:spacing w:after="100" w:before="80" w:line="252" w:lineRule="auto"/>
            </w:pPr>
            <w:r>
              <w:rPr>
                <w:sz w:val="19"/>
              </w:rPr>
              <w:t>7</w:t>
            </w:r>
          </w:p>
        </w:tc>
        <w:tc>
          <w:tcPr>
            <w:tcW w:type="dxa" w:w="5726"/>
            <w:shd w:fill="F0F5F7"/>
          </w:tcPr>
          <w:p>
            <w:pPr>
              <w:spacing w:after="100" w:before="80" w:line="252" w:lineRule="auto"/>
            </w:pPr>
            <w:r>
              <w:rPr>
                <w:sz w:val="19"/>
              </w:rPr>
              <w:t>Корпуса, пакеты, каталоги и необходимая библиография.</w:t>
            </w:r>
          </w:p>
        </w:tc>
      </w:tr>
    </w:tbl>
    <w:p>
      <w:pPr>
        <w:spacing w:after="0"/>
      </w:pPr>
    </w:p>
    <w:p>
      <w:r>
        <w:t>Значения supporting и boundary не присваивались искусственно: каждому включённому объекту выбрана более содержательная роль. Более поздняя дата сама по себе не понижала релевантность. Эти количественные итоги описывают выполненный поиск, не долю от неизвестного общего числа всех греко-арабских переводов.</w:t>
      </w:r>
    </w:p>
    <w:p>
      <w:pPr>
        <w:pStyle w:val="Heading2"/>
      </w:pPr>
      <w:r>
        <w:t>2.2. Ядро и новые члены корпуса</w:t>
      </w:r>
    </w:p>
    <w:p>
      <w:r>
        <w:t>Логическое ядро разложено на «Категории», «Об истолковании», обе «Аналитики», «Топику», «Софистические опровержения», «Поэтику» и «Риторику», с «Исагогой» Порфирия как непосредственно связанным введением. Для «О душе» найден арабский цифровой текст; для «Физики» — современная книга VIII; ранние слои «Метафизики» доступны прежде всего внутри комментаторского сохранения. Это не заявление о найденном полном арабском собрании Аристотеля.</w:t>
      </w:r>
      <w:r>
        <w:t xml:space="preserve">  </w:t>
      </w:r>
      <w:hyperlink r:id="rId18">
        <w:r>
          <w:rPr>
            <w:color w:val="176373"/>
            <w:sz w:val="18"/>
          </w:rPr>
          <w:t>[R010]</w:t>
        </w:r>
      </w:hyperlink>
      <w:r>
        <w:t xml:space="preserve"> · </w:t>
      </w:r>
      <w:hyperlink r:id="rId19">
        <w:r>
          <w:rPr>
            <w:color w:val="176373"/>
            <w:sz w:val="18"/>
          </w:rPr>
          <w:t>[R011]</w:t>
        </w:r>
      </w:hyperlink>
      <w:r>
        <w:t xml:space="preserve"> · </w:t>
      </w:r>
      <w:hyperlink r:id="rId20">
        <w:r>
          <w:rPr>
            <w:color w:val="176373"/>
            <w:sz w:val="18"/>
          </w:rPr>
          <w:t>[R012]</w:t>
        </w:r>
      </w:hyperlink>
      <w:r>
        <w:t xml:space="preserve"> · </w:t>
      </w:r>
      <w:hyperlink r:id="rId21">
        <w:r>
          <w:rPr>
            <w:color w:val="176373"/>
            <w:sz w:val="18"/>
          </w:rPr>
          <w:t>[R014]</w:t>
        </w:r>
      </w:hyperlink>
      <w:r>
        <w:t xml:space="preserve"> · </w:t>
      </w:r>
      <w:hyperlink r:id="rId22">
        <w:r>
          <w:rPr>
            <w:color w:val="176373"/>
            <w:sz w:val="18"/>
          </w:rPr>
          <w:t>[R015]</w:t>
        </w:r>
      </w:hyperlink>
      <w:r>
        <w:t xml:space="preserve"> · </w:t>
      </w:r>
      <w:hyperlink r:id="rId23">
        <w:r>
          <w:rPr>
            <w:color w:val="176373"/>
            <w:sz w:val="18"/>
          </w:rPr>
          <w:t>[R016]</w:t>
        </w:r>
      </w:hyperlink>
      <w:r>
        <w:t xml:space="preserve"> · </w:t>
      </w:r>
      <w:hyperlink r:id="rId24">
        <w:r>
          <w:rPr>
            <w:color w:val="176373"/>
            <w:sz w:val="18"/>
          </w:rPr>
          <w:t>[R020]</w:t>
        </w:r>
      </w:hyperlink>
      <w:r>
        <w:t xml:space="preserve"> · </w:t>
      </w:r>
      <w:hyperlink r:id="rId25">
        <w:r>
          <w:rPr>
            <w:color w:val="176373"/>
            <w:sz w:val="18"/>
          </w:rPr>
          <w:t>[R025]</w:t>
        </w:r>
      </w:hyperlink>
      <w:r>
        <w:t xml:space="preserve"> · </w:t>
      </w:r>
      <w:hyperlink r:id="rId26">
        <w:r>
          <w:rPr>
            <w:color w:val="176373"/>
            <w:sz w:val="18"/>
          </w:rPr>
          <w:t>[R035]</w:t>
        </w:r>
      </w:hyperlink>
      <w:r>
        <w:t xml:space="preserve"> · </w:t>
      </w:r>
      <w:hyperlink r:id="rId27">
        <w:r>
          <w:rPr>
            <w:color w:val="176373"/>
            <w:sz w:val="18"/>
          </w:rPr>
          <w:t>[R038]</w:t>
        </w:r>
      </w:hyperlink>
      <w:r>
        <w:t xml:space="preserve"> · </w:t>
      </w:r>
      <w:hyperlink r:id="rId28">
        <w:r>
          <w:rPr>
            <w:color w:val="176373"/>
            <w:sz w:val="18"/>
          </w:rPr>
          <w:t>[R064]</w:t>
        </w:r>
      </w:hyperlink>
      <w:r>
        <w:t xml:space="preserve"> · </w:t>
      </w:r>
      <w:hyperlink r:id="rId29">
        <w:r>
          <w:rPr>
            <w:color w:val="176373"/>
            <w:sz w:val="18"/>
          </w:rPr>
          <w:t>[R065]</w:t>
        </w:r>
      </w:hyperlink>
      <w:r>
        <w:t xml:space="preserve"> · </w:t>
      </w:r>
      <w:hyperlink r:id="rId30">
        <w:r>
          <w:rPr>
            <w:color w:val="176373"/>
            <w:sz w:val="18"/>
          </w:rPr>
          <w:t>[R071]</w:t>
        </w:r>
      </w:hyperlink>
    </w:p>
    <w:p>
      <w:r>
        <w:t>Медицинское расширение добавило к Risāla собственный дополнительный каталог Хунайна, «Малое врачебное искусство», «О содержащих причинах», «Об элементах», «О различиях лихорадок», «Афоризмы» Гиппократа и конкретные комментарии Галена. Отдельно включены приписываемая Хунайну эпитома и заметки Ибн Ридвана — не как ещё один вариант Галена, а как связанные самостоятельные переработки.</w:t>
      </w:r>
      <w:r>
        <w:t xml:space="preserve">  </w:t>
      </w:r>
      <w:hyperlink r:id="rId31">
        <w:r>
          <w:rPr>
            <w:color w:val="176373"/>
            <w:sz w:val="18"/>
          </w:rPr>
          <w:t>[R001]</w:t>
        </w:r>
      </w:hyperlink>
      <w:r>
        <w:t xml:space="preserve"> · </w:t>
      </w:r>
      <w:hyperlink r:id="rId32">
        <w:r>
          <w:rPr>
            <w:color w:val="176373"/>
            <w:sz w:val="18"/>
          </w:rPr>
          <w:t>[R003]</w:t>
        </w:r>
      </w:hyperlink>
      <w:r>
        <w:t xml:space="preserve"> · </w:t>
      </w:r>
      <w:hyperlink r:id="rId33">
        <w:r>
          <w:rPr>
            <w:color w:val="176373"/>
            <w:sz w:val="18"/>
          </w:rPr>
          <w:t>[R027]</w:t>
        </w:r>
      </w:hyperlink>
      <w:r>
        <w:t xml:space="preserve"> · </w:t>
      </w:r>
      <w:hyperlink r:id="rId34">
        <w:r>
          <w:rPr>
            <w:color w:val="176373"/>
            <w:sz w:val="18"/>
          </w:rPr>
          <w:t>[R028]</w:t>
        </w:r>
      </w:hyperlink>
      <w:r>
        <w:t xml:space="preserve"> · </w:t>
      </w:r>
      <w:hyperlink r:id="rId35">
        <w:r>
          <w:rPr>
            <w:color w:val="176373"/>
            <w:sz w:val="18"/>
          </w:rPr>
          <w:t>[R029]</w:t>
        </w:r>
      </w:hyperlink>
      <w:r>
        <w:t xml:space="preserve"> · </w:t>
      </w:r>
      <w:hyperlink r:id="rId36">
        <w:r>
          <w:rPr>
            <w:color w:val="176373"/>
            <w:sz w:val="18"/>
          </w:rPr>
          <w:t>[R030]</w:t>
        </w:r>
      </w:hyperlink>
      <w:r>
        <w:t xml:space="preserve"> · </w:t>
      </w:r>
      <w:hyperlink r:id="rId37">
        <w:r>
          <w:rPr>
            <w:color w:val="176373"/>
            <w:sz w:val="18"/>
          </w:rPr>
          <w:t>[R052]</w:t>
        </w:r>
      </w:hyperlink>
      <w:r>
        <w:t xml:space="preserve"> · </w:t>
      </w:r>
      <w:hyperlink r:id="rId38">
        <w:r>
          <w:rPr>
            <w:color w:val="176373"/>
            <w:sz w:val="18"/>
          </w:rPr>
          <w:t>[R053]</w:t>
        </w:r>
      </w:hyperlink>
      <w:r>
        <w:t xml:space="preserve"> · </w:t>
      </w:r>
      <w:hyperlink r:id="rId39">
        <w:r>
          <w:rPr>
            <w:color w:val="176373"/>
            <w:sz w:val="18"/>
          </w:rPr>
          <w:t>[R054]</w:t>
        </w:r>
      </w:hyperlink>
      <w:r>
        <w:t xml:space="preserve"> · </w:t>
      </w:r>
      <w:hyperlink r:id="rId40">
        <w:r>
          <w:rPr>
            <w:color w:val="176373"/>
            <w:sz w:val="18"/>
          </w:rPr>
          <w:t>[R058]</w:t>
        </w:r>
      </w:hyperlink>
      <w:r>
        <w:t xml:space="preserve"> · </w:t>
      </w:r>
      <w:hyperlink r:id="rId41">
        <w:r>
          <w:rPr>
            <w:color w:val="176373"/>
            <w:sz w:val="18"/>
          </w:rPr>
          <w:t>[R059]</w:t>
        </w:r>
      </w:hyperlink>
      <w:r>
        <w:t xml:space="preserve"> · </w:t>
      </w:r>
      <w:hyperlink r:id="rId42">
        <w:r>
          <w:rPr>
            <w:color w:val="176373"/>
            <w:sz w:val="18"/>
          </w:rPr>
          <w:t>[R060]</w:t>
        </w:r>
      </w:hyperlink>
      <w:r>
        <w:t xml:space="preserve"> · </w:t>
      </w:r>
      <w:hyperlink r:id="rId43">
        <w:r>
          <w:rPr>
            <w:color w:val="176373"/>
            <w:sz w:val="18"/>
          </w:rPr>
          <w:t>[R061]</w:t>
        </w:r>
      </w:hyperlink>
    </w:p>
    <w:p>
      <w:r>
        <w:t>В естественно-научной и математической ветви найдены «О разуме» и две версии «О провидении» Александра Афродисийского, часть арабских «Коник», свидетель «Альмагеста», «Данные» Евклида, «Карастун» Сабита и прямой ответ Ибн ал-Хайсама на предложение Бану Мусы. Современный перевод «Книги хитроумных устройств» и каталог зи́джа ал-Хорезми сохранены, хотя свободные арабские основы для этих двух ветвей не установлены.</w:t>
      </w:r>
      <w:r>
        <w:t xml:space="preserve">  </w:t>
      </w:r>
      <w:hyperlink r:id="rId44">
        <w:r>
          <w:rPr>
            <w:color w:val="176373"/>
            <w:sz w:val="18"/>
          </w:rPr>
          <w:t>[R019]</w:t>
        </w:r>
      </w:hyperlink>
      <w:r>
        <w:t xml:space="preserve"> · </w:t>
      </w:r>
      <w:hyperlink r:id="rId14">
        <w:r>
          <w:rPr>
            <w:color w:val="176373"/>
            <w:sz w:val="18"/>
          </w:rPr>
          <w:t>[R041]</w:t>
        </w:r>
      </w:hyperlink>
      <w:r>
        <w:t xml:space="preserve"> · </w:t>
      </w:r>
      <w:hyperlink r:id="rId45">
        <w:r>
          <w:rPr>
            <w:color w:val="176373"/>
            <w:sz w:val="18"/>
          </w:rPr>
          <w:t>[R042]</w:t>
        </w:r>
      </w:hyperlink>
      <w:r>
        <w:t xml:space="preserve"> · </w:t>
      </w:r>
      <w:hyperlink r:id="rId46">
        <w:r>
          <w:rPr>
            <w:color w:val="176373"/>
            <w:sz w:val="18"/>
          </w:rPr>
          <w:t>[R043]</w:t>
        </w:r>
      </w:hyperlink>
      <w:r>
        <w:t xml:space="preserve"> · </w:t>
      </w:r>
      <w:hyperlink r:id="rId47">
        <w:r>
          <w:rPr>
            <w:color w:val="176373"/>
            <w:sz w:val="18"/>
          </w:rPr>
          <w:t>[R044]</w:t>
        </w:r>
      </w:hyperlink>
      <w:r>
        <w:t xml:space="preserve"> · </w:t>
      </w:r>
      <w:hyperlink r:id="rId48">
        <w:r>
          <w:rPr>
            <w:color w:val="176373"/>
            <w:sz w:val="18"/>
          </w:rPr>
          <w:t>[R047]</w:t>
        </w:r>
      </w:hyperlink>
      <w:r>
        <w:t xml:space="preserve"> · </w:t>
      </w:r>
      <w:hyperlink r:id="rId49">
        <w:r>
          <w:rPr>
            <w:color w:val="176373"/>
            <w:sz w:val="18"/>
          </w:rPr>
          <w:t>[R048]</w:t>
        </w:r>
      </w:hyperlink>
      <w:r>
        <w:t xml:space="preserve"> · </w:t>
      </w:r>
      <w:hyperlink r:id="rId50">
        <w:r>
          <w:rPr>
            <w:color w:val="176373"/>
            <w:sz w:val="18"/>
          </w:rPr>
          <w:t>[R049]</w:t>
        </w:r>
      </w:hyperlink>
      <w:r>
        <w:t xml:space="preserve"> · </w:t>
      </w:r>
      <w:hyperlink r:id="rId51">
        <w:r>
          <w:rPr>
            <w:color w:val="176373"/>
            <w:sz w:val="18"/>
          </w:rPr>
          <w:t>[R050]</w:t>
        </w:r>
      </w:hyperlink>
      <w:r>
        <w:t xml:space="preserve"> · </w:t>
      </w:r>
      <w:hyperlink r:id="rId52">
        <w:r>
          <w:rPr>
            <w:color w:val="176373"/>
            <w:sz w:val="18"/>
          </w:rPr>
          <w:t>[R051]</w:t>
        </w:r>
      </w:hyperlink>
    </w:p>
    <w:p>
      <w:pPr>
        <w:pStyle w:val="Heading2"/>
      </w:pPr>
      <w:r>
        <w:t>2.3. Поиск назад: конкретные предшественники</w:t>
      </w:r>
    </w:p>
    <w:p>
      <w:r>
        <w:t>Греческие Эннеады включены как исходный материал арабского Плотина, а не как замена Theology. Греческие «Категории» и сирийские версии той же книги позволяют сопоставлять переводные слои; сирийская «Исагога» связана с арабским введением в логику. Атрибуции HUNAYNNET сохранены, но даты отдельных сирийских версий не превращены в точные даты сохранившихся рукописей.</w:t>
      </w:r>
      <w:r>
        <w:t xml:space="preserve">  </w:t>
      </w:r>
      <w:hyperlink r:id="rId24">
        <w:r>
          <w:rPr>
            <w:color w:val="176373"/>
            <w:sz w:val="18"/>
          </w:rPr>
          <w:t>[R021]</w:t>
        </w:r>
      </w:hyperlink>
      <w:r>
        <w:t xml:space="preserve"> · </w:t>
      </w:r>
      <w:hyperlink r:id="rId24">
        <w:r>
          <w:rPr>
            <w:color w:val="176373"/>
            <w:sz w:val="18"/>
          </w:rPr>
          <w:t>[R022]</w:t>
        </w:r>
      </w:hyperlink>
      <w:r>
        <w:t xml:space="preserve"> · </w:t>
      </w:r>
      <w:hyperlink r:id="rId24">
        <w:r>
          <w:rPr>
            <w:color w:val="176373"/>
            <w:sz w:val="18"/>
          </w:rPr>
          <w:t>[R023]</w:t>
        </w:r>
      </w:hyperlink>
      <w:r>
        <w:t xml:space="preserve"> · </w:t>
      </w:r>
      <w:hyperlink r:id="rId24">
        <w:r>
          <w:rPr>
            <w:color w:val="176373"/>
            <w:sz w:val="18"/>
          </w:rPr>
          <w:t>[R024]</w:t>
        </w:r>
      </w:hyperlink>
      <w:r>
        <w:t xml:space="preserve"> · </w:t>
      </w:r>
      <w:hyperlink r:id="rId25">
        <w:r>
          <w:rPr>
            <w:color w:val="176373"/>
            <w:sz w:val="18"/>
          </w:rPr>
          <w:t>[R026]</w:t>
        </w:r>
      </w:hyperlink>
      <w:r>
        <w:t xml:space="preserve"> · </w:t>
      </w:r>
      <w:hyperlink r:id="rId53">
        <w:r>
          <w:rPr>
            <w:color w:val="176373"/>
            <w:sz w:val="18"/>
          </w:rPr>
          <w:t>[R066]</w:t>
        </w:r>
      </w:hyperlink>
    </w:p>
    <w:p>
      <w:r>
        <w:t>Ранняя арабская подборка «Афоризмов», сохранённая у ал-Якуби, представляет предшествующий/альтернативный слой в отношении версии Хунайна. «Калила и Димна» добавлена как конкретная персидско-индийская линия передачи в арабскую книжную культуру. Она не доказывает среднеперсидское или санскритское происхождение любого другого перевода движения. Утраченные промежуточные оригиналы не реконструировались.</w:t>
      </w:r>
      <w:r>
        <w:t xml:space="preserve">  </w:t>
      </w:r>
      <w:hyperlink r:id="rId41">
        <w:r>
          <w:rPr>
            <w:color w:val="176373"/>
            <w:sz w:val="18"/>
          </w:rPr>
          <w:t>[R059]</w:t>
        </w:r>
      </w:hyperlink>
      <w:r>
        <w:t xml:space="preserve"> · </w:t>
      </w:r>
      <w:hyperlink r:id="rId54">
        <w:r>
          <w:rPr>
            <w:color w:val="176373"/>
            <w:sz w:val="18"/>
          </w:rPr>
          <w:t>[R056]</w:t>
        </w:r>
      </w:hyperlink>
      <w:r>
        <w:t xml:space="preserve"> · </w:t>
      </w:r>
      <w:hyperlink r:id="rId55">
        <w:r>
          <w:rPr>
            <w:color w:val="176373"/>
            <w:sz w:val="18"/>
          </w:rPr>
          <w:t>[R069]</w:t>
        </w:r>
      </w:hyperlink>
      <w:r>
        <w:t xml:space="preserve"> · </w:t>
      </w:r>
      <w:hyperlink r:id="rId55">
        <w:r>
          <w:rPr>
            <w:color w:val="176373"/>
            <w:sz w:val="18"/>
          </w:rPr>
          <w:t>[R070]</w:t>
        </w:r>
      </w:hyperlink>
    </w:p>
    <w:p>
      <w:pPr>
        <w:pStyle w:val="Heading2"/>
      </w:pPr>
      <w:r>
        <w:t>2.4. Поиск вперёд: сохранение и рецепция</w:t>
      </w:r>
    </w:p>
    <w:p>
      <w:r>
        <w:t>Выход за X век представлен переводом «Софистических опровержений» Ибн Зуры, поэтикой Ибн Сины и Ибн Рушда, двумя типами комментария Ибн Рушда к «Метафизике», заметками Ибн Ридвана и ответом Ибн ал-Хайсама. Связь каждого объекта конкретна: новая версия того же сочинения, комментарий к нему или критика определённого положения.</w:t>
      </w:r>
      <w:r>
        <w:t xml:space="preserve">  </w:t>
      </w:r>
      <w:hyperlink r:id="rId56">
        <w:r>
          <w:rPr>
            <w:color w:val="176373"/>
            <w:sz w:val="18"/>
          </w:rPr>
          <w:t>[R013]</w:t>
        </w:r>
      </w:hyperlink>
      <w:r>
        <w:t xml:space="preserve"> · </w:t>
      </w:r>
      <w:hyperlink r:id="rId57">
        <w:r>
          <w:rPr>
            <w:color w:val="176373"/>
            <w:sz w:val="18"/>
          </w:rPr>
          <w:t>[R017]</w:t>
        </w:r>
      </w:hyperlink>
      <w:r>
        <w:t xml:space="preserve"> · </w:t>
      </w:r>
      <w:hyperlink r:id="rId58">
        <w:r>
          <w:rPr>
            <w:color w:val="176373"/>
            <w:sz w:val="18"/>
          </w:rPr>
          <w:t>[R018]</w:t>
        </w:r>
      </w:hyperlink>
      <w:r>
        <w:t xml:space="preserve"> · </w:t>
      </w:r>
      <w:hyperlink r:id="rId35">
        <w:r>
          <w:rPr>
            <w:color w:val="176373"/>
            <w:sz w:val="18"/>
          </w:rPr>
          <w:t>[R029]</w:t>
        </w:r>
      </w:hyperlink>
      <w:r>
        <w:t xml:space="preserve"> · </w:t>
      </w:r>
      <w:hyperlink r:id="rId59">
        <w:r>
          <w:rPr>
            <w:color w:val="176373"/>
            <w:sz w:val="18"/>
          </w:rPr>
          <w:t>[R036]</w:t>
        </w:r>
      </w:hyperlink>
      <w:r>
        <w:t xml:space="preserve"> · </w:t>
      </w:r>
      <w:hyperlink r:id="rId27">
        <w:r>
          <w:rPr>
            <w:color w:val="176373"/>
            <w:sz w:val="18"/>
          </w:rPr>
          <w:t>[R038]</w:t>
        </w:r>
      </w:hyperlink>
      <w:r>
        <w:t xml:space="preserve"> · </w:t>
      </w:r>
      <w:hyperlink r:id="rId46">
        <w:r>
          <w:rPr>
            <w:color w:val="176373"/>
            <w:sz w:val="18"/>
          </w:rPr>
          <w:t>[R043]</w:t>
        </w:r>
      </w:hyperlink>
    </w:p>
    <w:p>
      <w:r>
        <w:t>Fihrist, поздняя «История врачей» Ибн Аби Усайбиа и сокращение «Истории мудрецов» Ибн ал-Кифти дают разные стадии библиографической памяти. Латинский комментарий Фомы Аквинского включён только как прямое толкование Liber de causis; весь латинский аристотелизм в поиск не переносился. Современные русские и английские переводы относятся к доступу и передаче, а не к историческому ядру VIII–X веков.</w:t>
      </w:r>
      <w:r>
        <w:t xml:space="preserve">  </w:t>
      </w:r>
      <w:hyperlink r:id="rId60">
        <w:r>
          <w:rPr>
            <w:color w:val="176373"/>
            <w:sz w:val="18"/>
          </w:rPr>
          <w:t>[R004]</w:t>
        </w:r>
      </w:hyperlink>
      <w:r>
        <w:t xml:space="preserve"> · </w:t>
      </w:r>
      <w:hyperlink r:id="rId61">
        <w:r>
          <w:rPr>
            <w:color w:val="176373"/>
            <w:sz w:val="18"/>
          </w:rPr>
          <w:t>[R045]</w:t>
        </w:r>
      </w:hyperlink>
      <w:r>
        <w:t xml:space="preserve"> · </w:t>
      </w:r>
      <w:hyperlink r:id="rId62">
        <w:r>
          <w:rPr>
            <w:color w:val="176373"/>
            <w:sz w:val="18"/>
          </w:rPr>
          <w:t>[R046]</w:t>
        </w:r>
      </w:hyperlink>
      <w:r>
        <w:t xml:space="preserve"> · </w:t>
      </w:r>
      <w:hyperlink r:id="rId63">
        <w:r>
          <w:rPr>
            <w:color w:val="176373"/>
            <w:sz w:val="18"/>
          </w:rPr>
          <w:t>[R062]</w:t>
        </w:r>
      </w:hyperlink>
      <w:r>
        <w:t xml:space="preserve"> · </w:t>
      </w:r>
      <w:hyperlink r:id="rId16">
        <w:r>
          <w:rPr>
            <w:color w:val="176373"/>
            <w:sz w:val="18"/>
          </w:rPr>
          <w:t>[R068]</w:t>
        </w:r>
      </w:hyperlink>
      <w:r>
        <w:t xml:space="preserve"> · </w:t>
      </w:r>
      <w:hyperlink r:id="rId17">
        <w:r>
          <w:rPr>
            <w:color w:val="176373"/>
            <w:sz w:val="18"/>
          </w:rPr>
          <w:t>[R073]</w:t>
        </w:r>
      </w:hyperlink>
    </w:p>
    <w:p>
      <w:pPr>
        <w:pStyle w:val="Heading1"/>
      </w:pPr>
      <w:r>
        <w:t>3. Лучшие пути доступа</w:t>
      </w:r>
    </w:p>
    <w:p>
      <w:r>
        <w:t>Ниже «лучший» означает наиболее полезный среди проверенных путей для названной операции. Открытый файл не обязательно является лучшим критическим текстом; современное научное издание не обязательно разрешено зеркалировать. Непроверенные альтернативы остаются в gaps, а не скрываются оценочным выбором.</w:t>
      </w:r>
    </w:p>
    <w:p>
      <w:pPr>
        <w:pStyle w:val="Heading2"/>
      </w:pPr>
      <w:r>
        <w:t>3.1. Хунайн и переводческая библиография</w:t>
      </w:r>
    </w:p>
    <w:p>
      <w:r>
        <w:t>Для первого чтения Risāla удобна арабская версия DGA по Bergsträsser 1925; рядом находится отдельное дополнение о книгах Галена. Для современного арабо-английского издания сохранён Lamoreaux 2016 в Wellcome. Каталог подтверждает физический экземпляр на открытых полках, не удалённый электронный заём. Предлагаемый XML DGA полезен технически, но не получил автоматического разрешения на публичную переработку.</w:t>
      </w:r>
      <w:r>
        <w:t xml:space="preserve">  </w:t>
      </w:r>
      <w:hyperlink r:id="rId31">
        <w:r>
          <w:rPr>
            <w:color w:val="176373"/>
            <w:sz w:val="18"/>
          </w:rPr>
          <w:t>[R001]</w:t>
        </w:r>
      </w:hyperlink>
      <w:r>
        <w:t xml:space="preserve"> · </w:t>
      </w:r>
      <w:hyperlink r:id="rId64">
        <w:r>
          <w:rPr>
            <w:color w:val="176373"/>
            <w:sz w:val="18"/>
          </w:rPr>
          <w:t>[R002]</w:t>
        </w:r>
      </w:hyperlink>
      <w:r>
        <w:t xml:space="preserve"> · </w:t>
      </w:r>
      <w:hyperlink r:id="rId32">
        <w:r>
          <w:rPr>
            <w:color w:val="176373"/>
            <w:sz w:val="18"/>
          </w:rPr>
          <w:t>[R003]</w:t>
        </w:r>
      </w:hyperlink>
    </w:p>
    <w:p>
      <w:pPr>
        <w:pStyle w:val="Heading2"/>
      </w:pPr>
      <w:r>
        <w:t>3.2. Аристотель: оригинальные версии и чтение</w:t>
      </w:r>
    </w:p>
    <w:p>
      <w:r>
        <w:t>DGA предоставляет наиболее связный набор конкретных арабских текстов Organon и «О душе». Две редакции «Об истолковании» сохранены отдельно: Pollak 1913 и Badawi 1948 — разные издания, хотя переводная линия та же. Для сравнительного исследования «Категорий» и «Исагоги» предпочтителен HUNAYNNET с открыто лицензированными языковыми версиями.</w:t>
      </w:r>
      <w:r>
        <w:t xml:space="preserve">  </w:t>
      </w:r>
      <w:hyperlink r:id="rId18">
        <w:r>
          <w:rPr>
            <w:color w:val="176373"/>
            <w:sz w:val="18"/>
          </w:rPr>
          <w:t>[R010]</w:t>
        </w:r>
      </w:hyperlink>
      <w:r>
        <w:t xml:space="preserve"> · </w:t>
      </w:r>
      <w:hyperlink r:id="rId19">
        <w:r>
          <w:rPr>
            <w:color w:val="176373"/>
            <w:sz w:val="18"/>
          </w:rPr>
          <w:t>[R011]</w:t>
        </w:r>
      </w:hyperlink>
      <w:r>
        <w:t xml:space="preserve"> · </w:t>
      </w:r>
      <w:hyperlink r:id="rId20">
        <w:r>
          <w:rPr>
            <w:color w:val="176373"/>
            <w:sz w:val="18"/>
          </w:rPr>
          <w:t>[R012]</w:t>
        </w:r>
      </w:hyperlink>
      <w:r>
        <w:t xml:space="preserve"> · </w:t>
      </w:r>
      <w:hyperlink r:id="rId21">
        <w:r>
          <w:rPr>
            <w:color w:val="176373"/>
            <w:sz w:val="18"/>
          </w:rPr>
          <w:t>[R014]</w:t>
        </w:r>
      </w:hyperlink>
      <w:r>
        <w:t xml:space="preserve"> · </w:t>
      </w:r>
      <w:hyperlink r:id="rId22">
        <w:r>
          <w:rPr>
            <w:color w:val="176373"/>
            <w:sz w:val="18"/>
          </w:rPr>
          <w:t>[R015]</w:t>
        </w:r>
      </w:hyperlink>
      <w:r>
        <w:t xml:space="preserve"> · </w:t>
      </w:r>
      <w:hyperlink r:id="rId23">
        <w:r>
          <w:rPr>
            <w:color w:val="176373"/>
            <w:sz w:val="18"/>
          </w:rPr>
          <w:t>[R016]</w:t>
        </w:r>
      </w:hyperlink>
      <w:r>
        <w:t xml:space="preserve"> · </w:t>
      </w:r>
      <w:hyperlink r:id="rId24">
        <w:r>
          <w:rPr>
            <w:color w:val="176373"/>
            <w:sz w:val="18"/>
          </w:rPr>
          <w:t>[R020]</w:t>
        </w:r>
      </w:hyperlink>
      <w:r>
        <w:t xml:space="preserve"> · </w:t>
      </w:r>
      <w:hyperlink r:id="rId25">
        <w:r>
          <w:rPr>
            <w:color w:val="176373"/>
            <w:sz w:val="18"/>
          </w:rPr>
          <w:t>[R025]</w:t>
        </w:r>
      </w:hyperlink>
      <w:r>
        <w:t xml:space="preserve"> · </w:t>
      </w:r>
      <w:hyperlink r:id="rId28">
        <w:r>
          <w:rPr>
            <w:color w:val="176373"/>
            <w:sz w:val="18"/>
          </w:rPr>
          <w:t>[R064]</w:t>
        </w:r>
      </w:hyperlink>
      <w:r>
        <w:t xml:space="preserve"> · </w:t>
      </w:r>
      <w:hyperlink r:id="rId29">
        <w:r>
          <w:rPr>
            <w:color w:val="176373"/>
            <w:sz w:val="18"/>
          </w:rPr>
          <w:t>[R065]</w:t>
        </w:r>
      </w:hyperlink>
    </w:p>
    <w:p>
      <w:r>
        <w:t>Для «Риторики» открыт полный параллельный HTML с арабским текстом, греческим оригиналом и английским переводом Roberts 1924. Арабский слой опирается на Lyons и содержит новые чтения рукописи: это не правовая чистая копия древнего текста по умолчанию. В реестре арабский и английский слои разделены. Латинские издания, упомянутые в библиографии страницы, не объявлены доступными в читателе.</w:t>
      </w:r>
      <w:r>
        <w:t xml:space="preserve">  </w:t>
      </w:r>
      <w:hyperlink r:id="rId30">
        <w:r>
          <w:rPr>
            <w:color w:val="176373"/>
            <w:sz w:val="18"/>
          </w:rPr>
          <w:t>[R071]</w:t>
        </w:r>
      </w:hyperlink>
      <w:r>
        <w:t xml:space="preserve"> · </w:t>
      </w:r>
      <w:hyperlink r:id="rId30">
        <w:r>
          <w:rPr>
            <w:color w:val="176373"/>
            <w:sz w:val="18"/>
          </w:rPr>
          <w:t>[R072]</w:t>
        </w:r>
      </w:hyperlink>
    </w:p>
    <w:p>
      <w:r>
        <w:t>Для «Физики» сильный современный научный вариант — издание книги VIII 2021 года; вводные материалы доступны, основной критический текст требует институционального доступа. Для «Метафизики» бесплатный арабский вход — Большой комментарий Ибн Рушда в DARE, а скан ACO — только том II Bouyges. Английский перевод эпитомы Arnzen сохранён как защищённая научная альтернатива.</w:t>
      </w:r>
      <w:r>
        <w:t xml:space="preserve">  </w:t>
      </w:r>
      <w:hyperlink r:id="rId26">
        <w:r>
          <w:rPr>
            <w:color w:val="176373"/>
            <w:sz w:val="18"/>
          </w:rPr>
          <w:t>[R035]</w:t>
        </w:r>
      </w:hyperlink>
      <w:r>
        <w:t xml:space="preserve"> · </w:t>
      </w:r>
      <w:hyperlink r:id="rId59">
        <w:r>
          <w:rPr>
            <w:color w:val="176373"/>
            <w:sz w:val="18"/>
          </w:rPr>
          <w:t>[R036]</w:t>
        </w:r>
      </w:hyperlink>
      <w:r>
        <w:t xml:space="preserve"> · </w:t>
      </w:r>
      <w:hyperlink r:id="rId27">
        <w:r>
          <w:rPr>
            <w:color w:val="176373"/>
            <w:sz w:val="18"/>
          </w:rPr>
          <w:t>[R038]</w:t>
        </w:r>
      </w:hyperlink>
      <w:r>
        <w:t xml:space="preserve"> · </w:t>
      </w:r>
      <w:hyperlink r:id="rId65">
        <w:r>
          <w:rPr>
            <w:color w:val="176373"/>
            <w:sz w:val="18"/>
          </w:rPr>
          <w:t>[R039]</w:t>
        </w:r>
      </w:hyperlink>
    </w:p>
    <w:p>
      <w:pPr>
        <w:pStyle w:val="Heading2"/>
      </w:pPr>
      <w:r>
        <w:t>3.3. Гален, Гиппократ и медицинские переработки</w:t>
      </w:r>
    </w:p>
    <w:p>
      <w:r>
        <w:t>Для чтения арабского Галена доступны item-level тексты DGA, включая Ars medica, содержащие причины, элементы и комментарии к «Эпидемикам» I–II. Последние размещены в режиме чтения; защищённые современные издания не преобразованы в свободные датасеты. «О различиях лихорадок» доступно через университетскую диссертацию Wernhard, но права повторного использования PDF не выяснены.</w:t>
      </w:r>
      <w:r>
        <w:t xml:space="preserve">  </w:t>
      </w:r>
      <w:hyperlink r:id="rId33">
        <w:r>
          <w:rPr>
            <w:color w:val="176373"/>
            <w:sz w:val="18"/>
          </w:rPr>
          <w:t>[R027]</w:t>
        </w:r>
      </w:hyperlink>
      <w:r>
        <w:t xml:space="preserve"> · </w:t>
      </w:r>
      <w:hyperlink r:id="rId34">
        <w:r>
          <w:rPr>
            <w:color w:val="176373"/>
            <w:sz w:val="18"/>
          </w:rPr>
          <w:t>[R028]</w:t>
        </w:r>
      </w:hyperlink>
      <w:r>
        <w:t xml:space="preserve"> · </w:t>
      </w:r>
      <w:hyperlink r:id="rId37">
        <w:r>
          <w:rPr>
            <w:color w:val="176373"/>
            <w:sz w:val="18"/>
          </w:rPr>
          <w:t>[R052]</w:t>
        </w:r>
      </w:hyperlink>
      <w:r>
        <w:t xml:space="preserve"> · </w:t>
      </w:r>
      <w:hyperlink r:id="rId39">
        <w:r>
          <w:rPr>
            <w:color w:val="176373"/>
            <w:sz w:val="18"/>
          </w:rPr>
          <w:t>[R054]</w:t>
        </w:r>
      </w:hyperlink>
      <w:r>
        <w:t xml:space="preserve"> · </w:t>
      </w:r>
      <w:hyperlink r:id="rId42">
        <w:r>
          <w:rPr>
            <w:color w:val="176373"/>
            <w:sz w:val="18"/>
          </w:rPr>
          <w:t>[R060]</w:t>
        </w:r>
      </w:hyperlink>
      <w:r>
        <w:t xml:space="preserve"> · </w:t>
      </w:r>
      <w:hyperlink r:id="rId43">
        <w:r>
          <w:rPr>
            <w:color w:val="176373"/>
            <w:sz w:val="18"/>
          </w:rPr>
          <w:t>[R061]</w:t>
        </w:r>
      </w:hyperlink>
    </w:p>
    <w:p>
      <w:r>
        <w:t>Наиболее свободные проверенные медицинские текстовые слои — первая книга комментария Галена к «Афоризмам» в Manchester и заметки Ибн Ридвана в DGA: у обоих установлена CC BY 4.0. Это удобные кандидаты для атрибутированного размещения и индексации, но первый не покрывает все книги комментария, а второй не равен полному произведению Галена. Другие книги нужно проверять по отдельным DOI.</w:t>
      </w:r>
      <w:r>
        <w:t xml:space="preserve">  </w:t>
      </w:r>
      <w:hyperlink r:id="rId35">
        <w:r>
          <w:rPr>
            <w:color w:val="176373"/>
            <w:sz w:val="18"/>
          </w:rPr>
          <w:t>[R029]</w:t>
        </w:r>
      </w:hyperlink>
      <w:r>
        <w:t xml:space="preserve"> · </w:t>
      </w:r>
      <w:hyperlink r:id="rId36">
        <w:r>
          <w:rPr>
            <w:color w:val="176373"/>
            <w:sz w:val="18"/>
          </w:rPr>
          <w:t>[R030]</w:t>
        </w:r>
      </w:hyperlink>
    </w:p>
    <w:p>
      <w:pPr>
        <w:pStyle w:val="Heading2"/>
      </w:pPr>
      <w:r>
        <w:t>3.4. Арабский Плотин и Прокл</w:t>
      </w:r>
    </w:p>
    <w:p>
      <w:r>
        <w:t>Для арабской Theology найдено старое издание Dieterici 1882 в Google Books с предлагаемыми загрузками. Файл целиком не сопоставлялся с печатной пагинацией; сведения о числе страниц расходятся. Поэтому это полезный путь к изданию, но не доказанная безусловная основа зеркала. Современные издания соседних Plotiniana и полный перевод Lewis сохранены как конкретные пробелы G003–G005.</w:t>
      </w:r>
      <w:r>
        <w:t xml:space="preserve">  </w:t>
      </w:r>
      <w:hyperlink r:id="rId66">
        <w:r>
          <w:rPr>
            <w:color w:val="176373"/>
            <w:sz w:val="18"/>
          </w:rPr>
          <w:t>[R033]</w:t>
        </w:r>
      </w:hyperlink>
    </w:p>
    <w:p>
      <w:r>
        <w:t>Арабский Book on the Pure Good можно читать в DGA; там же доступны двадцать разделов Proclus Arabus по Endress. Ни один из этих путей не равен всему греческому корпусу Прокла. Русский Liber de causis на сайте ИФ РАН имеет явную CC BY-NC 4.0; PDF предлагался, но не был получен для сверки. Латинский комментарий Фомы открыт полностью, однако цифровая редакция заявляет защищённые права.</w:t>
      </w:r>
      <w:r>
        <w:t xml:space="preserve">  </w:t>
      </w:r>
      <w:hyperlink r:id="rId67">
        <w:r>
          <w:rPr>
            <w:color w:val="176373"/>
            <w:sz w:val="18"/>
          </w:rPr>
          <w:t>[R005]</w:t>
        </w:r>
      </w:hyperlink>
      <w:r>
        <w:t xml:space="preserve"> · </w:t>
      </w:r>
      <w:hyperlink r:id="rId68">
        <w:r>
          <w:rPr>
            <w:color w:val="176373"/>
            <w:sz w:val="18"/>
          </w:rPr>
          <w:t>[R034]</w:t>
        </w:r>
      </w:hyperlink>
      <w:r>
        <w:t xml:space="preserve"> · </w:t>
      </w:r>
      <w:hyperlink r:id="rId69">
        <w:r>
          <w:rPr>
            <w:color w:val="176373"/>
            <w:sz w:val="18"/>
          </w:rPr>
          <w:t>[R037]</w:t>
        </w:r>
      </w:hyperlink>
      <w:r>
        <w:t xml:space="preserve"> · </w:t>
      </w:r>
      <w:hyperlink r:id="rId62">
        <w:r>
          <w:rPr>
            <w:color w:val="176373"/>
            <w:sz w:val="18"/>
          </w:rPr>
          <w:t>[R046]</w:t>
        </w:r>
      </w:hyperlink>
      <w:r>
        <w:t xml:space="preserve"> · </w:t>
      </w:r>
      <w:hyperlink r:id="rId63">
        <w:r>
          <w:rPr>
            <w:color w:val="176373"/>
            <w:sz w:val="18"/>
          </w:rPr>
          <w:t>[R062]</w:t>
        </w:r>
      </w:hyperlink>
    </w:p>
    <w:p>
      <w:r>
        <w:t>Для чистого греческого основания наиболее полезен TEI Эннеад Volkmann в First1KGreek: лицензия CC BY-SA 4.0 указана внутри самого XML. Для старого английского чтения найден Guthrie, том II, в Project Gutenberg: это хронологические трактаты 22–33, не весь комплекс Эннеад IV–VI и тем более не перевод арабской Theology. Заявленный американский PD не перенесён на весь мир.</w:t>
      </w:r>
      <w:r>
        <w:t xml:space="preserve">  </w:t>
      </w:r>
      <w:hyperlink r:id="rId70">
        <w:r>
          <w:rPr>
            <w:color w:val="176373"/>
            <w:sz w:val="18"/>
          </w:rPr>
          <w:t>[R063]</w:t>
        </w:r>
      </w:hyperlink>
      <w:r>
        <w:t xml:space="preserve"> · </w:t>
      </w:r>
      <w:hyperlink r:id="rId53">
        <w:r>
          <w:rPr>
            <w:color w:val="176373"/>
            <w:sz w:val="18"/>
          </w:rPr>
          <w:t>[R066]</w:t>
        </w:r>
      </w:hyperlink>
    </w:p>
    <w:p>
      <w:pPr>
        <w:pStyle w:val="Heading2"/>
      </w:pPr>
      <w:r>
        <w:t>3.5. Fihrist и поздние источники сохранения</w:t>
      </w:r>
    </w:p>
    <w:p>
      <w:r>
        <w:t>Бесплатный арабский вход к Fihrist — DGA по Flügel. Современный научный ориентир — второе издание Ayman Fuʾad Sayyid 2014 на странице Al-Furqan: покупка и ознакомительные материалы. Английский Dodge 1970 найден как двухтомный физический экземпляр Wellcome. Ни каталог библиотеки, ни страница покупки не представлены как бесплатный полный электронный текст.</w:t>
      </w:r>
      <w:r>
        <w:t xml:space="preserve">  </w:t>
      </w:r>
      <w:hyperlink r:id="rId60">
        <w:r>
          <w:rPr>
            <w:color w:val="176373"/>
            <w:sz w:val="18"/>
          </w:rPr>
          <w:t>[R004]</w:t>
        </w:r>
      </w:hyperlink>
      <w:r>
        <w:t xml:space="preserve"> · </w:t>
      </w:r>
      <w:hyperlink r:id="rId71">
        <w:r>
          <w:rPr>
            <w:color w:val="176373"/>
            <w:sz w:val="18"/>
          </w:rPr>
          <w:t>[R031]</w:t>
        </w:r>
      </w:hyperlink>
      <w:r>
        <w:t xml:space="preserve"> · </w:t>
      </w:r>
      <w:hyperlink r:id="rId72">
        <w:r>
          <w:rPr>
            <w:color w:val="176373"/>
            <w:sz w:val="18"/>
          </w:rPr>
          <w:t>[R032]</w:t>
        </w:r>
      </w:hyperlink>
    </w:p>
    <w:p>
      <w:r>
        <w:t>У «Истории врачей» есть современное арабо-английское открытое издание Brill. Дополнительно сохранён NCBI Bookshelf для арабского тома 2.1: открылись оглавление и лицензия, а PDF и глава вернули ошибку получения. Старое арабское издание Lippert 1903 сокращения Ибн ал-Кифти в Halle имеет item-level Public Domain Mark; это перспективное факсимильное основание, но большой PDF фактически не выгружен.</w:t>
      </w:r>
      <w:r>
        <w:t xml:space="preserve">  </w:t>
      </w:r>
      <w:hyperlink r:id="rId61">
        <w:r>
          <w:rPr>
            <w:color w:val="176373"/>
            <w:sz w:val="18"/>
          </w:rPr>
          <w:t>[R045]</w:t>
        </w:r>
      </w:hyperlink>
      <w:r>
        <w:t xml:space="preserve"> · </w:t>
      </w:r>
      <w:hyperlink r:id="rId16">
        <w:r>
          <w:rPr>
            <w:color w:val="176373"/>
            <w:sz w:val="18"/>
          </w:rPr>
          <w:t>[R068]</w:t>
        </w:r>
      </w:hyperlink>
      <w:r>
        <w:t xml:space="preserve"> · </w:t>
      </w:r>
      <w:hyperlink r:id="rId17">
        <w:r>
          <w:rPr>
            <w:color w:val="176373"/>
            <w:sz w:val="18"/>
          </w:rPr>
          <w:t>[R073]</w:t>
        </w:r>
      </w:hyperlink>
    </w:p>
    <w:p>
      <w:pPr>
        <w:pStyle w:val="Heading2"/>
      </w:pPr>
      <w:r>
        <w:t>3.6. Рукописи, точные науки и входящие традиции</w:t>
      </w:r>
    </w:p>
    <w:p>
      <w:r>
        <w:t>QDL даёт четыре полезных факсимильных входа: Add MS 7474 с книгами I–VI «Альмагеста» (начало дефектно); IO Islamic 1249, ff. 1v–35r, с «Данными»; IO Islamic 1270, ff. 28r–32r, с ответом Ибн ал-Хайсама; IO Islamic 461, ff. 198v–207r, с «Карастуном». Это поздние физические свидетели, а не автографы переводчиков. Item-level статус PDM ограничен объектами карточек.</w:t>
      </w:r>
      <w:r>
        <w:t xml:space="preserve">  </w:t>
      </w:r>
      <w:hyperlink r:id="rId14">
        <w:r>
          <w:rPr>
            <w:color w:val="176373"/>
            <w:sz w:val="18"/>
          </w:rPr>
          <w:t>[R041]</w:t>
        </w:r>
      </w:hyperlink>
      <w:r>
        <w:t xml:space="preserve"> · </w:t>
      </w:r>
      <w:hyperlink r:id="rId45">
        <w:r>
          <w:rPr>
            <w:color w:val="176373"/>
            <w:sz w:val="18"/>
          </w:rPr>
          <w:t>[R042]</w:t>
        </w:r>
      </w:hyperlink>
      <w:r>
        <w:t xml:space="preserve"> · </w:t>
      </w:r>
      <w:hyperlink r:id="rId46">
        <w:r>
          <w:rPr>
            <w:color w:val="176373"/>
            <w:sz w:val="18"/>
          </w:rPr>
          <w:t>[R043]</w:t>
        </w:r>
      </w:hyperlink>
      <w:r>
        <w:t xml:space="preserve"> · </w:t>
      </w:r>
      <w:hyperlink r:id="rId47">
        <w:r>
          <w:rPr>
            <w:color w:val="176373"/>
            <w:sz w:val="18"/>
          </w:rPr>
          <w:t>[R044]</w:t>
        </w:r>
      </w:hyperlink>
    </w:p>
    <w:p>
      <w:r>
        <w:t>«Калила и Димна» имеет два разных преимущества доступа: выборочные сопоставления рукописей FU Berlin и официальный бесплатный арабский PDF LAL. Первый путь неоднороден по правам изображений, второй защищён copyright NYU; платная арабо-английская книга сохранена отдельно. Для Бану Мусы найден современный английский Hill, для зи́джа ал-Хорезми — каталог Huntington: это полезные законные маршруты, хотя не открытые оригинальные тексты.</w:t>
      </w:r>
      <w:r>
        <w:t xml:space="preserve">  </w:t>
      </w:r>
      <w:hyperlink r:id="rId51">
        <w:r>
          <w:rPr>
            <w:color w:val="176373"/>
            <w:sz w:val="18"/>
          </w:rPr>
          <w:t>[R050]</w:t>
        </w:r>
      </w:hyperlink>
      <w:r>
        <w:t xml:space="preserve"> · </w:t>
      </w:r>
      <w:hyperlink r:id="rId52">
        <w:r>
          <w:rPr>
            <w:color w:val="176373"/>
            <w:sz w:val="18"/>
          </w:rPr>
          <w:t>[R051]</w:t>
        </w:r>
      </w:hyperlink>
      <w:r>
        <w:t xml:space="preserve"> · </w:t>
      </w:r>
      <w:hyperlink r:id="rId54">
        <w:r>
          <w:rPr>
            <w:color w:val="176373"/>
            <w:sz w:val="18"/>
          </w:rPr>
          <w:t>[R056]</w:t>
        </w:r>
      </w:hyperlink>
      <w:r>
        <w:t xml:space="preserve"> · </w:t>
      </w:r>
      <w:hyperlink r:id="rId55">
        <w:r>
          <w:rPr>
            <w:color w:val="176373"/>
            <w:sz w:val="18"/>
          </w:rPr>
          <w:t>[R069]</w:t>
        </w:r>
      </w:hyperlink>
      <w:r>
        <w:t xml:space="preserve"> · </w:t>
      </w:r>
      <w:hyperlink r:id="rId55">
        <w:r>
          <w:rPr>
            <w:color w:val="176373"/>
            <w:sz w:val="18"/>
          </w:rPr>
          <w:t>[R070]</w:t>
        </w:r>
      </w:hyperlink>
    </w:p>
    <w:p>
      <w:pPr>
        <w:pStyle w:val="Heading2"/>
      </w:pPr>
      <w:r>
        <w:t>3.7. Машиночитаемые входы</w:t>
      </w:r>
    </w:p>
    <w:p>
      <w:r>
        <w:t>HUNAYNNET GitHub — один корпусный пакет с TEI и другими текстовыми представлениями, не множество независимых находок по числу файлов. First1KGreek зафиксирован отдельным Zenodo release от 5 августа 2026 года; он не назван последним и не весь относится к T2-08. Сильное разрешение в этом пакете верифицировано отдельно для греческих Эннеад. DGA XML и QDL IIIF оставлены как предлагаемые форматы, а не как проверенная выгрузка всего корпуса.</w:t>
      </w:r>
      <w:r>
        <w:t xml:space="preserve">  </w:t>
      </w:r>
      <w:hyperlink r:id="rId73">
        <w:r>
          <w:rPr>
            <w:color w:val="176373"/>
            <w:sz w:val="18"/>
          </w:rPr>
          <w:t>[R008]</w:t>
        </w:r>
      </w:hyperlink>
      <w:r>
        <w:t xml:space="preserve"> · </w:t>
      </w:r>
      <w:hyperlink r:id="rId53">
        <w:r>
          <w:rPr>
            <w:color w:val="176373"/>
            <w:sz w:val="18"/>
          </w:rPr>
          <w:t>[R066]</w:t>
        </w:r>
      </w:hyperlink>
      <w:r>
        <w:t xml:space="preserve"> · </w:t>
      </w:r>
      <w:hyperlink r:id="rId15">
        <w:r>
          <w:rPr>
            <w:color w:val="176373"/>
            <w:sz w:val="18"/>
          </w:rPr>
          <w:t>[R067]</w:t>
        </w:r>
      </w:hyperlink>
      <w:r>
        <w:t xml:space="preserve"> · </w:t>
      </w:r>
      <w:hyperlink r:id="rId14">
        <w:r>
          <w:rPr>
            <w:color w:val="176373"/>
            <w:sz w:val="18"/>
          </w:rPr>
          <w:t>[R041]</w:t>
        </w:r>
      </w:hyperlink>
    </w:p>
    <w:p>
      <w:pPr>
        <w:pStyle w:val="Heading1"/>
      </w:pPr>
      <w:r>
        <w:t>4. Карта прав и практического использования</w:t>
      </w:r>
    </w:p>
    <w:tbl>
      <w:tblPr>
        <w:tblW w:type="auto" w:w="0"/>
        <w:tblLayout w:type="fixed"/>
        <w:tblLook w:firstColumn="1" w:firstRow="1" w:lastColumn="0" w:lastRow="0" w:noHBand="0" w:noVBand="1" w:val="04A0"/>
      </w:tblPr>
      <w:tblGrid>
        <w:gridCol w:w="2268"/>
        <w:gridCol w:w="3969"/>
        <w:gridCol w:w="3402"/>
      </w:tblGrid>
      <w:tr>
        <w:trPr>
          <w:cantSplit/>
          <w:tblHeader/>
        </w:trPr>
        <w:tc>
          <w:tcPr>
            <w:tcW w:type="dxa" w:w="2268"/>
            <w:shd w:fill="123C48"/>
          </w:tcPr>
          <w:p>
            <w:pPr>
              <w:spacing w:after="100" w:before="80" w:line="252" w:lineRule="auto"/>
            </w:pPr>
            <w:r>
              <w:rPr>
                <w:b/>
                <w:color w:val="FFFFFF"/>
                <w:sz w:val="19"/>
              </w:rPr>
              <w:t>Группа</w:t>
            </w:r>
          </w:p>
        </w:tc>
        <w:tc>
          <w:tcPr>
            <w:tcW w:type="dxa" w:w="3969"/>
            <w:shd w:fill="123C48"/>
          </w:tcPr>
          <w:p>
            <w:pPr>
              <w:spacing w:after="100" w:before="80" w:line="252" w:lineRule="auto"/>
            </w:pPr>
            <w:r>
              <w:rPr>
                <w:b/>
                <w:color w:val="FFFFFF"/>
                <w:sz w:val="19"/>
              </w:rPr>
              <w:t>Что практически доступно ToS</w:t>
            </w:r>
          </w:p>
        </w:tc>
        <w:tc>
          <w:tcPr>
            <w:tcW w:type="dxa" w:w="3402"/>
            <w:shd w:fill="123C48"/>
          </w:tcPr>
          <w:p>
            <w:pPr>
              <w:spacing w:after="100" w:before="80" w:line="252" w:lineRule="auto"/>
            </w:pPr>
            <w:r>
              <w:rPr>
                <w:b/>
                <w:color w:val="FFFFFF"/>
                <w:sz w:val="19"/>
              </w:rPr>
              <w:t>Граница</w:t>
            </w:r>
          </w:p>
        </w:tc>
      </w:tr>
      <w:tr>
        <w:trPr>
          <w:cantSplit/>
        </w:trPr>
        <w:tc>
          <w:tcPr>
            <w:tcW w:type="dxa" w:w="2268"/>
            <w:shd w:fill="F0F5F7"/>
          </w:tcPr>
          <w:p>
            <w:pPr>
              <w:spacing w:after="100" w:before="80" w:line="252" w:lineRule="auto"/>
            </w:pPr>
            <w:r>
              <w:rPr>
                <w:sz w:val="19"/>
              </w:rPr>
              <w:t>CC BY 4.0</w:t>
            </w:r>
          </w:p>
        </w:tc>
        <w:tc>
          <w:tcPr>
            <w:tcW w:type="dxa" w:w="3969"/>
            <w:shd w:fill="F0F5F7"/>
          </w:tcPr>
          <w:p>
            <w:pPr>
              <w:spacing w:after="100" w:before="80" w:line="252" w:lineRule="auto"/>
            </w:pPr>
            <w:r>
              <w:rPr>
                <w:sz w:val="19"/>
              </w:rPr>
              <w:t>Атрибутированное размещение, текстовая обработка, собственный перевод открытого арабского слоя.</w:t>
            </w:r>
          </w:p>
        </w:tc>
        <w:tc>
          <w:tcPr>
            <w:tcW w:type="dxa" w:w="3402"/>
            <w:shd w:fill="F0F5F7"/>
          </w:tcPr>
          <w:p>
            <w:pPr>
              <w:spacing w:after="100" w:before="80" w:line="252" w:lineRule="auto"/>
            </w:pPr>
            <w:r>
              <w:rPr>
                <w:sz w:val="19"/>
              </w:rPr>
              <w:t>R029–R030: только конкретные тексты и представленная книга.</w:t>
            </w:r>
          </w:p>
        </w:tc>
      </w:tr>
      <w:tr>
        <w:trPr>
          <w:cantSplit/>
        </w:trPr>
        <w:tc>
          <w:tcPr>
            <w:tcW w:type="dxa" w:w="2268"/>
            <w:shd w:fill="FFFFFF"/>
          </w:tcPr>
          <w:p>
            <w:pPr>
              <w:spacing w:after="100" w:before="80" w:line="252" w:lineRule="auto"/>
            </w:pPr>
            <w:r>
              <w:rPr>
                <w:sz w:val="19"/>
              </w:rPr>
              <w:t>CC BY-NC-SA 4.0</w:t>
            </w:r>
          </w:p>
        </w:tc>
        <w:tc>
          <w:tcPr>
            <w:tcW w:type="dxa" w:w="3969"/>
            <w:shd w:fill="FFFFFF"/>
          </w:tcPr>
          <w:p>
            <w:pPr>
              <w:spacing w:after="100" w:before="80" w:line="252" w:lineRule="auto"/>
            </w:pPr>
            <w:r>
              <w:rPr>
                <w:sz w:val="19"/>
              </w:rPr>
              <w:t>Некоммерческое использование с атрибуцией; публикуемые адаптации — с совместимой ShareAlike.</w:t>
            </w:r>
          </w:p>
        </w:tc>
        <w:tc>
          <w:tcPr>
            <w:tcW w:type="dxa" w:w="3402"/>
            <w:shd w:fill="FFFFFF"/>
          </w:tcPr>
          <w:p>
            <w:pPr>
              <w:spacing w:after="100" w:before="80" w:line="252" w:lineRule="auto"/>
            </w:pPr>
            <w:r>
              <w:rPr>
                <w:sz w:val="19"/>
              </w:rPr>
              <w:t>Тексты HUNAYNNET, не интерфейс, фотографии и сторонние словари.</w:t>
            </w:r>
          </w:p>
        </w:tc>
      </w:tr>
      <w:tr>
        <w:trPr>
          <w:cantSplit/>
        </w:trPr>
        <w:tc>
          <w:tcPr>
            <w:tcW w:type="dxa" w:w="2268"/>
            <w:shd w:fill="F0F5F7"/>
          </w:tcPr>
          <w:p>
            <w:pPr>
              <w:spacing w:after="100" w:before="80" w:line="252" w:lineRule="auto"/>
            </w:pPr>
            <w:r>
              <w:rPr>
                <w:sz w:val="19"/>
              </w:rPr>
              <w:t>CC BY-NC 4.0</w:t>
            </w:r>
          </w:p>
        </w:tc>
        <w:tc>
          <w:tcPr>
            <w:tcW w:type="dxa" w:w="3969"/>
            <w:shd w:fill="F0F5F7"/>
          </w:tcPr>
          <w:p>
            <w:pPr>
              <w:spacing w:after="100" w:before="80" w:line="252" w:lineRule="auto"/>
            </w:pPr>
            <w:r>
              <w:rPr>
                <w:sz w:val="19"/>
              </w:rPr>
              <w:t>Некоммерческое размещение и переработка с атрибуцией и обозначением изменений.</w:t>
            </w:r>
          </w:p>
        </w:tc>
        <w:tc>
          <w:tcPr>
            <w:tcW w:type="dxa" w:w="3402"/>
            <w:shd w:fill="F0F5F7"/>
          </w:tcPr>
          <w:p>
            <w:pPr>
              <w:spacing w:after="100" w:before="80" w:line="252" w:lineRule="auto"/>
            </w:pPr>
            <w:r>
              <w:rPr>
                <w:sz w:val="19"/>
              </w:rPr>
              <w:t>R045–R046, R073; русский перевод не заменяет арабский исходник.</w:t>
            </w:r>
          </w:p>
        </w:tc>
      </w:tr>
      <w:tr>
        <w:trPr>
          <w:cantSplit/>
        </w:trPr>
        <w:tc>
          <w:tcPr>
            <w:tcW w:type="dxa" w:w="2268"/>
            <w:shd w:fill="FFFFFF"/>
          </w:tcPr>
          <w:p>
            <w:pPr>
              <w:spacing w:after="100" w:before="80" w:line="252" w:lineRule="auto"/>
            </w:pPr>
            <w:r>
              <w:rPr>
                <w:sz w:val="19"/>
              </w:rPr>
              <w:t>CC BY-SA 4.0</w:t>
            </w:r>
          </w:p>
        </w:tc>
        <w:tc>
          <w:tcPr>
            <w:tcW w:type="dxa" w:w="3969"/>
            <w:shd w:fill="FFFFFF"/>
          </w:tcPr>
          <w:p>
            <w:pPr>
              <w:spacing w:after="100" w:before="80" w:line="252" w:lineRule="auto"/>
            </w:pPr>
            <w:r>
              <w:rPr>
                <w:sz w:val="19"/>
              </w:rPr>
              <w:t>Атрибутированное переиспользование греческого TEI и адаптации с ShareAlike.</w:t>
            </w:r>
          </w:p>
        </w:tc>
        <w:tc>
          <w:tcPr>
            <w:tcW w:type="dxa" w:w="3402"/>
            <w:shd w:fill="FFFFFF"/>
          </w:tcPr>
          <w:p>
            <w:pPr>
              <w:spacing w:after="100" w:before="80" w:line="252" w:lineRule="auto"/>
            </w:pPr>
            <w:r>
              <w:rPr>
                <w:sz w:val="19"/>
              </w:rPr>
              <w:t>R066, не автоматически весь ZIP First1KGreek.</w:t>
            </w:r>
          </w:p>
        </w:tc>
      </w:tr>
      <w:tr>
        <w:trPr>
          <w:cantSplit/>
        </w:trPr>
        <w:tc>
          <w:tcPr>
            <w:tcW w:type="dxa" w:w="2268"/>
            <w:shd w:fill="F0F5F7"/>
          </w:tcPr>
          <w:p>
            <w:pPr>
              <w:spacing w:after="100" w:before="80" w:line="252" w:lineRule="auto"/>
            </w:pPr>
            <w:r>
              <w:rPr>
                <w:sz w:val="19"/>
              </w:rPr>
              <w:t>Public Domain Mark</w:t>
            </w:r>
          </w:p>
        </w:tc>
        <w:tc>
          <w:tcPr>
            <w:tcW w:type="dxa" w:w="3969"/>
            <w:shd w:fill="F0F5F7"/>
          </w:tcPr>
          <w:p>
            <w:pPr>
              <w:spacing w:after="100" w:before="80" w:line="252" w:lineRule="auto"/>
            </w:pPr>
            <w:r>
              <w:rPr>
                <w:sz w:val="19"/>
              </w:rPr>
              <w:t>Потенциальное зеркало факсимиле, OCR, индекс, перевод собственной транскрипции.</w:t>
            </w:r>
          </w:p>
        </w:tc>
        <w:tc>
          <w:tcPr>
            <w:tcW w:type="dxa" w:w="3402"/>
            <w:shd w:fill="F0F5F7"/>
          </w:tcPr>
          <w:p>
            <w:pPr>
              <w:spacing w:after="100" w:before="80" w:line="252" w:lineRule="auto"/>
            </w:pPr>
            <w:r>
              <w:rPr>
                <w:sz w:val="19"/>
              </w:rPr>
              <w:t>R041–R044 и R068; PDM — заявление о статусе, не лицензия.</w:t>
            </w:r>
          </w:p>
        </w:tc>
      </w:tr>
      <w:tr>
        <w:trPr>
          <w:cantSplit/>
        </w:trPr>
        <w:tc>
          <w:tcPr>
            <w:tcW w:type="dxa" w:w="2268"/>
            <w:shd w:fill="FFFFFF"/>
          </w:tcPr>
          <w:p>
            <w:pPr>
              <w:spacing w:after="100" w:before="80" w:line="252" w:lineRule="auto"/>
            </w:pPr>
            <w:r>
              <w:rPr>
                <w:sz w:val="19"/>
              </w:rPr>
              <w:t>Неясные или защищённые права</w:t>
            </w:r>
          </w:p>
        </w:tc>
        <w:tc>
          <w:tcPr>
            <w:tcW w:type="dxa" w:w="3969"/>
            <w:shd w:fill="FFFFFF"/>
          </w:tcPr>
          <w:p>
            <w:pPr>
              <w:spacing w:after="100" w:before="80" w:line="252" w:lineRule="auto"/>
            </w:pPr>
            <w:r>
              <w:rPr>
                <w:sz w:val="19"/>
              </w:rPr>
              <w:t>Ссылки, штатное чтение, предусмотренная загрузка, покупка, каталог/доступ на месте.</w:t>
            </w:r>
          </w:p>
        </w:tc>
        <w:tc>
          <w:tcPr>
            <w:tcW w:type="dxa" w:w="3402"/>
            <w:shd w:fill="FFFFFF"/>
          </w:tcPr>
          <w:p>
            <w:pPr>
              <w:spacing w:after="100" w:before="80" w:line="252" w:lineRule="auto"/>
            </w:pPr>
            <w:r>
              <w:rPr>
                <w:sz w:val="19"/>
              </w:rPr>
              <w:t>Не добавлять зеркалирование, публичный индекс и embeddings без основания.</w:t>
            </w:r>
          </w:p>
        </w:tc>
      </w:tr>
    </w:tbl>
    <w:p>
      <w:pPr>
        <w:spacing w:after="0"/>
      </w:pPr>
    </w:p>
    <w:p>
      <w:r>
        <w:t>Положительные теги разрешают только указанное действие в пределах rights_scope и coverage. OCR_OK относится к получению текста из конкретного разрешённого факсимиле; FULLTEXT_INDEX_OK — к индексации лицензированного текстового слоя; EMBEDDINGS_OK — к его обработке в обозначенном режиме. Это три разных решения, не универсальная лицензия на весь сайт, автоматический сбор данных или обучение любых моделей.</w:t>
      </w:r>
    </w:p>
    <w:p>
      <w:r>
        <w:t>В 20 записях отмечено ограниченное условиями переиспользование: 18 относятся к материалам, ещё две — к текстовой инфраструктуре HUNAYNNET. Они частично перекрываются: лицензированный пакет и входы к его версиям нельзя складывать как независимые корпуса. Наиболее свободные по отсутствию NC ограничения — два медицинских текста CC BY, греческий TEI CC BY-SA и отмеченные PDM факсимиле.</w:t>
      </w:r>
      <w:r>
        <w:t xml:space="preserve">  </w:t>
      </w:r>
      <w:hyperlink r:id="rId12">
        <w:r>
          <w:rPr>
            <w:color w:val="176373"/>
            <w:sz w:val="18"/>
          </w:rPr>
          <w:t>[R007]</w:t>
        </w:r>
      </w:hyperlink>
      <w:r>
        <w:t xml:space="preserve"> · </w:t>
      </w:r>
      <w:hyperlink r:id="rId73">
        <w:r>
          <w:rPr>
            <w:color w:val="176373"/>
            <w:sz w:val="18"/>
          </w:rPr>
          <w:t>[R008]</w:t>
        </w:r>
      </w:hyperlink>
      <w:r>
        <w:t xml:space="preserve"> · </w:t>
      </w:r>
      <w:hyperlink r:id="rId35">
        <w:r>
          <w:rPr>
            <w:color w:val="176373"/>
            <w:sz w:val="18"/>
          </w:rPr>
          <w:t>[R029]</w:t>
        </w:r>
      </w:hyperlink>
      <w:r>
        <w:t xml:space="preserve"> · </w:t>
      </w:r>
      <w:hyperlink r:id="rId36">
        <w:r>
          <w:rPr>
            <w:color w:val="176373"/>
            <w:sz w:val="18"/>
          </w:rPr>
          <w:t>[R030]</w:t>
        </w:r>
      </w:hyperlink>
      <w:r>
        <w:t xml:space="preserve"> · </w:t>
      </w:r>
      <w:hyperlink r:id="rId53">
        <w:r>
          <w:rPr>
            <w:color w:val="176373"/>
            <w:sz w:val="18"/>
          </w:rPr>
          <w:t>[R066]</w:t>
        </w:r>
      </w:hyperlink>
      <w:r>
        <w:t xml:space="preserve"> · </w:t>
      </w:r>
      <w:hyperlink r:id="rId16">
        <w:r>
          <w:rPr>
            <w:color w:val="176373"/>
            <w:sz w:val="18"/>
          </w:rPr>
          <w:t>[R068]</w:t>
        </w:r>
      </w:hyperlink>
    </w:p>
    <w:p>
      <w:r>
        <w:t>Группа с подтверждённым условием NoDerivatives не выявлена; это не означает, что все прочие страницы разрешают адаптации. Для unknown/review действует отсутствие положительного вывода. У LAL бесплатность арабского PDF подтверждена, но copyright остаётся; у DGA наличие Download XML не служит самостоятельной лицензией. Protected-ветви не исключены из реестра, поскольку внешнее чтение и покупка ценны сами по себе.</w:t>
      </w:r>
      <w:r>
        <w:t xml:space="preserve">  </w:t>
      </w:r>
      <w:hyperlink r:id="rId11">
        <w:r>
          <w:rPr>
            <w:color w:val="176373"/>
            <w:sz w:val="18"/>
          </w:rPr>
          <w:t>[R006]</w:t>
        </w:r>
      </w:hyperlink>
      <w:r>
        <w:t xml:space="preserve"> · </w:t>
      </w:r>
      <w:hyperlink r:id="rId55">
        <w:r>
          <w:rPr>
            <w:color w:val="176373"/>
            <w:sz w:val="18"/>
          </w:rPr>
          <w:t>[R069]</w:t>
        </w:r>
      </w:hyperlink>
    </w:p>
    <w:p>
      <w:r>
        <w:t>Собственный перевод ToS имеет конкретную чистую основу в лицензированных арабских/сирийских/греческих текстах HUNAYNNET, медицинских текстах CC BY, арабском открытом издании Ибн Аби Усайбиа, греческих Эннеадах и обозначенных PDM свидетелях. Перевод факсимиле требует собственной транскрипции и филологической проверки. Ни русский перевод Pure Good, ни современный защищённый английский перевод, ни неустановленный реконструированный арабский текст не стали безусловным основанием нового перевода.</w:t>
      </w:r>
      <w:r>
        <w:t xml:space="preserve">  </w:t>
      </w:r>
      <w:hyperlink r:id="rId24">
        <w:r>
          <w:rPr>
            <w:color w:val="176373"/>
            <w:sz w:val="18"/>
          </w:rPr>
          <w:t>[R020]</w:t>
        </w:r>
      </w:hyperlink>
      <w:r>
        <w:t xml:space="preserve"> · </w:t>
      </w:r>
      <w:hyperlink r:id="rId25">
        <w:r>
          <w:rPr>
            <w:color w:val="176373"/>
            <w:sz w:val="18"/>
          </w:rPr>
          <w:t>[R025]</w:t>
        </w:r>
      </w:hyperlink>
      <w:r>
        <w:t xml:space="preserve"> · </w:t>
      </w:r>
      <w:hyperlink r:id="rId35">
        <w:r>
          <w:rPr>
            <w:color w:val="176373"/>
            <w:sz w:val="18"/>
          </w:rPr>
          <w:t>[R029]</w:t>
        </w:r>
      </w:hyperlink>
      <w:r>
        <w:t xml:space="preserve"> · </w:t>
      </w:r>
      <w:hyperlink r:id="rId36">
        <w:r>
          <w:rPr>
            <w:color w:val="176373"/>
            <w:sz w:val="18"/>
          </w:rPr>
          <w:t>[R030]</w:t>
        </w:r>
      </w:hyperlink>
      <w:r>
        <w:t xml:space="preserve"> · </w:t>
      </w:r>
      <w:hyperlink r:id="rId14">
        <w:r>
          <w:rPr>
            <w:color w:val="176373"/>
            <w:sz w:val="18"/>
          </w:rPr>
          <w:t>[R041]</w:t>
        </w:r>
      </w:hyperlink>
      <w:r>
        <w:t xml:space="preserve"> · </w:t>
      </w:r>
      <w:hyperlink r:id="rId61">
        <w:r>
          <w:rPr>
            <w:color w:val="176373"/>
            <w:sz w:val="18"/>
          </w:rPr>
          <w:t>[R045]</w:t>
        </w:r>
      </w:hyperlink>
      <w:r>
        <w:t xml:space="preserve"> · </w:t>
      </w:r>
      <w:hyperlink r:id="rId62">
        <w:r>
          <w:rPr>
            <w:color w:val="176373"/>
            <w:sz w:val="18"/>
          </w:rPr>
          <w:t>[R046]</w:t>
        </w:r>
      </w:hyperlink>
      <w:r>
        <w:t xml:space="preserve"> · </w:t>
      </w:r>
      <w:hyperlink r:id="rId53">
        <w:r>
          <w:rPr>
            <w:color w:val="176373"/>
            <w:sz w:val="18"/>
          </w:rPr>
          <w:t>[R066]</w:t>
        </w:r>
      </w:hyperlink>
      <w:r>
        <w:t xml:space="preserve"> · </w:t>
      </w:r>
      <w:hyperlink r:id="rId16">
        <w:r>
          <w:rPr>
            <w:color w:val="176373"/>
            <w:sz w:val="18"/>
          </w:rPr>
          <w:t>[R068]</w:t>
        </w:r>
      </w:hyperlink>
      <w:r>
        <w:t xml:space="preserve"> · </w:t>
      </w:r>
      <w:hyperlink r:id="rId17">
        <w:r>
          <w:rPr>
            <w:color w:val="176373"/>
            <w:sz w:val="18"/>
          </w:rPr>
          <w:t>[R073]</w:t>
        </w:r>
      </w:hyperlink>
    </w:p>
    <w:p>
      <w:pPr>
        <w:pStyle w:val="Heading1"/>
      </w:pPr>
      <w:r>
        <w:t>5. Характерные правовые и текстологические тонкости</w:t>
      </w:r>
    </w:p>
    <w:p>
      <w:pPr>
        <w:pStyle w:val="Heading2"/>
      </w:pPr>
      <w:r>
        <w:t>5.1. Древний текст и современная научная работа</w:t>
      </w:r>
    </w:p>
    <w:p>
      <w:r>
        <w:t>Главный повторяющийся риск — перенос древности оригинала на нынешнюю реконструкцию, перевод или аппарат. Арабская «Риторика» BP включает современные чтения; «Физика» VIII и комментарии к «Эпидемикам» представлены современными научными изданиями. Даже старое печатное издание и его нынешняя цифровая копия — разные слои. В отчёте они не объединены общим словом «свободно».</w:t>
      </w:r>
      <w:r>
        <w:t xml:space="preserve">  </w:t>
      </w:r>
      <w:hyperlink r:id="rId26">
        <w:r>
          <w:rPr>
            <w:color w:val="176373"/>
            <w:sz w:val="18"/>
          </w:rPr>
          <w:t>[R035]</w:t>
        </w:r>
      </w:hyperlink>
      <w:r>
        <w:t xml:space="preserve"> · </w:t>
      </w:r>
      <w:hyperlink r:id="rId42">
        <w:r>
          <w:rPr>
            <w:color w:val="176373"/>
            <w:sz w:val="18"/>
          </w:rPr>
          <w:t>[R060]</w:t>
        </w:r>
      </w:hyperlink>
      <w:r>
        <w:t xml:space="preserve"> · </w:t>
      </w:r>
      <w:hyperlink r:id="rId43">
        <w:r>
          <w:rPr>
            <w:color w:val="176373"/>
            <w:sz w:val="18"/>
          </w:rPr>
          <w:t>[R061]</w:t>
        </w:r>
      </w:hyperlink>
      <w:r>
        <w:t xml:space="preserve"> · </w:t>
      </w:r>
      <w:hyperlink r:id="rId30">
        <w:r>
          <w:rPr>
            <w:color w:val="176373"/>
            <w:sz w:val="18"/>
          </w:rPr>
          <w:t>[R071]</w:t>
        </w:r>
      </w:hyperlink>
    </w:p>
    <w:p>
      <w:pPr>
        <w:pStyle w:val="Heading2"/>
      </w:pPr>
      <w:r>
        <w:t>5.2. Объект, контейнер и будущий релиз</w:t>
      </w:r>
    </w:p>
    <w:p>
      <w:r>
        <w:t>Кнопка QDL Download PDF может вести к целому кодексу, в то время как изученная карточка описывает один трактат на определённых листах. Поэтому разрешение по этой записи не расширено на соседние произведения. У HUNAYNNET объявленные или находящиеся в работе Simple Drugs и недостающие языковые версии не считаются готовыми только потому, что название уже стоит на портале.</w:t>
      </w:r>
      <w:r>
        <w:t xml:space="preserve">  </w:t>
      </w:r>
      <w:hyperlink r:id="rId73">
        <w:r>
          <w:rPr>
            <w:color w:val="176373"/>
            <w:sz w:val="18"/>
          </w:rPr>
          <w:t>[R008]</w:t>
        </w:r>
      </w:hyperlink>
      <w:r>
        <w:t xml:space="preserve"> · </w:t>
      </w:r>
      <w:hyperlink r:id="rId45">
        <w:r>
          <w:rPr>
            <w:color w:val="176373"/>
            <w:sz w:val="18"/>
          </w:rPr>
          <w:t>[R042]</w:t>
        </w:r>
      </w:hyperlink>
      <w:r>
        <w:t xml:space="preserve"> · </w:t>
      </w:r>
      <w:hyperlink r:id="rId46">
        <w:r>
          <w:rPr>
            <w:color w:val="176373"/>
            <w:sz w:val="18"/>
          </w:rPr>
          <w:t>[R043]</w:t>
        </w:r>
      </w:hyperlink>
      <w:r>
        <w:t xml:space="preserve"> · </w:t>
      </w:r>
      <w:hyperlink r:id="rId47">
        <w:r>
          <w:rPr>
            <w:color w:val="176373"/>
            <w:sz w:val="18"/>
          </w:rPr>
          <w:t>[R044]</w:t>
        </w:r>
      </w:hyperlink>
    </w:p>
    <w:p>
      <w:r>
        <w:t>В проекте FU Berlin правовой режим изображений зависит от конкретной библиотеки и рукописи. Локальное CC-уведомление одного свидетеля не покрывает все сопоставления. Аналогично лицензия кода или общий LICENSE репозитория не подменяют проверку данных и вложенного исходного издания.</w:t>
      </w:r>
      <w:r>
        <w:t xml:space="preserve">  </w:t>
      </w:r>
      <w:hyperlink r:id="rId54">
        <w:r>
          <w:rPr>
            <w:color w:val="176373"/>
            <w:sz w:val="18"/>
          </w:rPr>
          <w:t>[R056]</w:t>
        </w:r>
      </w:hyperlink>
      <w:r>
        <w:t xml:space="preserve"> · </w:t>
      </w:r>
      <w:hyperlink r:id="rId15">
        <w:r>
          <w:rPr>
            <w:color w:val="176373"/>
            <w:sz w:val="18"/>
          </w:rPr>
          <w:t>[R067]</w:t>
        </w:r>
      </w:hyperlink>
    </w:p>
    <w:p>
      <w:pPr>
        <w:pStyle w:val="Heading2"/>
      </w:pPr>
      <w:r>
        <w:t>5.3. Ошибки метаданных и пределы уверенности</w:t>
      </w:r>
    </w:p>
    <w:p>
      <w:r>
        <w:t>Сохранены обнаруженные расхождения: дата Fihrist в DGA не согласуется с датой составления, отражённой в тексте; у De anima расходятся обозначения переводчика; у QDL Data поле языка/письма противоречит арабскому заголовку и описанию. В основной записи приняты осторожные формулировки, а конфликт не спрятан. Уверенность в лицензии не удостоверяет автоматически историческую атрибуцию.</w:t>
      </w:r>
      <w:r>
        <w:t xml:space="preserve">  </w:t>
      </w:r>
      <w:hyperlink r:id="rId60">
        <w:r>
          <w:rPr>
            <w:color w:val="176373"/>
            <w:sz w:val="18"/>
          </w:rPr>
          <w:t>[R004]</w:t>
        </w:r>
      </w:hyperlink>
      <w:r>
        <w:t xml:space="preserve"> · </w:t>
      </w:r>
      <w:hyperlink r:id="rId18">
        <w:r>
          <w:rPr>
            <w:color w:val="176373"/>
            <w:sz w:val="18"/>
          </w:rPr>
          <w:t>[R010]</w:t>
        </w:r>
      </w:hyperlink>
      <w:r>
        <w:t xml:space="preserve"> · </w:t>
      </w:r>
      <w:hyperlink r:id="rId45">
        <w:r>
          <w:rPr>
            <w:color w:val="176373"/>
            <w:sz w:val="18"/>
          </w:rPr>
          <w:t>[R042]</w:t>
        </w:r>
      </w:hyperlink>
    </w:p>
    <w:p>
      <w:r>
        <w:t>Public Domain Mark назван именно отметкой статуса. Project Gutenberg прямо ограничивает своё PD-заявление США; за его пределами в реестре оставлена юрисдикционная проверка. Для старых изданий без явного применимого уведомления использован вывод о возрасте печатного слоя, а не выдуманная цифровая лицензия.</w:t>
      </w:r>
      <w:r>
        <w:t xml:space="preserve">  </w:t>
      </w:r>
      <w:hyperlink r:id="rId66">
        <w:r>
          <w:rPr>
            <w:color w:val="176373"/>
            <w:sz w:val="18"/>
          </w:rPr>
          <w:t>[R033]</w:t>
        </w:r>
      </w:hyperlink>
      <w:r>
        <w:t xml:space="preserve"> · </w:t>
      </w:r>
      <w:hyperlink r:id="rId70">
        <w:r>
          <w:rPr>
            <w:color w:val="176373"/>
            <w:sz w:val="18"/>
          </w:rPr>
          <w:t>[R063]</w:t>
        </w:r>
      </w:hyperlink>
      <w:r>
        <w:t xml:space="preserve"> · </w:t>
      </w:r>
      <w:hyperlink r:id="rId16">
        <w:r>
          <w:rPr>
            <w:color w:val="176373"/>
            <w:sz w:val="18"/>
          </w:rPr>
          <w:t>[R068]</w:t>
        </w:r>
      </w:hyperlink>
    </w:p>
    <w:p>
      <w:pPr>
        <w:pStyle w:val="Heading1"/>
      </w:pPr>
      <w:r>
        <w:t>6. Пробелы и дальнейший поиск</w:t>
      </w:r>
    </w:p>
    <w:p>
      <w:r>
        <w:t>Лист gaps содержит 22 записи. Его размер не равен числу отсутствующих произведений: часть записей объединяет одну серию томов или техническую проблему. Среди главных нерешённых вопросов — «Физика» I–VII; самостоятельные ранние слои «Метафизики»; Epistle on the Divine Science и Sayings of the Greek Sage; греческий Прокл целиком; платоновские компендии Галена; арабские исходники ал-Кинди и Бану Мусы.</w:t>
      </w:r>
    </w:p>
    <w:p>
      <w:r>
        <w:t>Технические ограничения затронули Syriac Galen Palimpsest/OPenn, Gallica arabe 2346, ряд библиотечных карточек и большие PDF/IIIF. Некоторые современные издания установлены только как покупка, защищённый reader или физический библиотечный экземпляр. Это разные категории: «не удалось открыть здесь» не равно «недоступно никому», а наличие в библиотеке не равно цифровой выдаче. Подтверждённый маршрут Controlled Digital Lending в пакет не включён.</w:t>
      </w:r>
    </w:p>
    <w:p>
      <w:pPr>
        <w:pStyle w:val="Heading2"/>
      </w:pPr>
      <w:r>
        <w:t>Приоритетные направления продолжения</w:t>
      </w:r>
    </w:p>
    <w:p>
      <w:r>
        <w:t>1. Ранний арабский Аристотель — G001, G008–G010. Проверить BnF arabe 2346, Leiden Or. 583, недостающие тома Bouyges и отдельные переводные слои Ustāth/Isḥāq. Сопоставлять произведение, комментарий и конкретный рукописный фрагмент, не заменяя одно другим.</w:t>
      </w:r>
    </w:p>
    <w:p>
      <w:r>
        <w:t>2. Арабский Плотин и Прокл — G003–G006, G015–G016. Завершить item-level поиск Epistle, Greek Sage, Lewis 1959, немецкого Dieterici, длинной Theology и заметок Ибн Сины. Для полного греческого Прокла найти открытый оригинал с точной нумерацией; не расширять двадцать арабских разделов до всего произведения.</w:t>
      </w:r>
    </w:p>
    <w:p>
      <w:r>
        <w:t>3. Медицинские продолжения и сирийское посредничество — G002, G010–G012. Сверить версии HUNAYNNET с реальными файлами; проверить остальные книги комментария к «Афоризмам», «Эпидемики» VI, анатомические книги, Medical Experience и их отдельные права. Для палимпсеста нужны работающая официальная страница и права на конкретный набор снимков, не лицензионный сниппет.</w:t>
      </w:r>
    </w:p>
    <w:p>
      <w:r>
        <w:t>4. Платон и Куста — G007, G014. Проверить Galeni Compendium Timaei по Kraus–Walzer 1951 и арабско-французское издание «О различии духа и души» Troupeau–Dagher; латинскую передачу искать отдельно. Существование компендия не считать доказательством полного арабского перевода Платона.</w:t>
      </w:r>
    </w:p>
    <w:p>
      <w:r>
        <w:t>5. Собственный корпус ал-Кинди — G013. Для антологии R055 найти законные арабские основания: Rasāʾil, «О первой философии» и конкретные издания. Не превращать рекламное описание сборника в несколько десятков проверенных индивидуальных сочинений.</w:t>
      </w:r>
    </w:p>
    <w:p>
      <w:r>
        <w:t>6. Математика и астрономия — G017–G019. Найти полные арабские «Начала» и «Коники», оригинал Kitāb al-Ḥiyal, латинское сохранение зи́джа и доказуемые индийские источники. «Данные» Евклида не подменяют «Начала», а поздняя редакция ат-Туси — ранний перевод.</w:t>
      </w:r>
    </w:p>
    <w:p>
      <w:r>
        <w:t>7. Переводы и повторная загрузка — G020–G022. Проверить русские издания центральных текстов, оставшиеся тома NCBI и файлы, получение которых завершилось cache miss. Слабые кандидаты, включая ранние латинские печати Theology, включать в основной реестр только после независимой издательской или библиотечной идентификации.</w:t>
      </w:r>
    </w:p>
    <w:p>
      <w:r>
        <w:t>Поиск выявлял новые объекты вплоть до завершающего прохода, поэтому полное насыщение области не заявлено. Результат фиксирует достаточно широкое проверенное ядро и явную очередь расширения. Дальнейшее продолжение должно идти по указанным произведениям и сигнатурам, а не путём добавления ещё одного общего портала.</w:t>
      </w:r>
    </w:p>
    <w:p>
      <w:pPr>
        <w:pStyle w:val="Heading1"/>
      </w:pPr>
      <w:r>
        <w:t>7. Итоговая оценка</w:t>
      </w:r>
    </w:p>
    <w:p>
      <w:r>
        <w:t>Логическая и медицинская части покрыты лучше всего: представлены многочисленные арабские версии, конкретные комментарии, переводческие метатексты и несколько открытых машиночитаемых слоёв. Неоплатоническое ядро обеспечено законными входами, но расширенная семья Arabic Plotinus остаётся заметным пробелом. Математика, астрономия и персидско-индийские входы представлены предметно, однако выборочно.</w:t>
      </w:r>
    </w:p>
    <w:p>
      <w:r>
        <w:t>Оригинальные языки доступны значительно лучше, чем русские переводы. Английский доступ сочетает старое чтение, современные открытые издания и защищённые научные варианты. Наиболее свободный практически пригодный слой сосредоточен в CC-текстах и PDM-факсимиле; основные ограничения — современные реконструкции, неустановленные права цифровых копий, неполные свидетели и ещё не выпущенные части корпусов.</w:t>
      </w:r>
    </w:p>
    <w:p>
      <w:r>
        <w:t>Пакет пригоден для передачи Codex как исследовательский реестр, но не как готовый whitelist для массового импорта. Сначала следует отбирать строки по действию, rights_scope, coverage и verification_status, затем проверять конкретный загружаемый компонент. Исходный DR, ID T2-08 и статус A не изменены; граф, глобальная онтология и инженерный конвейер не создавались.</w:t>
      </w:r>
    </w:p>
    <w:sectPr w:rsidR="00FC693F" w:rsidRPr="0006063C" w:rsidSect="00034616">
      <w:headerReference w:type="default" r:id="rId9"/>
      <w:footerReference w:type="default" r:id="rId10"/>
      <w:pgSz w:w="11906" w:h="16838"/>
      <w:pgMar w:top="1020" w:right="1077" w:bottom="964" w:left="1134"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717D"/>
        <w:sz w:val="16"/>
      </w:rPr>
      <w:t xml:space="preserve">T2-08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52717D"/>
        <w:sz w:val="16"/>
      </w:rP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2234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23C48"/>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76373"/>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1763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23C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52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raeco-arabic-studies.org/texts" TargetMode="External"/><Relationship Id="rId12" Type="http://schemas.openxmlformats.org/officeDocument/2006/relationships/hyperlink" Target="https://hunaynnet.oeaw.ac.at/index.html" TargetMode="External"/><Relationship Id="rId13" Type="http://schemas.openxmlformats.org/officeDocument/2006/relationships/hyperlink" Target="https://dare.uni-koeln.de/project/dare-publications/" TargetMode="External"/><Relationship Id="rId14" Type="http://schemas.openxmlformats.org/officeDocument/2006/relationships/hyperlink" Target="https://www.qdl.qa/en/archive/81055/vdc_100000004884.0x000001" TargetMode="External"/><Relationship Id="rId15" Type="http://schemas.openxmlformats.org/officeDocument/2006/relationships/hyperlink" Target="https://zenodo.org/records/21798770" TargetMode="External"/><Relationship Id="rId16" Type="http://schemas.openxmlformats.org/officeDocument/2006/relationships/hyperlink" Target="https://opendata.uni-halle.de//handle/1981185920/102233" TargetMode="External"/><Relationship Id="rId17" Type="http://schemas.openxmlformats.org/officeDocument/2006/relationships/hyperlink" Target="https://www.ncbi.nlm.nih.gov/books/NBK622252/" TargetMode="External"/><Relationship Id="rId18" Type="http://schemas.openxmlformats.org/officeDocument/2006/relationships/hyperlink" Target="https://www.graeco-arabic-studies.org/view/arist.deanima-transl-ar1" TargetMode="External"/><Relationship Id="rId19" Type="http://schemas.openxmlformats.org/officeDocument/2006/relationships/hyperlink" Target="https://www.graeco-arabic-studies.org/view/arist.top-transl-ar1" TargetMode="External"/><Relationship Id="rId20" Type="http://schemas.openxmlformats.org/officeDocument/2006/relationships/hyperlink" Target="https://www.graeco-arabic-studies.org/view/arist.sophel-transl-ar1" TargetMode="External"/><Relationship Id="rId21" Type="http://schemas.openxmlformats.org/officeDocument/2006/relationships/hyperlink" Target="https://www.graeco-arabic-studies.org/view/arist.analytpost-transl-ar1" TargetMode="External"/><Relationship Id="rId22" Type="http://schemas.openxmlformats.org/officeDocument/2006/relationships/hyperlink" Target="https://www.graeco-arabic-studies.org/view/arist.analytpriora-transl-ar1" TargetMode="External"/><Relationship Id="rId23" Type="http://schemas.openxmlformats.org/officeDocument/2006/relationships/hyperlink" Target="https://www.graeco-arabic-studies.org/view/arist.poetica-transl-ar1" TargetMode="External"/><Relationship Id="rId24" Type="http://schemas.openxmlformats.org/officeDocument/2006/relationships/hyperlink" Target="https://hunaynnet.oeaw.ac.at/categoriae.html" TargetMode="External"/><Relationship Id="rId25" Type="http://schemas.openxmlformats.org/officeDocument/2006/relationships/hyperlink" Target="https://hunaynnet.oeaw.ac.at/isagoge.html" TargetMode="External"/><Relationship Id="rId26" Type="http://schemas.openxmlformats.org/officeDocument/2006/relationships/hyperlink" Target="https://www.degruyterbrill.com/document/doi/10.1515/9783110582086/html" TargetMode="External"/><Relationship Id="rId27" Type="http://schemas.openxmlformats.org/officeDocument/2006/relationships/hyperlink" Target="https://dare.uni-koeln.de/app/fulltexts/FT24" TargetMode="External"/><Relationship Id="rId28" Type="http://schemas.openxmlformats.org/officeDocument/2006/relationships/hyperlink" Target="https://www.graeco-arabic-studies.org/view/arist.deinterpret-transl-ar1" TargetMode="External"/><Relationship Id="rId29" Type="http://schemas.openxmlformats.org/officeDocument/2006/relationships/hyperlink" Target="https://www.graeco-arabic-studies.org/view/arist.deinterpret-transl-ar2" TargetMode="External"/><Relationship Id="rId30" Type="http://schemas.openxmlformats.org/officeDocument/2006/relationships/hyperlink" Target="https://www2.hf.uio.no/polyglotta/index.php?page=volume&amp;vid=510" TargetMode="External"/><Relationship Id="rId31" Type="http://schemas.openxmlformats.org/officeDocument/2006/relationships/hyperlink" Target="https://www.graeco-arabic-studies.org/view/hunayn.risalah-orig-ar1" TargetMode="External"/><Relationship Id="rId32" Type="http://schemas.openxmlformats.org/officeDocument/2006/relationships/hyperlink" Target="https://www.graeco-arabic-studies.org/view/hunayn.kutublamyadhkur-orig-ar1" TargetMode="External"/><Relationship Id="rId33" Type="http://schemas.openxmlformats.org/officeDocument/2006/relationships/hyperlink" Target="https://www.graeco-arabic-studies.org/view/gal.arsmed-transl-ar1" TargetMode="External"/><Relationship Id="rId34" Type="http://schemas.openxmlformats.org/officeDocument/2006/relationships/hyperlink" Target="https://www.graeco-arabic-studies.org/view/gal.decausiscontent-transl-ar1" TargetMode="External"/><Relationship Id="rId35" Type="http://schemas.openxmlformats.org/officeDocument/2006/relationships/hyperlink" Target="https://www.graeco-arabic-studies.org/view/ibnridwan.gal.inhippaphor-summ.fawaid-ar1" TargetMode="External"/><Relationship Id="rId36" Type="http://schemas.openxmlformats.org/officeDocument/2006/relationships/hyperlink" Target="https://research.manchester.ac.uk/en/publications/&#1575;&#1604;&#1605;&#1602;&#1575;&#1604;&#1577;-&#1575;&#1604;&#1571;&#1608;&#1604;&#1609;-&#1605;&#1606;-&#1588;&#1585;&#1581;-&#1580;&#1575;&#1604;&#1610;&#1606;&#1608;&#1587;-&#1604;&#1601;&#1589;&#1608;&#1604;-&#1571;&#1576;&#1602;&#1585;&#1575;&#1591;-&#1576;&#1578;&#1585;&#1580;&#1605;&#1577;-&#1581;&#1606;&#1610;&#1606;-&#1576;&#1606;-&#1573;&#1587;&#1581;&#1602;/" TargetMode="External"/><Relationship Id="rId37" Type="http://schemas.openxmlformats.org/officeDocument/2006/relationships/hyperlink" Target="https://www.graeco-arabic-studies.org/view/gal.deelem-transl-ar1" TargetMode="External"/><Relationship Id="rId38" Type="http://schemas.openxmlformats.org/officeDocument/2006/relationships/hyperlink" Target="https://www.graeco-arabic-studies.org/view/hunayn.gal.deelem-summ.mukhtasar-ar1" TargetMode="External"/><Relationship Id="rId39" Type="http://schemas.openxmlformats.org/officeDocument/2006/relationships/hyperlink" Target="https://edoc.ub.uni-muenchen.de/6399/1/Wernhard_Matthias.pdf" TargetMode="External"/><Relationship Id="rId40" Type="http://schemas.openxmlformats.org/officeDocument/2006/relationships/hyperlink" Target="https://www.graeco-arabic-studies.org/view/hipp.aphor-transl-ar1" TargetMode="External"/><Relationship Id="rId41" Type="http://schemas.openxmlformats.org/officeDocument/2006/relationships/hyperlink" Target="https://www.graeco-arabic-studies.org/view/hipp.aphor-transl-ar2" TargetMode="External"/><Relationship Id="rId42" Type="http://schemas.openxmlformats.org/officeDocument/2006/relationships/hyperlink" Target="https://www.graeco-arabic-studies.org/view/gal.inhippepid1-transl-ar1" TargetMode="External"/><Relationship Id="rId43" Type="http://schemas.openxmlformats.org/officeDocument/2006/relationships/hyperlink" Target="https://www.graeco-arabic-studies.org/view/gal.inhippepid2-transl-ar1" TargetMode="External"/><Relationship Id="rId44" Type="http://schemas.openxmlformats.org/officeDocument/2006/relationships/hyperlink" Target="https://www.graeco-arabic-studies.org/view/apoll.conica-transl-ar1" TargetMode="External"/><Relationship Id="rId45" Type="http://schemas.openxmlformats.org/officeDocument/2006/relationships/hyperlink" Target="https://www.qdl.qa/en/archive/81055/vdc_100023285040.0x000001" TargetMode="External"/><Relationship Id="rId46" Type="http://schemas.openxmlformats.org/officeDocument/2006/relationships/hyperlink" Target="https://www.qdl.qa/en/archive/81055/vdc_100023697729.0x000008" TargetMode="External"/><Relationship Id="rId47" Type="http://schemas.openxmlformats.org/officeDocument/2006/relationships/hyperlink" Target="https://www.qdl.qa/en/archive/81055/vdc_100025776458.0x000007" TargetMode="External"/><Relationship Id="rId48" Type="http://schemas.openxmlformats.org/officeDocument/2006/relationships/hyperlink" Target="https://www.graeco-arabic-studies.org/view/alexaphrod.deintellectu-transl-ar1" TargetMode="External"/><Relationship Id="rId49" Type="http://schemas.openxmlformats.org/officeDocument/2006/relationships/hyperlink" Target="https://www.graeco-arabic-studies.org/view/alexaphrod.deprovidentia-transl-ar2" TargetMode="External"/><Relationship Id="rId50" Type="http://schemas.openxmlformats.org/officeDocument/2006/relationships/hyperlink" Target="https://www.graeco-arabic-studies.org/view/alexaphrod.deprovidentia-transl-ar1" TargetMode="External"/><Relationship Id="rId51" Type="http://schemas.openxmlformats.org/officeDocument/2006/relationships/hyperlink" Target="https://link.springer.com/book/10.1007/978-94-009-9786-8" TargetMode="External"/><Relationship Id="rId52" Type="http://schemas.openxmlformats.org/officeDocument/2006/relationships/hyperlink" Target="https://www.huntington.org/collections/lib-708193" TargetMode="External"/><Relationship Id="rId53" Type="http://schemas.openxmlformats.org/officeDocument/2006/relationships/hyperlink" Target="https://raw.githubusercontent.com/OpenGreekAndLatin/First1KGreek/master/data/tlg2000/tlg001/tlg2000.tlg001.1st1K-grc1.xml" TargetMode="External"/><Relationship Id="rId54" Type="http://schemas.openxmlformats.org/officeDocument/2006/relationships/hyperlink" Target="https://www.kalila-and-dimna.fu-berlin.de/collations/" TargetMode="External"/><Relationship Id="rId55" Type="http://schemas.openxmlformats.org/officeDocument/2006/relationships/hyperlink" Target="https://www.libraryofarabicliterature.org/books/9781479806539/kalilah-and-dimnah/" TargetMode="External"/><Relationship Id="rId56" Type="http://schemas.openxmlformats.org/officeDocument/2006/relationships/hyperlink" Target="https://www.graeco-arabic-studies.org/view/arist.sophel-transl-ar2" TargetMode="External"/><Relationship Id="rId57" Type="http://schemas.openxmlformats.org/officeDocument/2006/relationships/hyperlink" Target="https://www.graeco-arabic-studies.org/view/ibnsina.arist.poetica-comm.alshifa-ar1" TargetMode="External"/><Relationship Id="rId58" Type="http://schemas.openxmlformats.org/officeDocument/2006/relationships/hyperlink" Target="https://www.graeco-arabic-studies.org/view/ibnrushd.arist.poetica-comm.talkhis-ara1" TargetMode="External"/><Relationship Id="rId59" Type="http://schemas.openxmlformats.org/officeDocument/2006/relationships/hyperlink" Target="https://www.degruyterbrill.com/document/doi/10.1515/9783110220025/html" TargetMode="External"/><Relationship Id="rId60" Type="http://schemas.openxmlformats.org/officeDocument/2006/relationships/hyperlink" Target="https://www.graeco-arabic-studies.org/view/ibnalnadim.fihrist-orig-ar1" TargetMode="External"/><Relationship Id="rId61" Type="http://schemas.openxmlformats.org/officeDocument/2006/relationships/hyperlink" Target="https://scholarlyeditions.brill.com/lhom/" TargetMode="External"/><Relationship Id="rId62" Type="http://schemas.openxmlformats.org/officeDocument/2006/relationships/hyperlink" Target="https://ife.iphras.ru/article/view/9734/" TargetMode="External"/><Relationship Id="rId63" Type="http://schemas.openxmlformats.org/officeDocument/2006/relationships/hyperlink" Target="https://www.corpusthomisticum.org/cdc00.html" TargetMode="External"/><Relationship Id="rId64" Type="http://schemas.openxmlformats.org/officeDocument/2006/relationships/hyperlink" Target="https://wellcomecollection.org/works/bfx8kyea" TargetMode="External"/><Relationship Id="rId65" Type="http://schemas.openxmlformats.org/officeDocument/2006/relationships/hyperlink" Target="https://sites.dlib.nyu.edu/viewer/books/aub_aco000752/1" TargetMode="External"/><Relationship Id="rId66" Type="http://schemas.openxmlformats.org/officeDocument/2006/relationships/hyperlink" Target="https://books.google.com/books?id=EsxH8o2jqMwC" TargetMode="External"/><Relationship Id="rId67" Type="http://schemas.openxmlformats.org/officeDocument/2006/relationships/hyperlink" Target="https://www.graeco-arabic-studies.org/view/psarist.decausis-transl-ar1" TargetMode="External"/><Relationship Id="rId68" Type="http://schemas.openxmlformats.org/officeDocument/2006/relationships/hyperlink" Target="https://www.graeco-arabic-studies.org/view/procl.institutiotheologica-transl-ar1" TargetMode="External"/><Relationship Id="rId69" Type="http://schemas.openxmlformats.org/officeDocument/2006/relationships/hyperlink" Target="https://www.nomos-shop.de/de/p/proclus-arabus-978-3-89913-009-6" TargetMode="External"/><Relationship Id="rId70" Type="http://schemas.openxmlformats.org/officeDocument/2006/relationships/hyperlink" Target="https://www.gutenberg.org/ebooks/42931" TargetMode="External"/><Relationship Id="rId71" Type="http://schemas.openxmlformats.org/officeDocument/2006/relationships/hyperlink" Target="https://al-furqan.com/publication/the-fihrist-of-al-nadim-9781905122530/" TargetMode="External"/><Relationship Id="rId72" Type="http://schemas.openxmlformats.org/officeDocument/2006/relationships/hyperlink" Target="https://wellcomecollection.org/works/ss46u33r" TargetMode="External"/><Relationship Id="rId73" Type="http://schemas.openxmlformats.org/officeDocument/2006/relationships/hyperlink" Target="https://github.com/bulbulistan/HUNAY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T2-08</dc:title>
  <dc:subject>Корпус, законный доступ, права и пробелы исследования</dc:subject>
  <dc:creator>ToS / Древо Софии</dc:creator>
  <cp:keywords>T2-08, Corpus &amp; Rights, Baghdad, Hunayn, Aristotle, Galen</cp:keywords>
  <dc:description>generated by python-docx</dc:description>
  <cp:lastModifiedBy/>
  <cp:revision>1</cp:revision>
  <dcterms:created xsi:type="dcterms:W3CDTF">2013-12-23T23:15:00Z</dcterms:created>
  <dcterms:modified xsi:type="dcterms:W3CDTF">2013-12-23T23:15:00Z</dcterms:modified>
  <cp:category/>
</cp:coreProperties>
</file>