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pPr>
      <w:r>
        <w:rPr>
          <w:rFonts w:ascii="Noto Sans" w:hAnsi="Noto Sans" w:eastAsia="Noto Sans"/>
          <w:b/>
          <w:color w:val="17365D"/>
          <w:sz w:val="56"/>
        </w:rPr>
        <w:t>ToS Corpus &amp; Rights Registry</w:t>
      </w:r>
    </w:p>
    <w:p>
      <w:pPr>
        <w:spacing w:after="120"/>
        <w:jc w:val="center"/>
      </w:pPr>
      <w:r>
        <w:rPr>
          <w:rFonts w:ascii="Noto Sans" w:hAnsi="Noto Sans" w:eastAsia="Noto Sans"/>
          <w:b/>
          <w:color w:val="1F4E78"/>
          <w:sz w:val="36"/>
        </w:rPr>
        <w:t>A34 — Европа — Неоплатонизм III–VI вв.</w:t>
      </w:r>
    </w:p>
    <w:p>
      <w:pPr>
        <w:spacing w:after="480"/>
        <w:jc w:val="center"/>
      </w:pPr>
      <w:r>
        <w:rPr>
          <w:rFonts w:ascii="Noto Sans" w:hAnsi="Noto Sans" w:eastAsia="Noto Sans"/>
          <w:i/>
          <w:color w:val="404040"/>
          <w:sz w:val="23"/>
        </w:rPr>
        <w:t>Карта корпуса, законных путей доступа и практического использования для Древа Софии</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cantSplit/>
          <w:tblHeader w:val="true"/>
        </w:trPr>
        <w:tc>
          <w:tcPr>
            <w:tcW w:type="dxa" w:w="2268"/>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jc w:val="center"/>
            </w:pPr>
            <w:r>
              <w:rPr>
                <w:rFonts w:ascii="Noto Sans" w:hAnsi="Noto Sans" w:eastAsia="Noto Sans"/>
                <w:b/>
                <w:color w:val="FFFFFF"/>
                <w:sz w:val="18"/>
              </w:rPr>
              <w:t>ID / статус</w:t>
            </w:r>
          </w:p>
        </w:tc>
        <w:tc>
          <w:tcPr>
            <w:tcW w:type="dxa" w:w="2268"/>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jc w:val="center"/>
            </w:pPr>
            <w:r>
              <w:rPr>
                <w:rFonts w:ascii="Noto Sans" w:hAnsi="Noto Sans" w:eastAsia="Noto Sans"/>
                <w:b/>
                <w:color w:val="FFFFFF"/>
                <w:sz w:val="18"/>
              </w:rPr>
              <w:t>Проверено</w:t>
            </w:r>
          </w:p>
        </w:tc>
        <w:tc>
          <w:tcPr>
            <w:tcW w:type="dxa" w:w="2268"/>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jc w:val="center"/>
            </w:pPr>
            <w:r>
              <w:rPr>
                <w:rFonts w:ascii="Noto Sans" w:hAnsi="Noto Sans" w:eastAsia="Noto Sans"/>
                <w:b/>
                <w:color w:val="FFFFFF"/>
                <w:sz w:val="18"/>
              </w:rPr>
              <w:t>Доступов</w:t>
            </w:r>
          </w:p>
        </w:tc>
        <w:tc>
          <w:tcPr>
            <w:tcW w:type="dxa" w:w="2268"/>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jc w:val="center"/>
            </w:pPr>
            <w:r>
              <w:rPr>
                <w:rFonts w:ascii="Noto Sans" w:hAnsi="Noto Sans" w:eastAsia="Noto Sans"/>
                <w:b/>
                <w:color w:val="FFFFFF"/>
                <w:sz w:val="18"/>
              </w:rPr>
              <w:t>Пробелов</w:t>
            </w:r>
          </w:p>
        </w:tc>
      </w:tr>
      <w:tr>
        <w:trPr>
          <w:cantSplit/>
        </w:trPr>
        <w:tc>
          <w:tcPr>
            <w:tcW w:type="dxa" w:w="2268"/>
            <w:vAlign w:val="top"/>
            <w:tcMar>
              <w:top w:w="80" w:type="dxa"/>
              <w:start w:w="90" w:type="dxa"/>
              <w:bottom w:w="80" w:type="dxa"/>
              <w:end w:w="90" w:type="dxa"/>
            </w:tcMar>
            <w:shd w:fill="EAF2F8"/>
            <w:tcBorders>
              <w:top w:val="single" w:sz="4" w:color="D9E2F3"/>
              <w:left w:val="single" w:sz="4" w:color="D9E2F3"/>
              <w:bottom w:val="single" w:sz="4" w:color="D9E2F3"/>
              <w:right w:val="single" w:sz="4" w:color="D9E2F3"/>
            </w:tcBorders>
          </w:tcPr>
          <w:p>
            <w:pPr>
              <w:spacing w:after="16" w:line="240" w:lineRule="auto"/>
              <w:jc w:val="center"/>
            </w:pPr>
            <w:r>
              <w:rPr>
                <w:rFonts w:ascii="Noto Sans" w:hAnsi="Noto Sans" w:eastAsia="Noto Sans"/>
                <w:b/>
                <w:color w:val="17365D"/>
                <w:sz w:val="18"/>
              </w:rPr>
              <w:t>A34 / A</w:t>
            </w:r>
          </w:p>
        </w:tc>
        <w:tc>
          <w:tcPr>
            <w:tcW w:type="dxa" w:w="2268"/>
            <w:vAlign w:val="top"/>
            <w:tcMar>
              <w:top w:w="80" w:type="dxa"/>
              <w:start w:w="90" w:type="dxa"/>
              <w:bottom w:w="80" w:type="dxa"/>
              <w:end w:w="90" w:type="dxa"/>
            </w:tcMar>
            <w:shd w:fill="EAF2F8"/>
            <w:tcBorders>
              <w:top w:val="single" w:sz="4" w:color="D9E2F3"/>
              <w:left w:val="single" w:sz="4" w:color="D9E2F3"/>
              <w:bottom w:val="single" w:sz="4" w:color="D9E2F3"/>
              <w:right w:val="single" w:sz="4" w:color="D9E2F3"/>
            </w:tcBorders>
          </w:tcPr>
          <w:p>
            <w:pPr>
              <w:spacing w:after="16" w:line="240" w:lineRule="auto"/>
              <w:jc w:val="center"/>
            </w:pPr>
            <w:r>
              <w:rPr>
                <w:rFonts w:ascii="Noto Sans" w:hAnsi="Noto Sans" w:eastAsia="Noto Sans"/>
                <w:b/>
                <w:color w:val="17365D"/>
                <w:sz w:val="18"/>
              </w:rPr>
              <w:t>3 сентября 2026</w:t>
            </w:r>
          </w:p>
        </w:tc>
        <w:tc>
          <w:tcPr>
            <w:tcW w:type="dxa" w:w="2268"/>
            <w:vAlign w:val="top"/>
            <w:tcMar>
              <w:top w:w="80" w:type="dxa"/>
              <w:start w:w="90" w:type="dxa"/>
              <w:bottom w:w="80" w:type="dxa"/>
              <w:end w:w="90" w:type="dxa"/>
            </w:tcMar>
            <w:shd w:fill="EAF2F8"/>
            <w:tcBorders>
              <w:top w:val="single" w:sz="4" w:color="D9E2F3"/>
              <w:left w:val="single" w:sz="4" w:color="D9E2F3"/>
              <w:bottom w:val="single" w:sz="4" w:color="D9E2F3"/>
              <w:right w:val="single" w:sz="4" w:color="D9E2F3"/>
            </w:tcBorders>
          </w:tcPr>
          <w:p>
            <w:pPr>
              <w:spacing w:after="16" w:line="240" w:lineRule="auto"/>
              <w:jc w:val="center"/>
            </w:pPr>
            <w:r>
              <w:rPr>
                <w:rFonts w:ascii="Noto Sans" w:hAnsi="Noto Sans" w:eastAsia="Noto Sans"/>
                <w:b/>
                <w:color w:val="17365D"/>
                <w:sz w:val="18"/>
              </w:rPr>
              <w:t>147</w:t>
            </w:r>
          </w:p>
        </w:tc>
        <w:tc>
          <w:tcPr>
            <w:tcW w:type="dxa" w:w="2268"/>
            <w:vAlign w:val="top"/>
            <w:tcMar>
              <w:top w:w="80" w:type="dxa"/>
              <w:start w:w="90" w:type="dxa"/>
              <w:bottom w:w="80" w:type="dxa"/>
              <w:end w:w="90" w:type="dxa"/>
            </w:tcMar>
            <w:shd w:fill="EAF2F8"/>
            <w:tcBorders>
              <w:top w:val="single" w:sz="4" w:color="D9E2F3"/>
              <w:left w:val="single" w:sz="4" w:color="D9E2F3"/>
              <w:bottom w:val="single" w:sz="4" w:color="D9E2F3"/>
              <w:right w:val="single" w:sz="4" w:color="D9E2F3"/>
            </w:tcBorders>
          </w:tcPr>
          <w:p>
            <w:pPr>
              <w:spacing w:after="16" w:line="240" w:lineRule="auto"/>
              <w:jc w:val="center"/>
            </w:pPr>
            <w:r>
              <w:rPr>
                <w:rFonts w:ascii="Noto Sans" w:hAnsi="Noto Sans" w:eastAsia="Noto Sans"/>
                <w:b/>
                <w:color w:val="17365D"/>
                <w:sz w:val="18"/>
              </w:rPr>
              <w:t>20</w:t>
            </w:r>
          </w:p>
        </w:tc>
      </w:tr>
    </w:tbl>
    <w:p>
      <w:pPr>
        <w:spacing w:before="440"/>
        <w:jc w:val="center"/>
      </w:pPr>
      <w:r>
        <w:rPr>
          <w:rFonts w:ascii="Noto Sans" w:hAnsi="Noto Sans" w:eastAsia="Noto Sans"/>
          <w:color w:val="5B6573"/>
          <w:sz w:val="19"/>
        </w:rPr>
        <w:t>Исходный документ: “ToS Deep Research_ A34 — Европа — Неоплатонизм III–VI вв.(1).docx”</w:t>
      </w:r>
    </w:p>
    <w:p>
      <w:pPr>
        <w:jc w:val="center"/>
      </w:pPr>
      <w:r>
        <w:rPr>
          <w:rFonts w:ascii="Noto Sans" w:hAnsi="Noto Sans" w:eastAsia="Noto Sans"/>
          <w:color w:val="5B6573"/>
          <w:sz w:val="19"/>
        </w:rPr>
        <w:t>Реестр: ToS_Corpus_Rights_A34_registry.xlsx · листы registry и gaps</w:t>
      </w:r>
    </w:p>
    <w:p>
      <w:pPr>
        <w:spacing w:before="360"/>
        <w:jc w:val="center"/>
      </w:pPr>
      <w:r>
        <w:rPr>
          <w:rFonts w:ascii="Noto Sans" w:hAnsi="Noto Sans" w:eastAsia="Noto Sans"/>
          <w:b/>
          <w:color w:val="9C0006"/>
          <w:sz w:val="21"/>
        </w:rPr>
        <w:t>Важное ограничение</w:t>
      </w:r>
    </w:p>
    <w:p>
      <w:pPr>
        <w:ind w:left="1134" w:right="1134"/>
        <w:jc w:val="center"/>
      </w:pPr>
      <w:r>
        <w:rPr>
          <w:rFonts w:ascii="Noto Sans" w:hAnsi="Noto Sans" w:eastAsia="Noto Sans"/>
          <w:color w:val="404040"/>
          <w:sz w:val="19"/>
        </w:rPr>
        <w:t>Оценки прав относятся только к указанным версиям, файлам, свидетелям и действиям. Бесплатное чтение или скачивание не равнозначно праву публичного зеркалирования.</w:t>
      </w:r>
    </w:p>
    <w:p>
      <w:r>
        <w:br w:type="page"/>
      </w:r>
    </w:p>
    <w:p>
      <w:pPr>
        <w:pStyle w:val="Heading1"/>
        <w:keepNext/>
        <w:spacing w:before="160" w:after="80"/>
      </w:pPr>
      <w:r>
        <w:rPr>
          <w:rFonts w:ascii="Noto Sans" w:hAnsi="Noto Sans" w:eastAsia="Noto Sans"/>
          <w:b/>
          <w:color w:val="17365D"/>
          <w:sz w:val="32"/>
        </w:rPr>
        <w:t>Содержание</w:t>
      </w:r>
    </w:p>
    <w:p>
      <w:pPr>
        <w:spacing w:after="60"/>
        <w:ind w:left="283"/>
      </w:pPr>
      <w:r>
        <w:rPr>
          <w:rFonts w:ascii="Noto Sans" w:hAnsi="Noto Sans" w:eastAsia="Noto Sans"/>
          <w:b/>
          <w:color w:val="1F4E78"/>
          <w:sz w:val="22"/>
        </w:rPr>
        <w:t>1. Паспорт</w:t>
      </w:r>
    </w:p>
    <w:p>
      <w:pPr>
        <w:spacing w:after="60"/>
        <w:ind w:left="283"/>
      </w:pPr>
      <w:r>
        <w:rPr>
          <w:rFonts w:ascii="Noto Sans" w:hAnsi="Noto Sans" w:eastAsia="Noto Sans"/>
          <w:b/>
          <w:color w:val="1F4E78"/>
          <w:sz w:val="22"/>
        </w:rPr>
        <w:t>2. Охват корпуса</w:t>
      </w:r>
    </w:p>
    <w:p>
      <w:pPr>
        <w:spacing w:after="60"/>
        <w:ind w:left="283"/>
      </w:pPr>
      <w:r>
        <w:rPr>
          <w:rFonts w:ascii="Noto Sans" w:hAnsi="Noto Sans" w:eastAsia="Noto Sans"/>
          <w:b/>
          <w:color w:val="1F4E78"/>
          <w:sz w:val="22"/>
        </w:rPr>
        <w:t>3. Лучшие пути доступа</w:t>
      </w:r>
    </w:p>
    <w:p>
      <w:pPr>
        <w:spacing w:after="60"/>
        <w:ind w:left="283"/>
      </w:pPr>
      <w:r>
        <w:rPr>
          <w:rFonts w:ascii="Noto Sans" w:hAnsi="Noto Sans" w:eastAsia="Noto Sans"/>
          <w:b/>
          <w:color w:val="1F4E78"/>
          <w:sz w:val="22"/>
        </w:rPr>
        <w:t>4. Карта прав и практического использования</w:t>
      </w:r>
    </w:p>
    <w:p>
      <w:pPr>
        <w:spacing w:after="60"/>
        <w:ind w:left="283"/>
      </w:pPr>
      <w:r>
        <w:rPr>
          <w:rFonts w:ascii="Noto Sans" w:hAnsi="Noto Sans" w:eastAsia="Noto Sans"/>
          <w:b/>
          <w:color w:val="1F4E78"/>
          <w:sz w:val="22"/>
        </w:rPr>
        <w:t>5. Характерные правовые тонкости</w:t>
      </w:r>
    </w:p>
    <w:p>
      <w:pPr>
        <w:spacing w:after="60"/>
        <w:ind w:left="283"/>
      </w:pPr>
      <w:r>
        <w:rPr>
          <w:rFonts w:ascii="Noto Sans" w:hAnsi="Noto Sans" w:eastAsia="Noto Sans"/>
          <w:b/>
          <w:color w:val="1F4E78"/>
          <w:sz w:val="22"/>
        </w:rPr>
        <w:t>6. Пробелы и дальнейший поиск</w:t>
      </w:r>
    </w:p>
    <w:p>
      <w:pPr>
        <w:spacing w:after="60"/>
        <w:ind w:left="283"/>
      </w:pPr>
      <w:r>
        <w:rPr>
          <w:rFonts w:ascii="Noto Sans" w:hAnsi="Noto Sans" w:eastAsia="Noto Sans"/>
          <w:b/>
          <w:color w:val="1F4E78"/>
          <w:sz w:val="22"/>
        </w:rPr>
        <w:t>7. Итоговая оценка</w:t>
      </w:r>
    </w:p>
    <w:p>
      <w:pPr>
        <w:spacing w:before="0" w:after="60" w:line="269" w:lineRule="auto"/>
      </w:pPr>
      <w:r>
        <w:rPr>
          <w:rFonts w:ascii="Noto Sans" w:hAnsi="Noto Sans" w:eastAsia="Noto Sans"/>
          <w:sz w:val="20"/>
        </w:rPr>
        <w:t>Отчёт суммирует результаты реестра и не повторяет все 147 строк. Полная гранулярная карта доступов, правовых слоёв, evidence-URL и рекомендаций ToS находится в XLSX.</w:t>
      </w:r>
    </w:p>
    <w:p>
      <w:pPr>
        <w:pStyle w:val="Heading1"/>
        <w:keepNext/>
        <w:spacing w:before="160" w:after="80"/>
      </w:pPr>
      <w:r>
        <w:rPr>
          <w:rFonts w:ascii="Noto Sans" w:hAnsi="Noto Sans" w:eastAsia="Noto Sans"/>
          <w:b/>
          <w:color w:val="17365D"/>
          <w:sz w:val="32"/>
        </w:rPr>
        <w:t>1. Паспорт</w:t>
      </w:r>
    </w:p>
    <w:tbl>
      <w:tblPr>
        <w:tblStyle w:val="TableGrid"/>
        <w:tblW w:type="auto" w:w="0"/>
        <w:jc w:val="center"/>
        <w:tblLayout w:type="fixed"/>
        <w:tblLook w:firstColumn="1" w:firstRow="1" w:lastColumn="0" w:lastRow="0" w:noHBand="0" w:noVBand="1" w:val="04A0"/>
      </w:tblPr>
      <w:tblGrid>
        <w:gridCol w:w="4876"/>
        <w:gridCol w:w="4876"/>
      </w:tblGrid>
      <w:tr>
        <w:trPr>
          <w:cantSplit/>
          <w:tblHeader w:val="true"/>
        </w:trPr>
        <w:tc>
          <w:tcPr>
            <w:tcW w:type="dxa" w:w="2268"/>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Поле</w:t>
            </w:r>
          </w:p>
        </w:tc>
        <w:tc>
          <w:tcPr>
            <w:tcW w:type="dxa" w:w="7200"/>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Значение</w:t>
            </w:r>
          </w:p>
        </w:tc>
      </w:tr>
      <w:tr>
        <w:trPr>
          <w:cantSplit/>
        </w:trPr>
        <w:tc>
          <w:tcPr>
            <w:tcW w:type="dxa" w:w="226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ID и название</w:t>
            </w:r>
          </w:p>
        </w:tc>
        <w:tc>
          <w:tcPr>
            <w:tcW w:type="dxa" w:w="7200"/>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A34 — Европа — Неоплатонизм III–VI вв.</w:t>
            </w:r>
          </w:p>
        </w:tc>
      </w:tr>
      <w:tr>
        <w:trPr>
          <w:cantSplit/>
        </w:trPr>
        <w:tc>
          <w:tcPr>
            <w:tcW w:type="dxa" w:w="226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Исходный статус</w:t>
            </w:r>
          </w:p>
        </w:tc>
        <w:tc>
          <w:tcPr>
            <w:tcW w:type="dxa" w:w="7200"/>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A; исходная уверенность master-строки — 5.</w:t>
            </w:r>
          </w:p>
        </w:tc>
      </w:tr>
      <w:tr>
        <w:trPr>
          <w:cantSplit/>
        </w:trPr>
        <w:tc>
          <w:tcPr>
            <w:tcW w:type="dxa" w:w="226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Хронологическое ядро</w:t>
            </w:r>
          </w:p>
        </w:tc>
        <w:tc>
          <w:tcPr>
            <w:tcW w:type="dxa" w:w="7200"/>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Ок. 250–600 н.э.; редакционная и комментарийная жизнь продолжается в VII в. и далее через греческие, латинские, сирийские и арабские линии.</w:t>
            </w:r>
          </w:p>
        </w:tc>
      </w:tr>
      <w:tr>
        <w:trPr>
          <w:cantSplit/>
        </w:trPr>
        <w:tc>
          <w:tcPr>
            <w:tcW w:type="dxa" w:w="226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Исходный DR</w:t>
            </w:r>
          </w:p>
        </w:tc>
        <w:tc>
          <w:tcPr>
            <w:tcW w:type="dxa" w:w="7200"/>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ToS Deep Research_ A34 — Европа — Неоплатонизм III–VI вв.(1).docx.</w:t>
            </w:r>
          </w:p>
        </w:tc>
      </w:tr>
      <w:tr>
        <w:trPr>
          <w:cantSplit/>
        </w:trPr>
        <w:tc>
          <w:tcPr>
            <w:tcW w:type="dxa" w:w="226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Дата проверки</w:t>
            </w:r>
          </w:p>
        </w:tc>
        <w:tc>
          <w:tcPr>
            <w:tcW w:type="dxa" w:w="7200"/>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3 сентября 2026 г.</w:t>
            </w:r>
          </w:p>
        </w:tc>
      </w:tr>
      <w:tr>
        <w:trPr>
          <w:cantSplit/>
        </w:trPr>
        <w:tc>
          <w:tcPr>
            <w:tcW w:type="dxa" w:w="226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Языки поиска</w:t>
            </w:r>
          </w:p>
        </w:tc>
        <w:tc>
          <w:tcPr>
            <w:tcW w:type="dxa" w:w="7200"/>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Русский, английский, древнегреческий, латинский, немецкий, французский и арабский; отдельные поиски по CTS URN, TLG-номерам, shelfmark, ARK, ISBN/OCLC и инвентарным идентификаторам.</w:t>
            </w:r>
          </w:p>
        </w:tc>
      </w:tr>
      <w:tr>
        <w:trPr>
          <w:cantSplit/>
        </w:trPr>
        <w:tc>
          <w:tcPr>
            <w:tcW w:type="dxa" w:w="226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Ядро корпуса</w:t>
            </w:r>
          </w:p>
        </w:tc>
        <w:tc>
          <w:tcPr>
            <w:tcW w:type="dxa" w:w="7200"/>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Plotinus, Porphyry, Iamblichus, Proclus, Damascius, Simplicius и John Philoponus; трактаты, биографии, пропедевтика, теургические сочинения, платоновские и аристотелевские комментарии, полемика о вечности мира.</w:t>
            </w:r>
          </w:p>
        </w:tc>
      </w:tr>
      <w:tr>
        <w:trPr>
          <w:cantSplit/>
        </w:trPr>
        <w:tc>
          <w:tcPr>
            <w:tcW w:type="dxa" w:w="226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Искомые объекты</w:t>
            </w:r>
          </w:p>
        </w:tc>
        <w:tc>
          <w:tcPr>
            <w:tcW w:type="dxa" w:w="7200"/>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Произведения и корпусы; конкретные переводы и издания; рукописные свидетели; старопечатные и исторические сканы; TEI/XML; цифровые проекты и каталоги; библиотечные, preview, purchase и borrow-маршруты.</w:t>
            </w:r>
          </w:p>
        </w:tc>
      </w:tr>
      <w:tr>
        <w:trPr>
          <w:cantSplit/>
        </w:trPr>
        <w:tc>
          <w:tcPr>
            <w:tcW w:type="dxa" w:w="226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Классы источников</w:t>
            </w:r>
          </w:p>
        </w:tc>
        <w:tc>
          <w:tcPr>
            <w:tcW w:type="dxa" w:w="7200"/>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Официальные item-level страницы и издательства; Open Greek and Latin/First1KGreek; университетские и национальные библиотеки; рукописные каталоги и IIIF; Project Gutenberg, HathiTrust, Internet Archive и Google Books; специализированные академические серии.</w:t>
            </w:r>
          </w:p>
        </w:tc>
      </w:tr>
      <w:tr>
        <w:trPr>
          <w:cantSplit/>
        </w:trPr>
        <w:tc>
          <w:tcPr>
            <w:tcW w:type="dxa" w:w="226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Слабые навигационные источники</w:t>
            </w:r>
          </w:p>
        </w:tc>
        <w:tc>
          <w:tcPr>
            <w:tcW w:type="dxa" w:w="7200"/>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Не использовались как итоговые evidence-источники. Неподтверждённые и конфликтные кандидаты перенесены на лист gaps; Wikipedia не указана ни как доступ, ни как доказательство прав.</w:t>
            </w:r>
          </w:p>
        </w:tc>
      </w:tr>
    </w:tbl>
    <w:p>
      <w:pPr>
        <w:pStyle w:val="Heading2"/>
        <w:keepNext/>
        <w:spacing w:before="100" w:after="80"/>
      </w:pPr>
      <w:r>
        <w:rPr>
          <w:rFonts w:ascii="Noto Sans" w:hAnsi="Noto Sans" w:eastAsia="Noto Sans"/>
          <w:b/>
          <w:color w:val="1F4E78"/>
          <w:sz w:val="24"/>
        </w:rPr>
        <w:t>Рабочая рамка</w:t>
      </w:r>
    </w:p>
    <w:p>
      <w:pPr>
        <w:spacing w:before="0" w:after="60" w:line="269" w:lineRule="auto"/>
      </w:pPr>
      <w:r>
        <w:rPr>
          <w:rFonts w:ascii="Noto Sans" w:hAnsi="Noto Sans" w:eastAsia="Noto Sans"/>
          <w:sz w:val="20"/>
        </w:rPr>
        <w:t>Исходный DR использован как карта области: он задаёт семь фигур-якорей, роль комментария как полноценного жанра и два главных downstream-механизма — Arabic Plotinus и Proclean transmission. Веб-поиск расширил эту карту назад к Платону, Аристотелю, Middle Platonism, Numenius, Alexander of Aphrodisias и Chaldean Oracles, а вперёд — к Pseudo-Dionysius, Boethius, Liber de causis, Thomas Aquinas, Marsilio Ficino и рукописным линиям сохранения.</w:t>
      </w:r>
    </w:p>
    <w:p>
      <w:pPr>
        <w:spacing w:before="0" w:after="60" w:line="269" w:lineRule="auto"/>
      </w:pPr>
      <w:r>
        <w:rPr>
          <w:rFonts w:ascii="Noto Sans" w:hAnsi="Noto Sans" w:eastAsia="Noto Sans"/>
          <w:sz w:val="20"/>
        </w:rPr>
        <w:t>Для каждого маршрута отдельно разведены права на древнее произведение, конкретную редакцию/перевод, цифровой объект и условия платформы. Положительные теги в XLSX действуют только внутри указанного rights_scope и coverage; RIGHTS_REVIEW_REQUIRED запрещает автоматически расширять разрешение на иные версии, изображения или действия.</w:t>
      </w:r>
    </w:p>
    <w:p>
      <w:pPr>
        <w:spacing w:before="0" w:after="60" w:line="269" w:lineRule="auto"/>
      </w:pPr>
      <w:r>
        <w:rPr>
          <w:rFonts w:ascii="Noto Sans" w:hAnsi="Noto Sans" w:eastAsia="Noto Sans"/>
          <w:sz w:val="20"/>
        </w:rPr>
        <w:t>В реестре сохранены защищённые современные издания, библиотечная выдача, preview и purchase: цель — не отфильтровать всё несвободное, а показать максимально широкую законную карту чтения и исследования.</w:t>
      </w:r>
    </w:p>
    <w:p>
      <w:pPr>
        <w:pStyle w:val="Heading2"/>
        <w:keepNext/>
        <w:spacing w:before="100" w:after="80"/>
      </w:pPr>
      <w:r>
        <w:rPr>
          <w:rFonts w:ascii="Noto Sans" w:hAnsi="Noto Sans" w:eastAsia="Noto Sans"/>
          <w:b/>
          <w:color w:val="1F4E78"/>
          <w:sz w:val="24"/>
        </w:rPr>
        <w:t>Количественная рамка</w:t>
      </w:r>
    </w:p>
    <w:tbl>
      <w:tblPr>
        <w:tblStyle w:val="TableGrid"/>
        <w:tblW w:type="auto" w:w="0"/>
        <w:jc w:val="center"/>
        <w:tblLayout w:type="fixed"/>
        <w:tblLook w:firstColumn="1" w:firstRow="1" w:lastColumn="0" w:lastRow="0" w:noHBand="0" w:noVBand="1" w:val="04A0"/>
      </w:tblPr>
      <w:tblGrid>
        <w:gridCol w:w="3251"/>
        <w:gridCol w:w="3251"/>
        <w:gridCol w:w="3251"/>
      </w:tblGrid>
      <w:tr>
        <w:trPr>
          <w:cantSplit/>
          <w:tblHeader w:val="true"/>
        </w:trPr>
        <w:tc>
          <w:tcPr>
            <w:tcW w:type="dxa" w:w="2948"/>
            <w:vAlign w:val="top"/>
            <w:tcMar>
              <w:top w:w="80" w:type="dxa"/>
              <w:start w:w="90" w:type="dxa"/>
              <w:bottom w:w="80" w:type="dxa"/>
              <w:end w:w="90" w:type="dxa"/>
            </w:tcMar>
            <w:shd w:fill="1F4E78"/>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Показатель</w:t>
            </w:r>
          </w:p>
        </w:tc>
        <w:tc>
          <w:tcPr>
            <w:tcW w:type="dxa" w:w="1134"/>
            <w:vAlign w:val="top"/>
            <w:tcMar>
              <w:top w:w="80" w:type="dxa"/>
              <w:start w:w="90" w:type="dxa"/>
              <w:bottom w:w="80" w:type="dxa"/>
              <w:end w:w="90" w:type="dxa"/>
            </w:tcMar>
            <w:shd w:fill="1F4E78"/>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Итог</w:t>
            </w:r>
          </w:p>
        </w:tc>
        <w:tc>
          <w:tcPr>
            <w:tcW w:type="dxa" w:w="5386"/>
            <w:vAlign w:val="top"/>
            <w:tcMar>
              <w:top w:w="80" w:type="dxa"/>
              <w:start w:w="90" w:type="dxa"/>
              <w:bottom w:w="80" w:type="dxa"/>
              <w:end w:w="90" w:type="dxa"/>
            </w:tcMar>
            <w:shd w:fill="1F4E78"/>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Как читать</w:t>
            </w:r>
          </w:p>
        </w:tc>
      </w:tr>
      <w:tr>
        <w:trPr>
          <w:cantSplit/>
        </w:trPr>
        <w:tc>
          <w:tcPr>
            <w:tcW w:type="dxa" w:w="294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Практически различимых путей доступа</w:t>
            </w:r>
          </w:p>
        </w:tc>
        <w:tc>
          <w:tcPr>
            <w:tcW w:type="dxa" w:w="113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147</w:t>
            </w:r>
          </w:p>
        </w:tc>
        <w:tc>
          <w:tcPr>
            <w:tcW w:type="dxa" w:w="5386"/>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Одна строка = один различимый маршрут к конкретной версии, свидетелю или цифровому объекту.</w:t>
            </w:r>
          </w:p>
        </w:tc>
      </w:tr>
      <w:tr>
        <w:trPr>
          <w:cantSplit/>
        </w:trPr>
        <w:tc>
          <w:tcPr>
            <w:tcW w:type="dxa" w:w="294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Содержательных title-labels</w:t>
            </w:r>
          </w:p>
        </w:tc>
        <w:tc>
          <w:tcPr>
            <w:tcW w:type="dxa" w:w="113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около 104</w:t>
            </w:r>
          </w:p>
        </w:tc>
        <w:tc>
          <w:tcPr>
            <w:tcW w:type="dxa" w:w="5386"/>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До будущей глобальной дедупликации Codex; один древний текст может иметь несколько edition-level названий.</w:t>
            </w:r>
          </w:p>
        </w:tc>
      </w:tr>
      <w:tr>
        <w:trPr>
          <w:cantSplit/>
        </w:trPr>
        <w:tc>
          <w:tcPr>
            <w:tcW w:type="dxa" w:w="294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Открытых First1KGreek item-level записей</w:t>
            </w:r>
          </w:p>
        </w:tc>
        <w:tc>
          <w:tcPr>
            <w:tcW w:type="dxa" w:w="113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47</w:t>
            </w:r>
          </w:p>
        </w:tc>
        <w:tc>
          <w:tcPr>
            <w:tcW w:type="dxa" w:w="5386"/>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Греческие/латинские TEI/XML-файлы с отдельными CTS URN.</w:t>
            </w:r>
          </w:p>
        </w:tc>
      </w:tr>
      <w:tr>
        <w:trPr>
          <w:cantSplit/>
        </w:trPr>
        <w:tc>
          <w:tcPr>
            <w:tcW w:type="dxa" w:w="294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Физических свидетелей</w:t>
            </w:r>
          </w:p>
        </w:tc>
        <w:tc>
          <w:tcPr>
            <w:tcW w:type="dxa" w:w="113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6</w:t>
            </w:r>
          </w:p>
        </w:tc>
        <w:tc>
          <w:tcPr>
            <w:tcW w:type="dxa" w:w="5386"/>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Uppsala, Oxford, Cambridge и другие конкретные manuscript-level маршруты.</w:t>
            </w:r>
          </w:p>
        </w:tc>
      </w:tr>
      <w:tr>
        <w:trPr>
          <w:cantSplit/>
        </w:trPr>
        <w:tc>
          <w:tcPr>
            <w:tcW w:type="dxa" w:w="294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Инфраструктурных записей</w:t>
            </w:r>
          </w:p>
        </w:tc>
        <w:tc>
          <w:tcPr>
            <w:tcW w:type="dxa" w:w="113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6</w:t>
            </w:r>
          </w:p>
        </w:tc>
        <w:tc>
          <w:tcPr>
            <w:tcW w:type="dxa" w:w="5386"/>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First1KGreek, Scaife, Perseus Catalog, TLG, Pinakes и серия Ancient Commentators.</w:t>
            </w:r>
          </w:p>
        </w:tc>
      </w:tr>
      <w:tr>
        <w:trPr>
          <w:cantSplit/>
        </w:trPr>
        <w:tc>
          <w:tcPr>
            <w:tcW w:type="dxa" w:w="294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Пробелов на листе gaps</w:t>
            </w:r>
          </w:p>
        </w:tc>
        <w:tc>
          <w:tcPr>
            <w:tcW w:type="dxa" w:w="113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20</w:t>
            </w:r>
          </w:p>
        </w:tc>
        <w:tc>
          <w:tcPr>
            <w:tcW w:type="dxa" w:w="5386"/>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Неполные маршруты, спорные права, недостающие machine-readable слои и targeted follow-up.</w:t>
            </w:r>
          </w:p>
        </w:tc>
      </w:tr>
    </w:tbl>
    <w:p>
      <w:pPr>
        <w:spacing w:before="0" w:after="60" w:line="269" w:lineRule="auto"/>
      </w:pPr>
      <w:r>
        <w:rPr>
          <w:rFonts w:ascii="Noto Sans" w:hAnsi="Noto Sans" w:eastAsia="Noto Sans"/>
          <w:sz w:val="20"/>
        </w:rPr>
        <w:t>Режимы доступа пересекаются: 110 строк дают бесплатное чтение, 97 — бесплатное скачивание, 33 — покупку, 7 — институциональный доступ, 3 — библиотечную выдачу, 4 — preview/snippet, 11 — только метаданные. Поэтому эти числа нельзя складывать как взаимоисключающие категории.</w:t>
      </w:r>
    </w:p>
    <w:p>
      <w:pPr>
        <w:pStyle w:val="Heading1"/>
        <w:keepNext/>
        <w:spacing w:before="160" w:after="80"/>
      </w:pPr>
      <w:r>
        <w:rPr>
          <w:rFonts w:ascii="Noto Sans" w:hAnsi="Noto Sans" w:eastAsia="Noto Sans"/>
          <w:b/>
          <w:color w:val="17365D"/>
          <w:sz w:val="32"/>
        </w:rPr>
        <w:t>2. Охват корпуса</w:t>
      </w:r>
    </w:p>
    <w:p>
      <w:pPr>
        <w:pStyle w:val="Heading2"/>
        <w:keepNext/>
        <w:spacing w:before="100" w:after="80"/>
      </w:pPr>
      <w:r>
        <w:rPr>
          <w:rFonts w:ascii="Noto Sans" w:hAnsi="Noto Sans" w:eastAsia="Noto Sans"/>
          <w:b/>
          <w:color w:val="1F4E78"/>
          <w:sz w:val="24"/>
        </w:rPr>
        <w:t>2.1. Центральное ядро</w:t>
      </w:r>
    </w:p>
    <w:p>
      <w:pPr>
        <w:spacing w:before="0" w:after="60" w:line="269" w:lineRule="auto"/>
      </w:pPr>
      <w:r>
        <w:rPr>
          <w:rFonts w:ascii="Noto Sans" w:hAnsi="Noto Sans" w:eastAsia="Noto Sans"/>
          <w:sz w:val="20"/>
        </w:rPr>
        <w:t>Ядро A34 покрыто не только несколькими знаменитыми трактатами, но и теми формами письма, через которые позднеантичная философия реально существовала: редакция корпуса, школьная биография, логическое введение, платоновский и аристотелевский комментарий, теургический трактат, аксиоматическая метафизика и полемика.</w:t>
      </w:r>
    </w:p>
    <w:p>
      <w:pPr>
        <w:pStyle w:val="ListBullet"/>
        <w:spacing w:after="36" w:line="259" w:lineRule="auto"/>
      </w:pPr>
      <w:r>
        <w:rPr>
          <w:rFonts w:ascii="Noto Sans" w:hAnsi="Noto Sans" w:eastAsia="Noto Sans"/>
          <w:sz w:val="19"/>
        </w:rPr>
        <w:t>Plotinus: полный греческий корпус Enneads, Porphyrian editorial frame, четыре тома исторического английского перевода, старые греческие издания, современный Cambridge/Loeb и один рукописный маршрут.</w:t>
      </w:r>
    </w:p>
    <w:p>
      <w:pPr>
        <w:pStyle w:val="ListBullet"/>
        <w:spacing w:after="36" w:line="259" w:lineRule="auto"/>
      </w:pPr>
      <w:r>
        <w:rPr>
          <w:rFonts w:ascii="Noto Sans" w:hAnsi="Noto Sans" w:eastAsia="Noto Sans"/>
          <w:sz w:val="19"/>
        </w:rPr>
        <w:t>Porphyry: Life of Pythagoras, De abstinentia, Ad Marcellam, Isagoge, Categories by Question and Answer, Homeric material, Sententiae, фрагментарные History of Philosophy и Against the Christians, а также латинское продолжение через Boethius.</w:t>
      </w:r>
    </w:p>
    <w:p>
      <w:pPr>
        <w:pStyle w:val="ListBullet"/>
        <w:spacing w:after="36" w:line="259" w:lineRule="auto"/>
      </w:pPr>
      <w:r>
        <w:rPr>
          <w:rFonts w:ascii="Noto Sans" w:hAnsi="Noto Sans" w:eastAsia="Noto Sans"/>
          <w:sz w:val="19"/>
        </w:rPr>
        <w:t>Iamblichus: De Mysteriis и основные члены Pythagorean corpus — Vita Pythagorica, Protrepticus, De communi mathematica scientia и комментарий к Nicomachus.</w:t>
      </w:r>
    </w:p>
    <w:p>
      <w:pPr>
        <w:pStyle w:val="ListBullet"/>
        <w:spacing w:after="36" w:line="259" w:lineRule="auto"/>
      </w:pPr>
      <w:r>
        <w:rPr>
          <w:rFonts w:ascii="Noto Sans" w:hAnsi="Noto Sans" w:eastAsia="Noto Sans"/>
          <w:sz w:val="19"/>
        </w:rPr>
        <w:t>Proclus: Elements of Theology, Platonic Theology, комментарии к Republic, Timaeus, Parmenides, Cratylus и Euclid, Elements of Physics, providence/eternity texts и manuscript-level witnesses.</w:t>
      </w:r>
    </w:p>
    <w:p>
      <w:pPr>
        <w:pStyle w:val="ListBullet"/>
        <w:spacing w:after="36" w:line="259" w:lineRule="auto"/>
      </w:pPr>
      <w:r>
        <w:rPr>
          <w:rFonts w:ascii="Noto Sans" w:hAnsi="Noto Sans" w:eastAsia="Noto Sans"/>
          <w:sz w:val="19"/>
        </w:rPr>
        <w:t>Damascius: Problems and Solutions Concerning First Principles, Philebus/Phaedo lectures, Philosophical History/Life of Isidore и два конкретных рукописных входа.</w:t>
      </w:r>
    </w:p>
    <w:p>
      <w:pPr>
        <w:pStyle w:val="ListBullet"/>
        <w:spacing w:after="36" w:line="259" w:lineRule="auto"/>
      </w:pPr>
      <w:r>
        <w:rPr>
          <w:rFonts w:ascii="Noto Sans" w:hAnsi="Noto Sans" w:eastAsia="Noto Sans"/>
          <w:sz w:val="19"/>
        </w:rPr>
        <w:t>Simplicius: комментарии к Aristotle (Physics, Categories, De caelo, De anima) и к Epictetus; отдельные исторические и современные translation layers.</w:t>
      </w:r>
    </w:p>
    <w:p>
      <w:pPr>
        <w:pStyle w:val="ListBullet"/>
        <w:spacing w:after="36" w:line="259" w:lineRule="auto"/>
      </w:pPr>
      <w:r>
        <w:rPr>
          <w:rFonts w:ascii="Noto Sans" w:hAnsi="Noto Sans" w:eastAsia="Noto Sans"/>
          <w:sz w:val="19"/>
        </w:rPr>
        <w:t>Philoponus: комментарии к Aristotle, Against Proclus, Against Aristotle и связанные corollaries/controversy texts.</w:t>
      </w:r>
    </w:p>
    <w:p>
      <w:pPr>
        <w:pStyle w:val="Heading2"/>
        <w:keepNext/>
        <w:spacing w:before="100" w:after="80"/>
      </w:pPr>
      <w:r>
        <w:rPr>
          <w:rFonts w:ascii="Noto Sans" w:hAnsi="Noto Sans" w:eastAsia="Noto Sans"/>
          <w:b/>
          <w:color w:val="1F4E78"/>
          <w:sz w:val="24"/>
        </w:rPr>
        <w:t>2.2. Расширение внутри той же школьной и комментарийной традиции</w:t>
      </w:r>
    </w:p>
    <w:p>
      <w:pPr>
        <w:spacing w:before="0" w:after="60" w:line="269" w:lineRule="auto"/>
      </w:pPr>
      <w:r>
        <w:rPr>
          <w:rFonts w:ascii="Noto Sans" w:hAnsi="Noto Sans" w:eastAsia="Noto Sans"/>
          <w:sz w:val="20"/>
        </w:rPr>
        <w:t>Веб-поиск добавил прямых членов школьной экосистемы, без которых комментарийная машина A34 выглядела бы искусственно сведённой к семи именам. В основной registry вошли Syrianus, Ammonius, Asclepius, Olympiodorus, Elias, David, Dexippus и Marinus. Их включение основано не на общей принадлежности к поздней античности, а на конкретной роли: афинская преемственность Proclus, александрийская учебная программа, комментарии к Isagoge/Categories/De interpretatione/Metaphysics и биографическая канонизация Proclus.</w:t>
      </w:r>
    </w:p>
    <w:p>
      <w:pPr>
        <w:spacing w:before="0" w:after="60" w:line="269" w:lineRule="auto"/>
      </w:pPr>
      <w:r>
        <w:rPr>
          <w:rFonts w:ascii="Noto Sans" w:hAnsi="Noto Sans" w:eastAsia="Noto Sans"/>
          <w:sz w:val="20"/>
        </w:rPr>
        <w:t>Eusebius' Praeparatio evangelica включена как transmission_or_preservation, поскольку сохраняет значительные фрагменты более ранней платонической и философской литературы, используемой для реконструкции входящих линий. Отдельные комментарии, традиционно приписывавшиеся Simplicius, отмечены осторожно: доступ к тексту зарегистрирован, но attribution не превращена в ложную точность.</w:t>
      </w:r>
    </w:p>
    <w:p>
      <w:pPr>
        <w:pStyle w:val="Heading2"/>
        <w:keepNext/>
        <w:spacing w:before="100" w:after="80"/>
      </w:pPr>
      <w:r>
        <w:rPr>
          <w:rFonts w:ascii="Noto Sans" w:hAnsi="Noto Sans" w:eastAsia="Noto Sans"/>
          <w:b/>
          <w:color w:val="1F4E78"/>
          <w:sz w:val="24"/>
        </w:rPr>
        <w:t>2.3. Поиск назад во времени</w:t>
      </w:r>
    </w:p>
    <w:tbl>
      <w:tblPr>
        <w:tblStyle w:val="TableGrid"/>
        <w:tblW w:type="auto" w:w="0"/>
        <w:jc w:val="center"/>
        <w:tblLayout w:type="fixed"/>
        <w:tblLook w:firstColumn="1" w:firstRow="1" w:lastColumn="0" w:lastRow="0" w:noHBand="0" w:noVBand="1" w:val="04A0"/>
      </w:tblPr>
      <w:tblGrid>
        <w:gridCol w:w="4876"/>
        <w:gridCol w:w="4876"/>
      </w:tblGrid>
      <w:tr>
        <w:trPr>
          <w:cantSplit/>
          <w:tblHeader w:val="true"/>
        </w:trPr>
        <w:tc>
          <w:tcPr>
            <w:tcW w:type="dxa" w:w="2665"/>
            <w:vAlign w:val="top"/>
            <w:tcMar>
              <w:top w:w="80" w:type="dxa"/>
              <w:start w:w="90" w:type="dxa"/>
              <w:bottom w:w="80" w:type="dxa"/>
              <w:end w:w="90" w:type="dxa"/>
            </w:tcMar>
            <w:shd w:fill="B58A00"/>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Объект</w:t>
            </w:r>
          </w:p>
        </w:tc>
        <w:tc>
          <w:tcPr>
            <w:tcW w:type="dxa" w:w="6803"/>
            <w:vAlign w:val="top"/>
            <w:tcMar>
              <w:top w:w="80" w:type="dxa"/>
              <w:start w:w="90" w:type="dxa"/>
              <w:bottom w:w="80" w:type="dxa"/>
              <w:end w:w="90" w:type="dxa"/>
            </w:tcMar>
            <w:shd w:fill="B58A00"/>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Конкретная связь с A34</w:t>
            </w:r>
          </w:p>
        </w:tc>
      </w:tr>
      <w:tr>
        <w:trPr>
          <w:cantSplit/>
        </w:trPr>
        <w:tc>
          <w:tcPr>
            <w:tcW w:type="dxa" w:w="266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Plato corpus</w:t>
            </w:r>
          </w:p>
        </w:tc>
        <w:tc>
          <w:tcPr>
            <w:tcW w:type="dxa" w:w="6803"/>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канон, на который опираются Plotinus и Proclean commentaries; включён bounded corpus portal, а не общая библиография Платона.</w:t>
            </w:r>
          </w:p>
        </w:tc>
      </w:tr>
      <w:tr>
        <w:trPr>
          <w:cantSplit/>
        </w:trPr>
        <w:tc>
          <w:tcPr>
            <w:tcW w:type="dxa" w:w="266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Aristotle corpus</w:t>
            </w:r>
          </w:p>
        </w:tc>
        <w:tc>
          <w:tcPr>
            <w:tcW w:type="dxa" w:w="6803"/>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учебное ядро Porphyry, Syrianus, Ammonius, Simplicius и Philoponus; включён как прямой curricular antecedent.</w:t>
            </w:r>
          </w:p>
        </w:tc>
      </w:tr>
      <w:tr>
        <w:trPr>
          <w:cantSplit/>
        </w:trPr>
        <w:tc>
          <w:tcPr>
            <w:tcW w:type="dxa" w:w="266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Numenius of Apamea</w:t>
            </w:r>
          </w:p>
        </w:tc>
        <w:tc>
          <w:tcPr>
            <w:tcW w:type="dxa" w:w="6803"/>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Middle Platonic предшественник Plotinian metaphysics; зарегистрированы открытый Greek TEI fragment layer и историческая fragment collection.</w:t>
            </w:r>
          </w:p>
        </w:tc>
      </w:tr>
      <w:tr>
        <w:trPr>
          <w:cantSplit/>
        </w:trPr>
        <w:tc>
          <w:tcPr>
            <w:tcW w:type="dxa" w:w="266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Alcinous, Didaskalikos</w:t>
            </w:r>
          </w:p>
        </w:tc>
        <w:tc>
          <w:tcPr>
            <w:tcW w:type="dxa" w:w="6803"/>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прямой Middle Platonic doctrinal comparator; современный защищённый scholarly route.</w:t>
            </w:r>
          </w:p>
        </w:tc>
      </w:tr>
      <w:tr>
        <w:trPr>
          <w:cantSplit/>
        </w:trPr>
        <w:tc>
          <w:tcPr>
            <w:tcW w:type="dxa" w:w="266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Alexander of Aphrodisias</w:t>
            </w:r>
          </w:p>
        </w:tc>
        <w:tc>
          <w:tcPr>
            <w:tcW w:type="dxa" w:w="6803"/>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Aristotelian commentary/metaphysics до зрелого неоплатонизма; открытые Greek texts и historical corpus scan.</w:t>
            </w:r>
          </w:p>
        </w:tc>
      </w:tr>
      <w:tr>
        <w:trPr>
          <w:cantSplit/>
        </w:trPr>
        <w:tc>
          <w:tcPr>
            <w:tcW w:type="dxa" w:w="266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Chaldean Oracles</w:t>
            </w:r>
          </w:p>
        </w:tc>
        <w:tc>
          <w:tcPr>
            <w:tcW w:type="dxa" w:w="6803"/>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теургический и космологический вход в Iamblichus/Proclus; зарегистрированы только fragments/testimonia, без выдуманного целого корпуса.</w:t>
            </w:r>
          </w:p>
        </w:tc>
      </w:tr>
    </w:tbl>
    <w:p>
      <w:pPr>
        <w:pStyle w:val="Heading2"/>
        <w:keepNext/>
        <w:spacing w:before="100" w:after="80"/>
      </w:pPr>
      <w:r>
        <w:rPr>
          <w:rFonts w:ascii="Noto Sans" w:hAnsi="Noto Sans" w:eastAsia="Noto Sans"/>
          <w:b/>
          <w:color w:val="1F4E78"/>
          <w:sz w:val="24"/>
        </w:rPr>
        <w:t>2.4. Поиск вперёд во времени</w:t>
      </w:r>
    </w:p>
    <w:tbl>
      <w:tblPr>
        <w:tblStyle w:val="TableGrid"/>
        <w:tblW w:type="auto" w:w="0"/>
        <w:jc w:val="center"/>
        <w:tblLayout w:type="fixed"/>
        <w:tblLook w:firstColumn="1" w:firstRow="1" w:lastColumn="0" w:lastRow="0" w:noHBand="0" w:noVBand="1" w:val="04A0"/>
      </w:tblPr>
      <w:tblGrid>
        <w:gridCol w:w="4876"/>
        <w:gridCol w:w="4876"/>
      </w:tblGrid>
      <w:tr>
        <w:trPr>
          <w:cantSplit/>
          <w:tblHeader w:val="true"/>
        </w:trPr>
        <w:tc>
          <w:tcPr>
            <w:tcW w:type="dxa" w:w="2665"/>
            <w:vAlign w:val="top"/>
            <w:tcMar>
              <w:top w:w="80" w:type="dxa"/>
              <w:start w:w="90" w:type="dxa"/>
              <w:bottom w:w="80" w:type="dxa"/>
              <w:end w:w="90" w:type="dxa"/>
            </w:tcMar>
            <w:shd w:fill="C65911"/>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Объект</w:t>
            </w:r>
          </w:p>
        </w:tc>
        <w:tc>
          <w:tcPr>
            <w:tcW w:type="dxa" w:w="6803"/>
            <w:vAlign w:val="top"/>
            <w:tcMar>
              <w:top w:w="80" w:type="dxa"/>
              <w:start w:w="90" w:type="dxa"/>
              <w:bottom w:w="80" w:type="dxa"/>
              <w:end w:w="90" w:type="dxa"/>
            </w:tcMar>
            <w:shd w:fill="C65911"/>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Роль в передаче</w:t>
            </w:r>
          </w:p>
        </w:tc>
      </w:tr>
      <w:tr>
        <w:trPr>
          <w:cantSplit/>
        </w:trPr>
        <w:tc>
          <w:tcPr>
            <w:tcW w:type="dxa" w:w="266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Pseudo-Dionysian Corpus</w:t>
            </w:r>
          </w:p>
        </w:tc>
        <w:tc>
          <w:tcPr>
            <w:tcW w:type="dxa" w:w="6803"/>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Proclean vocabulary и hierarchy переоформлены в христианской апофатической теологии; старые полные/частичные переводы и современный защищённый вариант.</w:t>
            </w:r>
          </w:p>
        </w:tc>
      </w:tr>
      <w:tr>
        <w:trPr>
          <w:cantSplit/>
        </w:trPr>
        <w:tc>
          <w:tcPr>
            <w:tcW w:type="dxa" w:w="266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Theology of Aristotle / Arabic Plotinus</w:t>
            </w:r>
          </w:p>
        </w:tc>
        <w:tc>
          <w:tcPr>
            <w:tcW w:type="dxa" w:w="6803"/>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арабская адаптация Plotinian material; зарегистрирован Arabic-German historical edition и современный Brill route.</w:t>
            </w:r>
          </w:p>
        </w:tc>
      </w:tr>
      <w:tr>
        <w:trPr>
          <w:cantSplit/>
        </w:trPr>
        <w:tc>
          <w:tcPr>
            <w:tcW w:type="dxa" w:w="266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Liber de causis</w:t>
            </w:r>
          </w:p>
        </w:tc>
        <w:tc>
          <w:tcPr>
            <w:tcW w:type="dxa" w:w="6803"/>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арабско-латинская переработка Proclus' Elements; зарегистрированы Arabic/Latin historical edition и Aquinas' commentary.</w:t>
            </w:r>
          </w:p>
        </w:tc>
      </w:tr>
      <w:tr>
        <w:trPr>
          <w:cantSplit/>
        </w:trPr>
        <w:tc>
          <w:tcPr>
            <w:tcW w:type="dxa" w:w="266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Boethius on Isagoge</w:t>
            </w:r>
          </w:p>
        </w:tc>
        <w:tc>
          <w:tcPr>
            <w:tcW w:type="dxa" w:w="6803"/>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латинская логическая передача Porphyry и будущая проблема универсалий; печатное издание и конкретный рукописный witness.</w:t>
            </w:r>
          </w:p>
        </w:tc>
      </w:tr>
      <w:tr>
        <w:trPr>
          <w:cantSplit/>
        </w:trPr>
        <w:tc>
          <w:tcPr>
            <w:tcW w:type="dxa" w:w="266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Marsilio Ficino</w:t>
            </w:r>
          </w:p>
        </w:tc>
        <w:tc>
          <w:tcPr>
            <w:tcW w:type="dxa" w:w="6803"/>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Renaissance recanonization Plotinus through Greek-Latin edition; включена как transmission, не как часть позднеантичного ядра.</w:t>
            </w:r>
          </w:p>
        </w:tc>
      </w:tr>
      <w:tr>
        <w:trPr>
          <w:cantSplit/>
        </w:trPr>
        <w:tc>
          <w:tcPr>
            <w:tcW w:type="dxa" w:w="266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Thomas Aquinas, Super Librum de causis</w:t>
            </w:r>
          </w:p>
        </w:tc>
        <w:tc>
          <w:tcPr>
            <w:tcW w:type="dxa" w:w="6803"/>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поздняя scholarly recognition and commentary on the Proclean causal tradition; read-only Latin route.</w:t>
            </w:r>
          </w:p>
        </w:tc>
      </w:tr>
    </w:tbl>
    <w:p>
      <w:pPr>
        <w:pStyle w:val="Heading2"/>
        <w:keepNext/>
        <w:spacing w:before="100" w:after="80"/>
      </w:pPr>
      <w:r>
        <w:rPr>
          <w:rFonts w:ascii="Noto Sans" w:hAnsi="Noto Sans" w:eastAsia="Noto Sans"/>
          <w:b/>
          <w:color w:val="1F4E78"/>
          <w:sz w:val="24"/>
        </w:rPr>
        <w:t>2.5. Распределение записей по релевантности</w:t>
      </w:r>
    </w:p>
    <w:tbl>
      <w:tblPr>
        <w:tblStyle w:val="TableGrid"/>
        <w:tblW w:type="auto" w:w="0"/>
        <w:jc w:val="center"/>
        <w:tblLayout w:type="fixed"/>
        <w:tblLook w:firstColumn="1" w:firstRow="1" w:lastColumn="0" w:lastRow="0" w:noHBand="0" w:noVBand="1" w:val="04A0"/>
      </w:tblPr>
      <w:tblGrid>
        <w:gridCol w:w="3251"/>
        <w:gridCol w:w="3251"/>
        <w:gridCol w:w="3251"/>
      </w:tblGrid>
      <w:tr>
        <w:trPr>
          <w:cantSplit/>
          <w:tblHeader w:val="true"/>
        </w:trPr>
        <w:tc>
          <w:tcPr>
            <w:tcW w:type="dxa" w:w="2835"/>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Relevance</w:t>
            </w:r>
          </w:p>
        </w:tc>
        <w:tc>
          <w:tcPr>
            <w:tcW w:type="dxa" w:w="850"/>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Строк</w:t>
            </w:r>
          </w:p>
        </w:tc>
        <w:tc>
          <w:tcPr>
            <w:tcW w:type="dxa" w:w="5783"/>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Смысл</w:t>
            </w:r>
          </w:p>
        </w:tc>
      </w:tr>
      <w:tr>
        <w:trPr>
          <w:cantSplit/>
        </w:trPr>
        <w:tc>
          <w:tcPr>
            <w:tcW w:type="dxa" w:w="283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core</w:t>
            </w:r>
          </w:p>
        </w:tc>
        <w:tc>
          <w:tcPr>
            <w:tcW w:type="dxa" w:w="850"/>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64</w:t>
            </w:r>
          </w:p>
        </w:tc>
        <w:tc>
          <w:tcPr>
            <w:tcW w:type="dxa" w:w="5783"/>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центральные произведения, комментарии и ключевые access layers</w:t>
            </w:r>
          </w:p>
        </w:tc>
      </w:tr>
      <w:tr>
        <w:trPr>
          <w:cantSplit/>
        </w:trPr>
        <w:tc>
          <w:tcPr>
            <w:tcW w:type="dxa" w:w="283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same_corpus_or_tradition</w:t>
            </w:r>
          </w:p>
        </w:tc>
        <w:tc>
          <w:tcPr>
            <w:tcW w:type="dxa" w:w="850"/>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29</w:t>
            </w:r>
          </w:p>
        </w:tc>
        <w:tc>
          <w:tcPr>
            <w:tcW w:type="dxa" w:w="5783"/>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прямые члены школ, жанровых и комментарийных линий</w:t>
            </w:r>
          </w:p>
        </w:tc>
      </w:tr>
      <w:tr>
        <w:trPr>
          <w:cantSplit/>
        </w:trPr>
        <w:tc>
          <w:tcPr>
            <w:tcW w:type="dxa" w:w="283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antecedent</w:t>
            </w:r>
          </w:p>
        </w:tc>
        <w:tc>
          <w:tcPr>
            <w:tcW w:type="dxa" w:w="850"/>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8</w:t>
            </w:r>
          </w:p>
        </w:tc>
        <w:tc>
          <w:tcPr>
            <w:tcW w:type="dxa" w:w="5783"/>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ранние входящие источники</w:t>
            </w:r>
          </w:p>
        </w:tc>
      </w:tr>
      <w:tr>
        <w:trPr>
          <w:cantSplit/>
        </w:trPr>
        <w:tc>
          <w:tcPr>
            <w:tcW w:type="dxa" w:w="283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continuation</w:t>
            </w:r>
          </w:p>
        </w:tc>
        <w:tc>
          <w:tcPr>
            <w:tcW w:type="dxa" w:w="850"/>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7</w:t>
            </w:r>
          </w:p>
        </w:tc>
        <w:tc>
          <w:tcPr>
            <w:tcW w:type="dxa" w:w="5783"/>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поздняя фаза той же commentarial tradition</w:t>
            </w:r>
          </w:p>
        </w:tc>
      </w:tr>
      <w:tr>
        <w:trPr>
          <w:cantSplit/>
        </w:trPr>
        <w:tc>
          <w:tcPr>
            <w:tcW w:type="dxa" w:w="283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commentary_or_reception</w:t>
            </w:r>
          </w:p>
        </w:tc>
        <w:tc>
          <w:tcPr>
            <w:tcW w:type="dxa" w:w="850"/>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5</w:t>
            </w:r>
          </w:p>
        </w:tc>
        <w:tc>
          <w:tcPr>
            <w:tcW w:type="dxa" w:w="5783"/>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существенная рецепция или полемика</w:t>
            </w:r>
          </w:p>
        </w:tc>
      </w:tr>
      <w:tr>
        <w:trPr>
          <w:cantSplit/>
        </w:trPr>
        <w:tc>
          <w:tcPr>
            <w:tcW w:type="dxa" w:w="283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transmission_or_preservation</w:t>
            </w:r>
          </w:p>
        </w:tc>
        <w:tc>
          <w:tcPr>
            <w:tcW w:type="dxa" w:w="850"/>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24</w:t>
            </w:r>
          </w:p>
        </w:tc>
        <w:tc>
          <w:tcPr>
            <w:tcW w:type="dxa" w:w="5783"/>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переводы, компиляции, testimonia, рукописи и сохранение</w:t>
            </w:r>
          </w:p>
        </w:tc>
      </w:tr>
      <w:tr>
        <w:trPr>
          <w:cantSplit/>
        </w:trPr>
        <w:tc>
          <w:tcPr>
            <w:tcW w:type="dxa" w:w="283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supporting</w:t>
            </w:r>
          </w:p>
        </w:tc>
        <w:tc>
          <w:tcPr>
            <w:tcW w:type="dxa" w:w="850"/>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3</w:t>
            </w:r>
          </w:p>
        </w:tc>
        <w:tc>
          <w:tcPr>
            <w:tcW w:type="dxa" w:w="5783"/>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узкие вспомогательные тексты</w:t>
            </w:r>
          </w:p>
        </w:tc>
      </w:tr>
      <w:tr>
        <w:trPr>
          <w:cantSplit/>
        </w:trPr>
        <w:tc>
          <w:tcPr>
            <w:tcW w:type="dxa" w:w="283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boundary</w:t>
            </w:r>
          </w:p>
        </w:tc>
        <w:tc>
          <w:tcPr>
            <w:tcW w:type="dxa" w:w="850"/>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1</w:t>
            </w:r>
          </w:p>
        </w:tc>
        <w:tc>
          <w:tcPr>
            <w:tcW w:type="dxa" w:w="5783"/>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один пограничный объект с соседним узлом</w:t>
            </w:r>
          </w:p>
        </w:tc>
      </w:tr>
      <w:tr>
        <w:trPr>
          <w:cantSplit/>
        </w:trPr>
        <w:tc>
          <w:tcPr>
            <w:tcW w:type="dxa" w:w="283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infrastructure</w:t>
            </w:r>
          </w:p>
        </w:tc>
        <w:tc>
          <w:tcPr>
            <w:tcW w:type="dxa" w:w="850"/>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6</w:t>
            </w:r>
          </w:p>
        </w:tc>
        <w:tc>
          <w:tcPr>
            <w:tcW w:type="dxa" w:w="5783"/>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корпусы, каталоги и сервисы доступа</w:t>
            </w:r>
          </w:p>
        </w:tc>
      </w:tr>
    </w:tbl>
    <w:p>
      <w:pPr>
        <w:pStyle w:val="Heading1"/>
        <w:keepNext/>
        <w:spacing w:before="160" w:after="80"/>
      </w:pPr>
      <w:r>
        <w:rPr>
          <w:rFonts w:ascii="Noto Sans" w:hAnsi="Noto Sans" w:eastAsia="Noto Sans"/>
          <w:b/>
          <w:color w:val="17365D"/>
          <w:sz w:val="32"/>
        </w:rPr>
        <w:t>3. Лучшие пути доступа</w:t>
      </w:r>
    </w:p>
    <w:p>
      <w:pPr>
        <w:spacing w:before="0" w:after="60" w:line="269" w:lineRule="auto"/>
      </w:pPr>
      <w:r>
        <w:rPr>
          <w:rFonts w:ascii="Noto Sans" w:hAnsi="Noto Sans" w:eastAsia="Noto Sans"/>
          <w:sz w:val="20"/>
        </w:rPr>
        <w:t>Ниже названы лучшие practically useful routes. Record ID позволяет сразу найти полную rights-карточку в XLSX. Исторический перевод не объявляется лучшим научным переводом; современный защищённый вариант сохраняется рядом с открытым старым слоем.</w:t>
      </w:r>
    </w:p>
    <w:p>
      <w:pPr>
        <w:pStyle w:val="Heading2"/>
        <w:keepNext/>
        <w:spacing w:before="100" w:after="80"/>
      </w:pPr>
      <w:r>
        <w:rPr>
          <w:rFonts w:ascii="Noto Sans" w:hAnsi="Noto Sans" w:eastAsia="Noto Sans"/>
          <w:b/>
          <w:color w:val="1F4E78"/>
          <w:sz w:val="24"/>
        </w:rPr>
        <w:t>3.1. Plotinus и Porphyrian editorial complex</w:t>
      </w:r>
    </w:p>
    <w:p>
      <w:pPr>
        <w:spacing w:before="0" w:after="60" w:line="269" w:lineRule="auto"/>
      </w:pPr>
      <w:r>
        <w:rPr>
          <w:rFonts w:ascii="Noto Sans" w:hAnsi="Noto Sans" w:eastAsia="Noto Sans"/>
          <w:sz w:val="20"/>
        </w:rPr>
        <w:t>Лучший открытый оригинальный и машиночитаемый слой — First1KGreek TEI/XML Enneads. Это единственный маршрут, одновременно дающий полный Greek text, стабильный CTS URN, чтение в Scaife и file-level CC BY-SA 4.0.</w:t>
      </w:r>
    </w:p>
    <w:p>
      <w:pPr>
        <w:spacing w:after="30" w:line="252" w:lineRule="auto"/>
        <w:ind w:left="198" w:hanging="198"/>
      </w:pPr>
      <w:r>
        <w:rPr>
          <w:rFonts w:ascii="Noto Sans" w:hAnsi="Noto Sans" w:eastAsia="Noto Sans"/>
          <w:b/>
          <w:color w:val="1F4E78"/>
          <w:sz w:val="19"/>
        </w:rPr>
        <w:t xml:space="preserve">A34-R001 — </w:t>
      </w:r>
      <w:hyperlink r:id="rId11">
        <w:r>
          <w:rPr>
            <w:color w:val="0563C1"/>
            <w:u w:val="single"/>
            <w:rFonts w:ascii="Noto Sans" w:hAnsi="Noto Sans" w:eastAsia="Noto Sans"/>
          </w:rPr>
          <w:t>Enneads — Greek TEI/XML in Scaife</w:t>
        </w:r>
      </w:hyperlink>
      <w:r>
        <w:rPr>
          <w:rFonts w:ascii="Noto Sans" w:hAnsi="Noto Sans" w:eastAsia="Noto Sans"/>
          <w:sz w:val="19"/>
        </w:rPr>
        <w:t>. Полный Greek e-text; CC BY-SA 4.0.</w:t>
      </w:r>
    </w:p>
    <w:p>
      <w:pPr>
        <w:spacing w:after="30" w:line="252" w:lineRule="auto"/>
        <w:ind w:left="198" w:hanging="198"/>
      </w:pPr>
      <w:r>
        <w:rPr>
          <w:rFonts w:ascii="Noto Sans" w:hAnsi="Noto Sans" w:eastAsia="Noto Sans"/>
          <w:b/>
          <w:color w:val="1F4E78"/>
          <w:sz w:val="19"/>
        </w:rPr>
        <w:t xml:space="preserve">A34-R048–R051 — </w:t>
      </w:r>
      <w:hyperlink r:id="rId12">
        <w:r>
          <w:rPr>
            <w:color w:val="0563C1"/>
            <w:u w:val="single"/>
            <w:rFonts w:ascii="Noto Sans" w:hAnsi="Noto Sans" w:eastAsia="Noto Sans"/>
          </w:rPr>
          <w:t>Guthrie English translation, four Project Gutenberg volumes</w:t>
        </w:r>
      </w:hyperlink>
      <w:r>
        <w:rPr>
          <w:rFonts w:ascii="Noto Sans" w:hAnsi="Noto Sans" w:eastAsia="Noto Sans"/>
          <w:sz w:val="19"/>
        </w:rPr>
        <w:t>. Лучший бесплатный полный historical English layer; четыре отдельных тома.</w:t>
      </w:r>
    </w:p>
    <w:p>
      <w:pPr>
        <w:spacing w:after="30" w:line="252" w:lineRule="auto"/>
        <w:ind w:left="198" w:hanging="198"/>
      </w:pPr>
      <w:r>
        <w:rPr>
          <w:rFonts w:ascii="Noto Sans" w:hAnsi="Noto Sans" w:eastAsia="Noto Sans"/>
          <w:b/>
          <w:color w:val="1F4E78"/>
          <w:sz w:val="19"/>
        </w:rPr>
        <w:t xml:space="preserve">A34-R052–R053 — </w:t>
      </w:r>
      <w:hyperlink r:id="rId13">
        <w:r>
          <w:rPr>
            <w:color w:val="0563C1"/>
            <w:u w:val="single"/>
            <w:rFonts w:ascii="Noto Sans" w:hAnsi="Noto Sans" w:eastAsia="Noto Sans"/>
          </w:rPr>
          <w:t>Volkmann Greek edition, historical scans</w:t>
        </w:r>
      </w:hyperlink>
      <w:r>
        <w:rPr>
          <w:rFonts w:ascii="Noto Sans" w:hAnsi="Noto Sans" w:eastAsia="Noto Sans"/>
          <w:sz w:val="19"/>
        </w:rPr>
        <w:t>. Лучший старый Greek print layer; vol. 1 включает Life of Plotinus.</w:t>
      </w:r>
    </w:p>
    <w:p>
      <w:pPr>
        <w:spacing w:after="30" w:line="252" w:lineRule="auto"/>
        <w:ind w:left="198" w:hanging="198"/>
      </w:pPr>
      <w:r>
        <w:rPr>
          <w:rFonts w:ascii="Noto Sans" w:hAnsi="Noto Sans" w:eastAsia="Noto Sans"/>
          <w:b/>
          <w:color w:val="1F4E78"/>
          <w:sz w:val="19"/>
        </w:rPr>
        <w:t xml:space="preserve">A34-R058 — </w:t>
      </w:r>
      <w:hyperlink r:id="rId14">
        <w:r>
          <w:rPr>
            <w:color w:val="0563C1"/>
            <w:u w:val="single"/>
            <w:rFonts w:ascii="Noto Sans" w:hAnsi="Noto Sans" w:eastAsia="Noto Sans"/>
          </w:rPr>
          <w:t>Cambridge modern complete translation</w:t>
        </w:r>
      </w:hyperlink>
      <w:r>
        <w:rPr>
          <w:rFonts w:ascii="Noto Sans" w:hAnsi="Noto Sans" w:eastAsia="Noto Sans"/>
          <w:sz w:val="19"/>
        </w:rPr>
        <w:t>. Лучший modern broad English option; purchase/institutional.</w:t>
      </w:r>
    </w:p>
    <w:p>
      <w:pPr>
        <w:spacing w:after="30" w:line="252" w:lineRule="auto"/>
        <w:ind w:left="198" w:hanging="198"/>
      </w:pPr>
      <w:r>
        <w:rPr>
          <w:rFonts w:ascii="Noto Sans" w:hAnsi="Noto Sans" w:eastAsia="Noto Sans"/>
          <w:b/>
          <w:color w:val="1F4E78"/>
          <w:sz w:val="19"/>
        </w:rPr>
        <w:t xml:space="preserve">A34-R059 — </w:t>
      </w:r>
      <w:hyperlink r:id="rId15">
        <w:r>
          <w:rPr>
            <w:color w:val="0563C1"/>
            <w:u w:val="single"/>
            <w:rFonts w:ascii="Noto Sans" w:hAnsi="Noto Sans" w:eastAsia="Noto Sans"/>
          </w:rPr>
          <w:t>Loeb Classical Library, volume I</w:t>
        </w:r>
      </w:hyperlink>
      <w:r>
        <w:rPr>
          <w:rFonts w:ascii="Noto Sans" w:hAnsi="Noto Sans" w:eastAsia="Noto Sans"/>
          <w:sz w:val="19"/>
        </w:rPr>
        <w:t>. Greek-English scholarly route; первая часть серии.</w:t>
      </w:r>
    </w:p>
    <w:p>
      <w:pPr>
        <w:spacing w:after="30" w:line="252" w:lineRule="auto"/>
        <w:ind w:left="198" w:hanging="198"/>
      </w:pPr>
      <w:r>
        <w:rPr>
          <w:rFonts w:ascii="Noto Sans" w:hAnsi="Noto Sans" w:eastAsia="Noto Sans"/>
          <w:b/>
          <w:color w:val="1F4E78"/>
          <w:sz w:val="19"/>
        </w:rPr>
        <w:t xml:space="preserve">A34-R060 — </w:t>
      </w:r>
      <w:hyperlink r:id="rId16">
        <w:r>
          <w:rPr>
            <w:color w:val="0563C1"/>
            <w:u w:val="single"/>
            <w:rFonts w:ascii="Noto Sans" w:hAnsi="Noto Sans" w:eastAsia="Noto Sans"/>
          </w:rPr>
          <w:t>НЭБ: Plotiniana, том 6</w:t>
        </w:r>
      </w:hyperlink>
      <w:r>
        <w:rPr>
          <w:rFonts w:ascii="Noto Sans" w:hAnsi="Noto Sans" w:eastAsia="Noto Sans"/>
          <w:sz w:val="19"/>
        </w:rPr>
        <w:t>. Законный Russian bibliographic/library route; защищённое издание.</w:t>
      </w:r>
    </w:p>
    <w:p>
      <w:pPr>
        <w:spacing w:after="30" w:line="252" w:lineRule="auto"/>
        <w:ind w:left="198" w:hanging="198"/>
      </w:pPr>
      <w:r>
        <w:rPr>
          <w:rFonts w:ascii="Noto Sans" w:hAnsi="Noto Sans" w:eastAsia="Noto Sans"/>
          <w:b/>
          <w:color w:val="1F4E78"/>
          <w:sz w:val="19"/>
        </w:rPr>
        <w:t xml:space="preserve">A34-R061 — </w:t>
      </w:r>
      <w:hyperlink r:id="rId17">
        <w:r>
          <w:rPr>
            <w:color w:val="0563C1"/>
            <w:u w:val="single"/>
            <w:rFonts w:ascii="Noto Sans" w:hAnsi="Noto Sans" w:eastAsia="Noto Sans"/>
          </w:rPr>
          <w:t>Trinity College Cambridge MS B.9.9</w:t>
        </w:r>
      </w:hyperlink>
      <w:r>
        <w:rPr>
          <w:rFonts w:ascii="Noto Sans" w:hAnsi="Noto Sans" w:eastAsia="Noto Sans"/>
          <w:sz w:val="19"/>
        </w:rPr>
        <w:t>. Факсимиле одного witness; reuse terms требуют ручной проверки.</w:t>
      </w:r>
    </w:p>
    <w:p>
      <w:pPr>
        <w:spacing w:before="0" w:after="60" w:line="269" w:lineRule="auto"/>
      </w:pPr>
      <w:r>
        <w:rPr>
          <w:rFonts w:ascii="Noto Sans" w:hAnsi="Noto Sans" w:eastAsia="Noto Sans"/>
          <w:sz w:val="20"/>
        </w:rPr>
        <w:t>Для собственного перевода ToS предпочтительна A34-R001; Volkmann and manuscript images полезны для контроля вариантов, но не заменяют современную филологическую сверку. Cambridge/Loeb/Plotiniana следует использовать как защищённые scholarly comparators.</w:t>
      </w:r>
    </w:p>
    <w:p>
      <w:pPr>
        <w:pStyle w:val="Heading2"/>
        <w:keepNext/>
        <w:spacing w:before="100" w:after="80"/>
      </w:pPr>
      <w:r>
        <w:rPr>
          <w:rFonts w:ascii="Noto Sans" w:hAnsi="Noto Sans" w:eastAsia="Noto Sans"/>
          <w:b/>
          <w:color w:val="1F4E78"/>
          <w:sz w:val="24"/>
        </w:rPr>
        <w:t>3.2. Porphyry</w:t>
      </w:r>
    </w:p>
    <w:p>
      <w:pPr>
        <w:spacing w:after="30" w:line="252" w:lineRule="auto"/>
        <w:ind w:left="198" w:hanging="198"/>
      </w:pPr>
      <w:r>
        <w:rPr>
          <w:rFonts w:ascii="Noto Sans" w:hAnsi="Noto Sans" w:eastAsia="Noto Sans"/>
          <w:b/>
          <w:color w:val="1F4E78"/>
          <w:sz w:val="19"/>
        </w:rPr>
        <w:t xml:space="preserve">A34-R002–R010 — </w:t>
      </w:r>
      <w:hyperlink r:id="rId18">
        <w:r>
          <w:rPr>
            <w:color w:val="0563C1"/>
            <w:u w:val="single"/>
            <w:rFonts w:ascii="Noto Sans" w:hAnsi="Noto Sans" w:eastAsia="Noto Sans"/>
          </w:rPr>
          <w:t>Open Greek Porphyry files in First1KGreek</w:t>
        </w:r>
      </w:hyperlink>
      <w:r>
        <w:rPr>
          <w:rFonts w:ascii="Noto Sans" w:hAnsi="Noto Sans" w:eastAsia="Noto Sans"/>
          <w:sz w:val="19"/>
        </w:rPr>
        <w:t>. Vita Pythagorae, De abstinentia, Ad Marcellam, Isagoge, Categories, Homeric and fragmentary materials.</w:t>
      </w:r>
    </w:p>
    <w:p>
      <w:pPr>
        <w:spacing w:after="30" w:line="252" w:lineRule="auto"/>
        <w:ind w:left="198" w:hanging="198"/>
      </w:pPr>
      <w:r>
        <w:rPr>
          <w:rFonts w:ascii="Noto Sans" w:hAnsi="Noto Sans" w:eastAsia="Noto Sans"/>
          <w:b/>
          <w:color w:val="1F4E78"/>
          <w:sz w:val="19"/>
        </w:rPr>
        <w:t xml:space="preserve">A34-R064 — </w:t>
      </w:r>
      <w:hyperlink r:id="rId19">
        <w:r>
          <w:rPr>
            <w:color w:val="0563C1"/>
            <w:u w:val="single"/>
            <w:rFonts w:ascii="Noto Sans" w:hAnsi="Noto Sans" w:eastAsia="Noto Sans"/>
          </w:rPr>
          <w:t>Sententiae — historical Greek edition</w:t>
        </w:r>
      </w:hyperlink>
      <w:r>
        <w:rPr>
          <w:rFonts w:ascii="Noto Sans" w:hAnsi="Noto Sans" w:eastAsia="Noto Sans"/>
          <w:sz w:val="19"/>
        </w:rPr>
        <w:t>. Лучший найденный бесплатный full Greek route.</w:t>
      </w:r>
    </w:p>
    <w:p>
      <w:pPr>
        <w:spacing w:after="30" w:line="252" w:lineRule="auto"/>
        <w:ind w:left="198" w:hanging="198"/>
      </w:pPr>
      <w:r>
        <w:rPr>
          <w:rFonts w:ascii="Noto Sans" w:hAnsi="Noto Sans" w:eastAsia="Noto Sans"/>
          <w:b/>
          <w:color w:val="1F4E78"/>
          <w:sz w:val="19"/>
        </w:rPr>
        <w:t xml:space="preserve">A34-R062 — </w:t>
      </w:r>
      <w:hyperlink r:id="rId20">
        <w:r>
          <w:rPr>
            <w:color w:val="0563C1"/>
            <w:u w:val="single"/>
            <w:rFonts w:ascii="Noto Sans" w:hAnsi="Noto Sans" w:eastAsia="Noto Sans"/>
          </w:rPr>
          <w:t>Nauck, Porphyrii opuscula selecta</w:t>
        </w:r>
      </w:hyperlink>
      <w:r>
        <w:rPr>
          <w:rFonts w:ascii="Noto Sans" w:hAnsi="Noto Sans" w:eastAsia="Noto Sans"/>
          <w:sz w:val="19"/>
        </w:rPr>
        <w:t>. Historical critical collection across several works.</w:t>
      </w:r>
    </w:p>
    <w:p>
      <w:pPr>
        <w:spacing w:after="30" w:line="252" w:lineRule="auto"/>
        <w:ind w:left="198" w:hanging="198"/>
      </w:pPr>
      <w:r>
        <w:rPr>
          <w:rFonts w:ascii="Noto Sans" w:hAnsi="Noto Sans" w:eastAsia="Noto Sans"/>
          <w:b/>
          <w:color w:val="1F4E78"/>
          <w:sz w:val="19"/>
        </w:rPr>
        <w:t xml:space="preserve">A34-R069 — </w:t>
      </w:r>
      <w:hyperlink r:id="rId21">
        <w:r>
          <w:rPr>
            <w:color w:val="0563C1"/>
            <w:u w:val="single"/>
            <w:rFonts w:ascii="Noto Sans" w:hAnsi="Noto Sans" w:eastAsia="Noto Sans"/>
          </w:rPr>
          <w:t>Jonathan Barnes, Porphyry's Introduction</w:t>
        </w:r>
      </w:hyperlink>
      <w:r>
        <w:rPr>
          <w:rFonts w:ascii="Noto Sans" w:hAnsi="Noto Sans" w:eastAsia="Noto Sans"/>
          <w:sz w:val="19"/>
        </w:rPr>
        <w:t>. Best modern English scholarly route for Isagoge.</w:t>
      </w:r>
    </w:p>
    <w:p>
      <w:pPr>
        <w:spacing w:after="30" w:line="252" w:lineRule="auto"/>
        <w:ind w:left="198" w:hanging="198"/>
      </w:pPr>
      <w:r>
        <w:rPr>
          <w:rFonts w:ascii="Noto Sans" w:hAnsi="Noto Sans" w:eastAsia="Noto Sans"/>
          <w:b/>
          <w:color w:val="1F4E78"/>
          <w:sz w:val="19"/>
        </w:rPr>
        <w:t xml:space="preserve">A34-R071–R072 — </w:t>
      </w:r>
      <w:hyperlink r:id="rId22">
        <w:r>
          <w:rPr>
            <w:color w:val="0563C1"/>
            <w:u w:val="single"/>
            <w:rFonts w:ascii="Noto Sans" w:hAnsi="Noto Sans" w:eastAsia="Noto Sans"/>
          </w:rPr>
          <w:t>Against the Christians — historical fragments and modern reconstruction</w:t>
        </w:r>
      </w:hyperlink>
      <w:r>
        <w:rPr>
          <w:rFonts w:ascii="Noto Sans" w:hAnsi="Noto Sans" w:eastAsia="Noto Sans"/>
          <w:sz w:val="19"/>
        </w:rPr>
        <w:t>. Нужно различать testimonia and protected modern reconstruction.</w:t>
      </w:r>
    </w:p>
    <w:p>
      <w:pPr>
        <w:spacing w:after="30" w:line="252" w:lineRule="auto"/>
        <w:ind w:left="198" w:hanging="198"/>
      </w:pPr>
      <w:r>
        <w:rPr>
          <w:rFonts w:ascii="Noto Sans" w:hAnsi="Noto Sans" w:eastAsia="Noto Sans"/>
          <w:b/>
          <w:color w:val="1F4E78"/>
          <w:sz w:val="19"/>
        </w:rPr>
        <w:t xml:space="preserve">A34-R133–R134 — </w:t>
      </w:r>
      <w:hyperlink r:id="rId23">
        <w:r>
          <w:rPr>
            <w:color w:val="0563C1"/>
            <w:u w:val="single"/>
            <w:rFonts w:ascii="Noto Sans" w:hAnsi="Noto Sans" w:eastAsia="Noto Sans"/>
          </w:rPr>
          <w:t>Boethian Latin transmission of Isagoge</w:t>
        </w:r>
      </w:hyperlink>
      <w:r>
        <w:rPr>
          <w:rFonts w:ascii="Noto Sans" w:hAnsi="Noto Sans" w:eastAsia="Noto Sans"/>
          <w:sz w:val="19"/>
        </w:rPr>
        <w:t>. Printed Latin edition plus manuscript witness.</w:t>
      </w:r>
    </w:p>
    <w:p>
      <w:pPr>
        <w:spacing w:before="0" w:after="60" w:line="269" w:lineRule="auto"/>
      </w:pPr>
      <w:r>
        <w:rPr>
          <w:rFonts w:ascii="Noto Sans" w:hAnsi="Noto Sans" w:eastAsia="Noto Sans"/>
          <w:sz w:val="20"/>
        </w:rPr>
        <w:t>Наиболее свободный слой — First1KGreek Greek XML and public-domain-era scans. Современные fragment reconstructions нельзя зеркалировать или использовать как будто они и есть потерянный Porphyrian original.</w:t>
      </w:r>
    </w:p>
    <w:p>
      <w:pPr>
        <w:pStyle w:val="Heading2"/>
        <w:keepNext/>
        <w:spacing w:before="100" w:after="80"/>
      </w:pPr>
      <w:r>
        <w:rPr>
          <w:rFonts w:ascii="Noto Sans" w:hAnsi="Noto Sans" w:eastAsia="Noto Sans"/>
          <w:b/>
          <w:color w:val="1F4E78"/>
          <w:sz w:val="24"/>
        </w:rPr>
        <w:t>3.3. Iamblichus</w:t>
      </w:r>
    </w:p>
    <w:p>
      <w:pPr>
        <w:spacing w:after="30" w:line="252" w:lineRule="auto"/>
        <w:ind w:left="198" w:hanging="198"/>
      </w:pPr>
      <w:r>
        <w:rPr>
          <w:rFonts w:ascii="Noto Sans" w:hAnsi="Noto Sans" w:eastAsia="Noto Sans"/>
          <w:b/>
          <w:color w:val="1F4E78"/>
          <w:sz w:val="19"/>
        </w:rPr>
        <w:t xml:space="preserve">A34-R011–R015 — </w:t>
      </w:r>
      <w:hyperlink r:id="rId18">
        <w:r>
          <w:rPr>
            <w:color w:val="0563C1"/>
            <w:u w:val="single"/>
            <w:rFonts w:ascii="Noto Sans" w:hAnsi="Noto Sans" w:eastAsia="Noto Sans"/>
          </w:rPr>
          <w:t>Iamblichean Greek TEI/XML files</w:t>
        </w:r>
      </w:hyperlink>
      <w:r>
        <w:rPr>
          <w:rFonts w:ascii="Noto Sans" w:hAnsi="Noto Sans" w:eastAsia="Noto Sans"/>
          <w:sz w:val="19"/>
        </w:rPr>
        <w:t>. Пять центральных works; CC BY-SA 4.0.</w:t>
      </w:r>
    </w:p>
    <w:p>
      <w:pPr>
        <w:spacing w:after="30" w:line="252" w:lineRule="auto"/>
        <w:ind w:left="198" w:hanging="198"/>
      </w:pPr>
      <w:r>
        <w:rPr>
          <w:rFonts w:ascii="Noto Sans" w:hAnsi="Noto Sans" w:eastAsia="Noto Sans"/>
          <w:b/>
          <w:color w:val="1F4E78"/>
          <w:sz w:val="19"/>
        </w:rPr>
        <w:t xml:space="preserve">A34-R073 — </w:t>
      </w:r>
      <w:hyperlink r:id="rId24">
        <w:r>
          <w:rPr>
            <w:color w:val="0563C1"/>
            <w:u w:val="single"/>
            <w:rFonts w:ascii="Noto Sans" w:hAnsi="Noto Sans" w:eastAsia="Noto Sans"/>
          </w:rPr>
          <w:t>Parthey Greek De Mysteriis</w:t>
        </w:r>
      </w:hyperlink>
      <w:r>
        <w:rPr>
          <w:rFonts w:ascii="Noto Sans" w:hAnsi="Noto Sans" w:eastAsia="Noto Sans"/>
          <w:sz w:val="19"/>
        </w:rPr>
        <w:t>. Best historical Greek scan.</w:t>
      </w:r>
    </w:p>
    <w:p>
      <w:pPr>
        <w:spacing w:after="30" w:line="252" w:lineRule="auto"/>
        <w:ind w:left="198" w:hanging="198"/>
      </w:pPr>
      <w:r>
        <w:rPr>
          <w:rFonts w:ascii="Noto Sans" w:hAnsi="Noto Sans" w:eastAsia="Noto Sans"/>
          <w:b/>
          <w:color w:val="1F4E78"/>
          <w:sz w:val="19"/>
        </w:rPr>
        <w:t xml:space="preserve">A34-R075 — </w:t>
      </w:r>
      <w:hyperlink r:id="rId25">
        <w:r>
          <w:rPr>
            <w:color w:val="0563C1"/>
            <w:u w:val="single"/>
            <w:rFonts w:ascii="Noto Sans" w:hAnsi="Noto Sans" w:eastAsia="Noto Sans"/>
          </w:rPr>
          <w:t>Taylor's De Mysteriis at Project Gutenberg</w:t>
        </w:r>
      </w:hyperlink>
      <w:r>
        <w:rPr>
          <w:rFonts w:ascii="Noto Sans" w:hAnsi="Noto Sans" w:eastAsia="Noto Sans"/>
          <w:sz w:val="19"/>
        </w:rPr>
        <w:t>. Full free historical English reading/download.</w:t>
      </w:r>
    </w:p>
    <w:p>
      <w:pPr>
        <w:spacing w:after="30" w:line="252" w:lineRule="auto"/>
        <w:ind w:left="198" w:hanging="198"/>
      </w:pPr>
      <w:r>
        <w:rPr>
          <w:rFonts w:ascii="Noto Sans" w:hAnsi="Noto Sans" w:eastAsia="Noto Sans"/>
          <w:b/>
          <w:color w:val="1F4E78"/>
          <w:sz w:val="19"/>
        </w:rPr>
        <w:t xml:space="preserve">A34-R076 — </w:t>
      </w:r>
      <w:hyperlink r:id="rId26">
        <w:r>
          <w:rPr>
            <w:color w:val="0563C1"/>
            <w:u w:val="single"/>
            <w:rFonts w:ascii="Noto Sans" w:hAnsi="Noto Sans" w:eastAsia="Noto Sans"/>
          </w:rPr>
          <w:t>Life of Pythagoras at Project Gutenberg</w:t>
        </w:r>
      </w:hyperlink>
      <w:r>
        <w:rPr>
          <w:rFonts w:ascii="Noto Sans" w:hAnsi="Noto Sans" w:eastAsia="Noto Sans"/>
          <w:sz w:val="19"/>
        </w:rPr>
        <w:t>. Full free historical English route.</w:t>
      </w:r>
    </w:p>
    <w:p>
      <w:pPr>
        <w:spacing w:after="30" w:line="252" w:lineRule="auto"/>
        <w:ind w:left="198" w:hanging="198"/>
      </w:pPr>
      <w:r>
        <w:rPr>
          <w:rFonts w:ascii="Noto Sans" w:hAnsi="Noto Sans" w:eastAsia="Noto Sans"/>
          <w:b/>
          <w:color w:val="1F4E78"/>
          <w:sz w:val="19"/>
        </w:rPr>
        <w:t xml:space="preserve">A34-R077 — </w:t>
      </w:r>
      <w:hyperlink r:id="rId27">
        <w:r>
          <w:rPr>
            <w:color w:val="0563C1"/>
            <w:u w:val="single"/>
            <w:rFonts w:ascii="Noto Sans" w:hAnsi="Noto Sans" w:eastAsia="Noto Sans"/>
          </w:rPr>
          <w:t>SBL modern De Mysteriis</w:t>
        </w:r>
      </w:hyperlink>
      <w:r>
        <w:rPr>
          <w:rFonts w:ascii="Noto Sans" w:hAnsi="Noto Sans" w:eastAsia="Noto Sans"/>
          <w:sz w:val="19"/>
        </w:rPr>
        <w:t>. Best modern scholarly English comparator; protected.</w:t>
      </w:r>
    </w:p>
    <w:p>
      <w:pPr>
        <w:spacing w:before="0" w:after="60" w:line="269" w:lineRule="auto"/>
      </w:pPr>
      <w:r>
        <w:rPr>
          <w:rFonts w:ascii="Noto Sans" w:hAnsi="Noto Sans" w:eastAsia="Noto Sans"/>
          <w:sz w:val="20"/>
        </w:rPr>
        <w:t>Для ToS-translation clean basis — item-level Greek XML or the historical Parthey Greek text. Taylor is a reception/reading layer, not a substitute for the Greek.</w:t>
      </w:r>
    </w:p>
    <w:p>
      <w:pPr>
        <w:pStyle w:val="Heading2"/>
        <w:keepNext/>
        <w:spacing w:before="100" w:after="80"/>
      </w:pPr>
      <w:r>
        <w:rPr>
          <w:rFonts w:ascii="Noto Sans" w:hAnsi="Noto Sans" w:eastAsia="Noto Sans"/>
          <w:b/>
          <w:color w:val="1F4E78"/>
          <w:sz w:val="24"/>
        </w:rPr>
        <w:t>3.4. Proclus</w:t>
      </w:r>
    </w:p>
    <w:p>
      <w:pPr>
        <w:spacing w:before="0" w:after="60" w:line="269" w:lineRule="auto"/>
      </w:pPr>
      <w:r>
        <w:rPr>
          <w:rFonts w:ascii="Noto Sans" w:hAnsi="Noto Sans" w:eastAsia="Noto Sans"/>
          <w:sz w:val="20"/>
        </w:rPr>
        <w:t>Proclus имеет самый широкий scholarly coverage, но наиболее заметные open-machine gaps: Republic commentary открыт как TEI/XML, тогда как complete Elements of Theology and Platonic Theology не получили равноценного licensed XML route.</w:t>
      </w:r>
    </w:p>
    <w:p>
      <w:pPr>
        <w:spacing w:after="30" w:line="252" w:lineRule="auto"/>
        <w:ind w:left="198" w:hanging="198"/>
      </w:pPr>
      <w:r>
        <w:rPr>
          <w:rFonts w:ascii="Noto Sans" w:hAnsi="Noto Sans" w:eastAsia="Noto Sans"/>
          <w:b/>
          <w:color w:val="1F4E78"/>
          <w:sz w:val="19"/>
        </w:rPr>
        <w:t xml:space="preserve">A34-R016 — </w:t>
      </w:r>
      <w:hyperlink r:id="rId28">
        <w:r>
          <w:rPr>
            <w:color w:val="0563C1"/>
            <w:u w:val="single"/>
            <w:rFonts w:ascii="Noto Sans" w:hAnsi="Noto Sans" w:eastAsia="Noto Sans"/>
          </w:rPr>
          <w:t>Republic Commentary — Greek TEI/XML</w:t>
        </w:r>
      </w:hyperlink>
      <w:r>
        <w:rPr>
          <w:rFonts w:ascii="Noto Sans" w:hAnsi="Noto Sans" w:eastAsia="Noto Sans"/>
          <w:sz w:val="19"/>
        </w:rPr>
        <w:t>. Best machine-readable Proclean route in the current package.</w:t>
      </w:r>
    </w:p>
    <w:p>
      <w:pPr>
        <w:spacing w:after="30" w:line="252" w:lineRule="auto"/>
        <w:ind w:left="198" w:hanging="198"/>
      </w:pPr>
      <w:r>
        <w:rPr>
          <w:rFonts w:ascii="Noto Sans" w:hAnsi="Noto Sans" w:eastAsia="Noto Sans"/>
          <w:b/>
          <w:color w:val="1F4E78"/>
          <w:sz w:val="19"/>
        </w:rPr>
        <w:t xml:space="preserve">A34-R078 — </w:t>
      </w:r>
      <w:hyperlink r:id="rId29">
        <w:r>
          <w:rPr>
            <w:color w:val="0563C1"/>
            <w:u w:val="single"/>
            <w:rFonts w:ascii="Noto Sans" w:hAnsi="Noto Sans" w:eastAsia="Noto Sans"/>
          </w:rPr>
          <w:t>Dodds, The Elements of Theology</w:t>
        </w:r>
      </w:hyperlink>
      <w:r>
        <w:rPr>
          <w:rFonts w:ascii="Noto Sans" w:hAnsi="Noto Sans" w:eastAsia="Noto Sans"/>
          <w:sz w:val="19"/>
        </w:rPr>
        <w:t>. Standard modern critical edition; protected.</w:t>
      </w:r>
    </w:p>
    <w:p>
      <w:pPr>
        <w:spacing w:after="30" w:line="252" w:lineRule="auto"/>
        <w:ind w:left="198" w:hanging="198"/>
      </w:pPr>
      <w:r>
        <w:rPr>
          <w:rFonts w:ascii="Noto Sans" w:hAnsi="Noto Sans" w:eastAsia="Noto Sans"/>
          <w:b/>
          <w:color w:val="1F4E78"/>
          <w:sz w:val="19"/>
        </w:rPr>
        <w:t xml:space="preserve">A34-R086–R088 — </w:t>
      </w:r>
      <w:hyperlink r:id="rId30">
        <w:r>
          <w:rPr>
            <w:color w:val="0563C1"/>
            <w:u w:val="single"/>
            <w:rFonts w:ascii="Noto Sans" w:hAnsi="Noto Sans" w:eastAsia="Noto Sans"/>
          </w:rPr>
          <w:t>Diehl, Commentary on the Timaeus, vols. 1–3</w:t>
        </w:r>
      </w:hyperlink>
      <w:r>
        <w:rPr>
          <w:rFonts w:ascii="Noto Sans" w:hAnsi="Noto Sans" w:eastAsia="Noto Sans"/>
          <w:sz w:val="19"/>
        </w:rPr>
        <w:t>. Best complete historical Greek scan set.</w:t>
      </w:r>
    </w:p>
    <w:p>
      <w:pPr>
        <w:spacing w:after="30" w:line="252" w:lineRule="auto"/>
        <w:ind w:left="198" w:hanging="198"/>
      </w:pPr>
      <w:r>
        <w:rPr>
          <w:rFonts w:ascii="Noto Sans" w:hAnsi="Noto Sans" w:eastAsia="Noto Sans"/>
          <w:b/>
          <w:color w:val="1F4E78"/>
          <w:sz w:val="19"/>
        </w:rPr>
        <w:t xml:space="preserve">A34-R091 — </w:t>
      </w:r>
      <w:hyperlink r:id="rId31">
        <w:r>
          <w:rPr>
            <w:color w:val="0563C1"/>
            <w:u w:val="single"/>
            <w:rFonts w:ascii="Noto Sans" w:hAnsi="Noto Sans" w:eastAsia="Noto Sans"/>
          </w:rPr>
          <w:t>Pasquali, Commentary on the Cratylus</w:t>
        </w:r>
      </w:hyperlink>
      <w:r>
        <w:rPr>
          <w:rFonts w:ascii="Noto Sans" w:hAnsi="Noto Sans" w:eastAsia="Noto Sans"/>
          <w:sz w:val="19"/>
        </w:rPr>
        <w:t>. Full historical Greek edition.</w:t>
      </w:r>
    </w:p>
    <w:p>
      <w:pPr>
        <w:spacing w:after="30" w:line="252" w:lineRule="auto"/>
        <w:ind w:left="198" w:hanging="198"/>
      </w:pPr>
      <w:r>
        <w:rPr>
          <w:rFonts w:ascii="Noto Sans" w:hAnsi="Noto Sans" w:eastAsia="Noto Sans"/>
          <w:b/>
          <w:color w:val="1F4E78"/>
          <w:sz w:val="19"/>
        </w:rPr>
        <w:t xml:space="preserve">A34-R092 — </w:t>
      </w:r>
      <w:hyperlink r:id="rId32">
        <w:r>
          <w:rPr>
            <w:color w:val="0563C1"/>
            <w:u w:val="single"/>
            <w:rFonts w:ascii="Noto Sans" w:hAnsi="Noto Sans" w:eastAsia="Noto Sans"/>
          </w:rPr>
          <w:t>Friedlein, Euclid Commentary</w:t>
        </w:r>
      </w:hyperlink>
      <w:r>
        <w:rPr>
          <w:rFonts w:ascii="Noto Sans" w:hAnsi="Noto Sans" w:eastAsia="Noto Sans"/>
          <w:sz w:val="19"/>
        </w:rPr>
        <w:t>. Full historical Greek mathematical commentary.</w:t>
      </w:r>
    </w:p>
    <w:p>
      <w:pPr>
        <w:spacing w:after="30" w:line="252" w:lineRule="auto"/>
        <w:ind w:left="198" w:hanging="198"/>
      </w:pPr>
      <w:r>
        <w:rPr>
          <w:rFonts w:ascii="Noto Sans" w:hAnsi="Noto Sans" w:eastAsia="Noto Sans"/>
          <w:b/>
          <w:color w:val="1F4E78"/>
          <w:sz w:val="19"/>
        </w:rPr>
        <w:t xml:space="preserve">A34-R100–R101 — </w:t>
      </w:r>
      <w:hyperlink r:id="rId33">
        <w:r>
          <w:rPr>
            <w:color w:val="0563C1"/>
            <w:u w:val="single"/>
            <w:rFonts w:ascii="Noto Sans" w:hAnsi="Noto Sans" w:eastAsia="Noto Sans"/>
          </w:rPr>
          <w:t>Digital Bodleian manuscript witnesses</w:t>
        </w:r>
      </w:hyperlink>
      <w:r>
        <w:rPr>
          <w:rFonts w:ascii="Noto Sans" w:hAnsi="Noto Sans" w:eastAsia="Noto Sans"/>
          <w:sz w:val="19"/>
        </w:rPr>
        <w:t>. CC BY-NC 4.0 for most images, item-level exceptions apply.</w:t>
      </w:r>
    </w:p>
    <w:p>
      <w:pPr>
        <w:spacing w:after="30" w:line="252" w:lineRule="auto"/>
        <w:ind w:left="198" w:hanging="198"/>
      </w:pPr>
      <w:r>
        <w:rPr>
          <w:rFonts w:ascii="Noto Sans" w:hAnsi="Noto Sans" w:eastAsia="Noto Sans"/>
          <w:b/>
          <w:color w:val="1F4E78"/>
          <w:sz w:val="19"/>
        </w:rPr>
        <w:t xml:space="preserve">A34-R079–R085 — </w:t>
      </w:r>
      <w:hyperlink r:id="rId34">
        <w:r>
          <w:rPr>
            <w:color w:val="0563C1"/>
            <w:u w:val="single"/>
            <w:rFonts w:ascii="Noto Sans" w:hAnsi="Noto Sans" w:eastAsia="Noto Sans"/>
          </w:rPr>
          <w:t>Modern Cambridge/Princeton/Bloomsbury routes</w:t>
        </w:r>
      </w:hyperlink>
      <w:r>
        <w:rPr>
          <w:rFonts w:ascii="Noto Sans" w:hAnsi="Noto Sans" w:eastAsia="Noto Sans"/>
          <w:sz w:val="19"/>
        </w:rPr>
        <w:t>. Best modern translations; purchase/institutional.</w:t>
      </w:r>
    </w:p>
    <w:p>
      <w:pPr>
        <w:spacing w:after="30" w:line="252" w:lineRule="auto"/>
        <w:ind w:left="198" w:hanging="198"/>
      </w:pPr>
      <w:r>
        <w:rPr>
          <w:rFonts w:ascii="Noto Sans" w:hAnsi="Noto Sans" w:eastAsia="Noto Sans"/>
          <w:b/>
          <w:color w:val="1F4E78"/>
          <w:sz w:val="19"/>
        </w:rPr>
        <w:t xml:space="preserve">A34-R098 — </w:t>
      </w:r>
      <w:hyperlink r:id="rId35">
        <w:r>
          <w:rPr>
            <w:color w:val="0563C1"/>
            <w:u w:val="single"/>
            <w:rFonts w:ascii="Noto Sans" w:hAnsi="Noto Sans" w:eastAsia="Noto Sans"/>
          </w:rPr>
          <w:t>Balboa interlinear Elements</w:t>
        </w:r>
      </w:hyperlink>
      <w:r>
        <w:rPr>
          <w:rFonts w:ascii="Noto Sans" w:hAnsi="Noto Sans" w:eastAsia="Noto Sans"/>
          <w:sz w:val="19"/>
        </w:rPr>
        <w:t>. Free NC-ND; only unchanged noncommercial sharing, not a derivative basis.</w:t>
      </w:r>
    </w:p>
    <w:p>
      <w:pPr>
        <w:spacing w:before="0" w:after="60" w:line="269" w:lineRule="auto"/>
      </w:pPr>
      <w:r>
        <w:rPr>
          <w:rFonts w:ascii="Noto Sans" w:hAnsi="Noto Sans" w:eastAsia="Noto Sans"/>
          <w:sz w:val="20"/>
        </w:rPr>
        <w:t>Самый свободный Proclean layer — licensed Republic XML plus historical Greek scans and NC Bodleian images. Dodds, Cambridge, Princeton and Bloomsbury remain link/purchase/institutional comparators.</w:t>
      </w:r>
    </w:p>
    <w:p>
      <w:pPr>
        <w:pStyle w:val="Heading2"/>
        <w:keepNext/>
        <w:spacing w:before="100" w:after="80"/>
      </w:pPr>
      <w:r>
        <w:rPr>
          <w:rFonts w:ascii="Noto Sans" w:hAnsi="Noto Sans" w:eastAsia="Noto Sans"/>
          <w:b/>
          <w:color w:val="1F4E78"/>
          <w:sz w:val="24"/>
        </w:rPr>
        <w:t>3.5. Damascius</w:t>
      </w:r>
    </w:p>
    <w:p>
      <w:pPr>
        <w:spacing w:after="30" w:line="252" w:lineRule="auto"/>
        <w:ind w:left="198" w:hanging="198"/>
      </w:pPr>
      <w:r>
        <w:rPr>
          <w:rFonts w:ascii="Noto Sans" w:hAnsi="Noto Sans" w:eastAsia="Noto Sans"/>
          <w:b/>
          <w:color w:val="1F4E78"/>
          <w:sz w:val="19"/>
        </w:rPr>
        <w:t xml:space="preserve">A34-R103 — </w:t>
      </w:r>
      <w:hyperlink r:id="rId36">
        <w:r>
          <w:rPr>
            <w:color w:val="0563C1"/>
            <w:u w:val="single"/>
            <w:rFonts w:ascii="Noto Sans" w:hAnsi="Noto Sans" w:eastAsia="Noto Sans"/>
          </w:rPr>
          <w:t>Kopp historical Greek-Latin First Principles</w:t>
        </w:r>
      </w:hyperlink>
      <w:r>
        <w:rPr>
          <w:rFonts w:ascii="Noto Sans" w:hAnsi="Noto Sans" w:eastAsia="Noto Sans"/>
          <w:sz w:val="19"/>
        </w:rPr>
        <w:t>. Free scan and translation basis after jurisdiction/source review.</w:t>
      </w:r>
    </w:p>
    <w:p>
      <w:pPr>
        <w:spacing w:after="30" w:line="252" w:lineRule="auto"/>
        <w:ind w:left="198" w:hanging="198"/>
      </w:pPr>
      <w:r>
        <w:rPr>
          <w:rFonts w:ascii="Noto Sans" w:hAnsi="Noto Sans" w:eastAsia="Noto Sans"/>
          <w:b/>
          <w:color w:val="1F4E78"/>
          <w:sz w:val="19"/>
        </w:rPr>
        <w:t xml:space="preserve">A34-R104 — </w:t>
      </w:r>
      <w:hyperlink r:id="rId37">
        <w:r>
          <w:rPr>
            <w:color w:val="0563C1"/>
            <w:u w:val="single"/>
            <w:rFonts w:ascii="Noto Sans" w:hAnsi="Noto Sans" w:eastAsia="Noto Sans"/>
          </w:rPr>
          <w:t>Ruelle 1889 Greek edition</w:t>
        </w:r>
      </w:hyperlink>
      <w:r>
        <w:rPr>
          <w:rFonts w:ascii="Noto Sans" w:hAnsi="Noto Sans" w:eastAsia="Noto Sans"/>
          <w:sz w:val="19"/>
        </w:rPr>
        <w:t>. Important historical critical text; full view may vary by location.</w:t>
      </w:r>
    </w:p>
    <w:p>
      <w:pPr>
        <w:spacing w:after="30" w:line="252" w:lineRule="auto"/>
        <w:ind w:left="198" w:hanging="198"/>
      </w:pPr>
      <w:r>
        <w:rPr>
          <w:rFonts w:ascii="Noto Sans" w:hAnsi="Noto Sans" w:eastAsia="Noto Sans"/>
          <w:b/>
          <w:color w:val="1F4E78"/>
          <w:sz w:val="19"/>
        </w:rPr>
        <w:t xml:space="preserve">A34-R105 — </w:t>
      </w:r>
      <w:hyperlink r:id="rId38">
        <w:r>
          <w:rPr>
            <w:color w:val="0563C1"/>
            <w:u w:val="single"/>
            <w:rFonts w:ascii="Noto Sans" w:hAnsi="Noto Sans" w:eastAsia="Noto Sans"/>
          </w:rPr>
          <w:t>Uppsala Gr. 64 IIIF witness</w:t>
        </w:r>
      </w:hyperlink>
      <w:r>
        <w:rPr>
          <w:rFonts w:ascii="Noto Sans" w:hAnsi="Noto Sans" w:eastAsia="Noto Sans"/>
          <w:sz w:val="19"/>
        </w:rPr>
        <w:t>. Strongest rights-clear facsimile: Public Domain Mark 1.0 in verified manifest.</w:t>
      </w:r>
    </w:p>
    <w:p>
      <w:pPr>
        <w:spacing w:after="30" w:line="252" w:lineRule="auto"/>
        <w:ind w:left="198" w:hanging="198"/>
      </w:pPr>
      <w:r>
        <w:rPr>
          <w:rFonts w:ascii="Noto Sans" w:hAnsi="Noto Sans" w:eastAsia="Noto Sans"/>
          <w:b/>
          <w:color w:val="1F4E78"/>
          <w:sz w:val="19"/>
        </w:rPr>
        <w:t xml:space="preserve">A34-R102 — </w:t>
      </w:r>
      <w:hyperlink r:id="rId39">
        <w:r>
          <w:rPr>
            <w:color w:val="0563C1"/>
            <w:u w:val="single"/>
            <w:rFonts w:ascii="Noto Sans" w:hAnsi="Noto Sans" w:eastAsia="Noto Sans"/>
          </w:rPr>
          <w:t>Rappe modern First Principles</w:t>
        </w:r>
      </w:hyperlink>
      <w:r>
        <w:rPr>
          <w:rFonts w:ascii="Noto Sans" w:hAnsi="Noto Sans" w:eastAsia="Noto Sans"/>
          <w:sz w:val="19"/>
        </w:rPr>
        <w:t>. Best modern English complete translation; protected.</w:t>
      </w:r>
    </w:p>
    <w:p>
      <w:pPr>
        <w:spacing w:after="30" w:line="252" w:lineRule="auto"/>
        <w:ind w:left="198" w:hanging="198"/>
      </w:pPr>
      <w:r>
        <w:rPr>
          <w:rFonts w:ascii="Noto Sans" w:hAnsi="Noto Sans" w:eastAsia="Noto Sans"/>
          <w:b/>
          <w:color w:val="1F4E78"/>
          <w:sz w:val="19"/>
        </w:rPr>
        <w:t xml:space="preserve">A34-R108 — </w:t>
      </w:r>
      <w:hyperlink r:id="rId40">
        <w:r>
          <w:rPr>
            <w:color w:val="0563C1"/>
            <w:u w:val="single"/>
            <w:rFonts w:ascii="Noto Sans" w:hAnsi="Noto Sans" w:eastAsia="Noto Sans"/>
          </w:rPr>
          <w:t>Philosophical History / Life of Isidore</w:t>
        </w:r>
      </w:hyperlink>
      <w:r>
        <w:rPr>
          <w:rFonts w:ascii="Noto Sans" w:hAnsi="Noto Sans" w:eastAsia="Noto Sans"/>
          <w:sz w:val="19"/>
        </w:rPr>
        <w:t>. Library/purchase metadata; no open full text verified.</w:t>
      </w:r>
    </w:p>
    <w:p>
      <w:pPr>
        <w:spacing w:before="0" w:after="60" w:line="269" w:lineRule="auto"/>
      </w:pPr>
      <w:r>
        <w:rPr>
          <w:rFonts w:ascii="Noto Sans" w:hAnsi="Noto Sans" w:eastAsia="Noto Sans"/>
          <w:sz w:val="20"/>
        </w:rPr>
        <w:t>Для собственного перевода наиболее чиста связка public-domain Greek edition + Uppsala witness. Для fragmentary Philosophical History clean source mapping remains a high-priority gap.</w:t>
      </w:r>
    </w:p>
    <w:p>
      <w:pPr>
        <w:pStyle w:val="Heading2"/>
        <w:keepNext/>
        <w:spacing w:before="100" w:after="80"/>
      </w:pPr>
      <w:r>
        <w:rPr>
          <w:rFonts w:ascii="Noto Sans" w:hAnsi="Noto Sans" w:eastAsia="Noto Sans"/>
          <w:b/>
          <w:color w:val="1F4E78"/>
          <w:sz w:val="24"/>
        </w:rPr>
        <w:t>3.6. Simplicius и Philoponus</w:t>
      </w:r>
    </w:p>
    <w:p>
      <w:pPr>
        <w:spacing w:after="30" w:line="252" w:lineRule="auto"/>
        <w:ind w:left="198" w:hanging="198"/>
      </w:pPr>
      <w:r>
        <w:rPr>
          <w:rFonts w:ascii="Noto Sans" w:hAnsi="Noto Sans" w:eastAsia="Noto Sans"/>
          <w:b/>
          <w:color w:val="1F4E78"/>
          <w:sz w:val="19"/>
        </w:rPr>
        <w:t xml:space="preserve">A34-R017–R028 — </w:t>
      </w:r>
      <w:hyperlink r:id="rId18">
        <w:r>
          <w:rPr>
            <w:color w:val="0563C1"/>
            <w:u w:val="single"/>
            <w:rFonts w:ascii="Noto Sans" w:hAnsi="Noto Sans" w:eastAsia="Noto Sans"/>
          </w:rPr>
          <w:t>Open Greek Aristotle commentaries</w:t>
        </w:r>
      </w:hyperlink>
      <w:r>
        <w:rPr>
          <w:rFonts w:ascii="Noto Sans" w:hAnsi="Noto Sans" w:eastAsia="Noto Sans"/>
          <w:sz w:val="19"/>
        </w:rPr>
        <w:t>. Core machine-readable layer for both commentators.</w:t>
      </w:r>
    </w:p>
    <w:p>
      <w:pPr>
        <w:spacing w:after="30" w:line="252" w:lineRule="auto"/>
        <w:ind w:left="198" w:hanging="198"/>
      </w:pPr>
      <w:r>
        <w:rPr>
          <w:rFonts w:ascii="Noto Sans" w:hAnsi="Noto Sans" w:eastAsia="Noto Sans"/>
          <w:b/>
          <w:color w:val="1F4E78"/>
          <w:sz w:val="19"/>
        </w:rPr>
        <w:t xml:space="preserve">A34-R110 — </w:t>
      </w:r>
      <w:hyperlink r:id="rId41">
        <w:r>
          <w:rPr>
            <w:color w:val="0563C1"/>
            <w:u w:val="single"/>
            <w:rFonts w:ascii="Noto Sans" w:hAnsi="Noto Sans" w:eastAsia="Noto Sans"/>
          </w:rPr>
          <w:t>Simplicius on Epictetus — Greek-Latin historical edition</w:t>
        </w:r>
      </w:hyperlink>
      <w:r>
        <w:rPr>
          <w:rFonts w:ascii="Noto Sans" w:hAnsi="Noto Sans" w:eastAsia="Noto Sans"/>
          <w:sz w:val="19"/>
        </w:rPr>
        <w:t>. Best old original-language route for the ethical commentary.</w:t>
      </w:r>
    </w:p>
    <w:p>
      <w:pPr>
        <w:spacing w:after="30" w:line="252" w:lineRule="auto"/>
        <w:ind w:left="198" w:hanging="198"/>
      </w:pPr>
      <w:r>
        <w:rPr>
          <w:rFonts w:ascii="Noto Sans" w:hAnsi="Noto Sans" w:eastAsia="Noto Sans"/>
          <w:b/>
          <w:color w:val="1F4E78"/>
          <w:sz w:val="19"/>
        </w:rPr>
        <w:t xml:space="preserve">A34-R111–R114 — </w:t>
      </w:r>
      <w:hyperlink r:id="rId42">
        <w:r>
          <w:rPr>
            <w:color w:val="0563C1"/>
            <w:u w:val="single"/>
            <w:rFonts w:ascii="Noto Sans" w:hAnsi="Noto Sans" w:eastAsia="Noto Sans"/>
          </w:rPr>
          <w:t>Modern Simplicius translations</w:t>
        </w:r>
      </w:hyperlink>
      <w:r>
        <w:rPr>
          <w:rFonts w:ascii="Noto Sans" w:hAnsi="Noto Sans" w:eastAsia="Noto Sans"/>
          <w:sz w:val="19"/>
        </w:rPr>
        <w:t>. Protected ACoA purchase routes.</w:t>
      </w:r>
    </w:p>
    <w:p>
      <w:pPr>
        <w:spacing w:after="30" w:line="252" w:lineRule="auto"/>
        <w:ind w:left="198" w:hanging="198"/>
      </w:pPr>
      <w:r>
        <w:rPr>
          <w:rFonts w:ascii="Noto Sans" w:hAnsi="Noto Sans" w:eastAsia="Noto Sans"/>
          <w:b/>
          <w:color w:val="1F4E78"/>
          <w:sz w:val="19"/>
        </w:rPr>
        <w:t xml:space="preserve">A34-R115–R116 — </w:t>
      </w:r>
      <w:hyperlink r:id="rId43">
        <w:r>
          <w:rPr>
            <w:color w:val="0563C1"/>
            <w:u w:val="single"/>
            <w:rFonts w:ascii="Noto Sans" w:hAnsi="Noto Sans" w:eastAsia="Noto Sans"/>
          </w:rPr>
          <w:t>Philoponus Against Proclus — Rabe Greek edition</w:t>
        </w:r>
      </w:hyperlink>
      <w:r>
        <w:rPr>
          <w:rFonts w:ascii="Noto Sans" w:hAnsi="Noto Sans" w:eastAsia="Noto Sans"/>
          <w:sz w:val="19"/>
        </w:rPr>
        <w:t>. Complete historical Greek text; IA and Hathi routes.</w:t>
      </w:r>
    </w:p>
    <w:p>
      <w:pPr>
        <w:spacing w:after="30" w:line="252" w:lineRule="auto"/>
        <w:ind w:left="198" w:hanging="198"/>
      </w:pPr>
      <w:r>
        <w:rPr>
          <w:rFonts w:ascii="Noto Sans" w:hAnsi="Noto Sans" w:eastAsia="Noto Sans"/>
          <w:b/>
          <w:color w:val="1F4E78"/>
          <w:sz w:val="19"/>
        </w:rPr>
        <w:t xml:space="preserve">A34-R119–R124 — </w:t>
      </w:r>
      <w:hyperlink r:id="rId44">
        <w:r>
          <w:rPr>
            <w:color w:val="0563C1"/>
            <w:u w:val="single"/>
            <w:rFonts w:ascii="Noto Sans" w:hAnsi="Noto Sans" w:eastAsia="Noto Sans"/>
          </w:rPr>
          <w:t>Modern Philoponus controversy translations</w:t>
        </w:r>
      </w:hyperlink>
      <w:r>
        <w:rPr>
          <w:rFonts w:ascii="Noto Sans" w:hAnsi="Noto Sans" w:eastAsia="Noto Sans"/>
          <w:sz w:val="19"/>
        </w:rPr>
        <w:t>. Protected modern books/fragment reconstructions.</w:t>
      </w:r>
    </w:p>
    <w:p>
      <w:pPr>
        <w:spacing w:before="0" w:after="60" w:line="269" w:lineRule="auto"/>
      </w:pPr>
      <w:r>
        <w:rPr>
          <w:rFonts w:ascii="Noto Sans" w:hAnsi="Noto Sans" w:eastAsia="Noto Sans"/>
          <w:sz w:val="20"/>
        </w:rPr>
        <w:t>First1KGreek makes the commentary genre the most machine-readable sector of A34. Lost works reconstructed from hostile quotation remain version-sensitive: the ancient fragments are free subject matter, but modern selection, order, translation and apparatus are protected.</w:t>
      </w:r>
    </w:p>
    <w:p>
      <w:pPr>
        <w:pStyle w:val="Heading2"/>
        <w:keepNext/>
        <w:spacing w:before="100" w:after="80"/>
      </w:pPr>
      <w:r>
        <w:rPr>
          <w:rFonts w:ascii="Noto Sans" w:hAnsi="Noto Sans" w:eastAsia="Noto Sans"/>
          <w:b/>
          <w:color w:val="1F4E78"/>
          <w:sz w:val="24"/>
        </w:rPr>
        <w:t>3.7. Downstream-передача</w:t>
      </w:r>
    </w:p>
    <w:p>
      <w:pPr>
        <w:spacing w:after="30" w:line="252" w:lineRule="auto"/>
        <w:ind w:left="198" w:hanging="198"/>
      </w:pPr>
      <w:r>
        <w:rPr>
          <w:rFonts w:ascii="Noto Sans" w:hAnsi="Noto Sans" w:eastAsia="Noto Sans"/>
          <w:b/>
          <w:color w:val="1F4E78"/>
          <w:sz w:val="19"/>
        </w:rPr>
        <w:t xml:space="preserve">A34-R126 — </w:t>
      </w:r>
      <w:hyperlink r:id="rId45">
        <w:r>
          <w:rPr>
            <w:color w:val="0563C1"/>
            <w:u w:val="single"/>
            <w:rFonts w:ascii="Noto Sans" w:hAnsi="Noto Sans" w:eastAsia="Noto Sans"/>
          </w:rPr>
          <w:t>Theology of Aristotle — Dieterici Arabic/German</w:t>
        </w:r>
      </w:hyperlink>
      <w:r>
        <w:rPr>
          <w:rFonts w:ascii="Noto Sans" w:hAnsi="Noto Sans" w:eastAsia="Noto Sans"/>
          <w:sz w:val="19"/>
        </w:rPr>
        <w:t>. Best historical Arabic full-text route; translate as Arabic adaptation, not as Aristotle.</w:t>
      </w:r>
    </w:p>
    <w:p>
      <w:pPr>
        <w:spacing w:after="30" w:line="252" w:lineRule="auto"/>
        <w:ind w:left="198" w:hanging="198"/>
      </w:pPr>
      <w:r>
        <w:rPr>
          <w:rFonts w:ascii="Noto Sans" w:hAnsi="Noto Sans" w:eastAsia="Noto Sans"/>
          <w:b/>
          <w:color w:val="1F4E78"/>
          <w:sz w:val="19"/>
        </w:rPr>
        <w:t xml:space="preserve">A34-R128 — </w:t>
      </w:r>
      <w:hyperlink r:id="rId46">
        <w:r>
          <w:rPr>
            <w:color w:val="0563C1"/>
            <w:u w:val="single"/>
            <w:rFonts w:ascii="Noto Sans" w:hAnsi="Noto Sans" w:eastAsia="Noto Sans"/>
          </w:rPr>
          <w:t>Liber de causis — Bardenhewer Arabic/Latin/German</w:t>
        </w:r>
      </w:hyperlink>
      <w:r>
        <w:rPr>
          <w:rFonts w:ascii="Noto Sans" w:hAnsi="Noto Sans" w:eastAsia="Noto Sans"/>
          <w:sz w:val="19"/>
        </w:rPr>
        <w:t>. Best old full-text route for the Arabic-Latin Proclean adaptation.</w:t>
      </w:r>
    </w:p>
    <w:p>
      <w:pPr>
        <w:spacing w:after="30" w:line="252" w:lineRule="auto"/>
        <w:ind w:left="198" w:hanging="198"/>
      </w:pPr>
      <w:r>
        <w:rPr>
          <w:rFonts w:ascii="Noto Sans" w:hAnsi="Noto Sans" w:eastAsia="Noto Sans"/>
          <w:b/>
          <w:color w:val="1F4E78"/>
          <w:sz w:val="19"/>
        </w:rPr>
        <w:t xml:space="preserve">A34-R130–R132 — </w:t>
      </w:r>
      <w:hyperlink r:id="rId47">
        <w:r>
          <w:rPr>
            <w:color w:val="0563C1"/>
            <w:u w:val="single"/>
            <w:rFonts w:ascii="Noto Sans" w:hAnsi="Noto Sans" w:eastAsia="Noto Sans"/>
          </w:rPr>
          <w:t>Pseudo-Dionysian corpus</w:t>
        </w:r>
      </w:hyperlink>
      <w:r>
        <w:rPr>
          <w:rFonts w:ascii="Noto Sans" w:hAnsi="Noto Sans" w:eastAsia="Noto Sans"/>
          <w:sz w:val="19"/>
        </w:rPr>
        <w:t>. Historical full/partial English plus protected modern edition.</w:t>
      </w:r>
    </w:p>
    <w:p>
      <w:pPr>
        <w:spacing w:after="30" w:line="252" w:lineRule="auto"/>
        <w:ind w:left="198" w:hanging="198"/>
      </w:pPr>
      <w:r>
        <w:rPr>
          <w:rFonts w:ascii="Noto Sans" w:hAnsi="Noto Sans" w:eastAsia="Noto Sans"/>
          <w:b/>
          <w:color w:val="1F4E78"/>
          <w:sz w:val="19"/>
        </w:rPr>
        <w:t xml:space="preserve">A34-R129 — </w:t>
      </w:r>
      <w:hyperlink r:id="rId48">
        <w:r>
          <w:rPr>
            <w:color w:val="0563C1"/>
            <w:u w:val="single"/>
            <w:rFonts w:ascii="Noto Sans" w:hAnsi="Noto Sans" w:eastAsia="Noto Sans"/>
          </w:rPr>
          <w:t>Aquinas on Liber de causis</w:t>
        </w:r>
      </w:hyperlink>
      <w:r>
        <w:rPr>
          <w:rFonts w:ascii="Noto Sans" w:hAnsi="Noto Sans" w:eastAsia="Noto Sans"/>
          <w:sz w:val="19"/>
        </w:rPr>
        <w:t>. Free Latin read, link-only because modern editorial text rights are unclear.</w:t>
      </w:r>
    </w:p>
    <w:p>
      <w:pPr>
        <w:spacing w:after="30" w:line="252" w:lineRule="auto"/>
        <w:ind w:left="198" w:hanging="198"/>
      </w:pPr>
      <w:r>
        <w:rPr>
          <w:rFonts w:ascii="Noto Sans" w:hAnsi="Noto Sans" w:eastAsia="Noto Sans"/>
          <w:b/>
          <w:color w:val="1F4E78"/>
          <w:sz w:val="19"/>
        </w:rPr>
        <w:t xml:space="preserve">A34-R135 — </w:t>
      </w:r>
      <w:hyperlink r:id="rId49">
        <w:r>
          <w:rPr>
            <w:color w:val="0563C1"/>
            <w:u w:val="single"/>
            <w:rFonts w:ascii="Noto Sans" w:hAnsi="Noto Sans" w:eastAsia="Noto Sans"/>
          </w:rPr>
          <w:t>Ficino's Greek-Latin Plotinus</w:t>
        </w:r>
      </w:hyperlink>
      <w:r>
        <w:rPr>
          <w:rFonts w:ascii="Noto Sans" w:hAnsi="Noto Sans" w:eastAsia="Noto Sans"/>
          <w:sz w:val="19"/>
        </w:rPr>
        <w:t>. Renaissance preservation/recanonization layer.</w:t>
      </w:r>
    </w:p>
    <w:p>
      <w:pPr>
        <w:spacing w:before="0" w:after="60" w:line="269" w:lineRule="auto"/>
      </w:pPr>
      <w:r>
        <w:rPr>
          <w:rFonts w:ascii="Noto Sans" w:hAnsi="Noto Sans" w:eastAsia="Noto Sans"/>
          <w:sz w:val="20"/>
        </w:rPr>
        <w:t>Наиболее свободны historical Arabic/Latin/Greek scans; наиболее научны modern protected editions. Эти downstream works не меняют даты A34, а показывают конкретные механизмы сохранения и переоформления материала.</w:t>
      </w:r>
    </w:p>
    <w:p>
      <w:pPr>
        <w:pStyle w:val="Heading1"/>
        <w:keepNext/>
        <w:spacing w:before="160" w:after="80"/>
      </w:pPr>
      <w:r>
        <w:rPr>
          <w:rFonts w:ascii="Noto Sans" w:hAnsi="Noto Sans" w:eastAsia="Noto Sans"/>
          <w:b/>
          <w:color w:val="17365D"/>
          <w:sz w:val="32"/>
        </w:rPr>
        <w:t>4. Карта прав и практического использования</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cantSplit/>
          <w:tblHeader w:val="true"/>
        </w:trPr>
        <w:tc>
          <w:tcPr>
            <w:tcW w:type="dxa" w:w="1928"/>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6"/>
              </w:rPr>
              <w:t>Группа</w:t>
            </w:r>
          </w:p>
        </w:tc>
        <w:tc>
          <w:tcPr>
            <w:tcW w:type="dxa" w:w="1814"/>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6"/>
              </w:rPr>
              <w:t>Права</w:t>
            </w:r>
          </w:p>
        </w:tc>
        <w:tc>
          <w:tcPr>
            <w:tcW w:type="dxa" w:w="3061"/>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6"/>
              </w:rPr>
              <w:t>Практически допустимо</w:t>
            </w:r>
          </w:p>
        </w:tc>
        <w:tc>
          <w:tcPr>
            <w:tcW w:type="dxa" w:w="2665"/>
            <w:vAlign w:val="top"/>
            <w:tcMar>
              <w:top w:w="80" w:type="dxa"/>
              <w:start w:w="90" w:type="dxa"/>
              <w:bottom w:w="80" w:type="dxa"/>
              <w:end w:w="90" w:type="dxa"/>
            </w:tcMar>
            <w:shd w:fill="17365D"/>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6"/>
              </w:rPr>
              <w:t>Главное ограничение</w:t>
            </w:r>
          </w:p>
        </w:tc>
      </w:tr>
      <w:tr>
        <w:trPr>
          <w:cantSplit/>
        </w:trPr>
        <w:tc>
          <w:tcPr>
            <w:tcW w:type="dxa" w:w="192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6"/>
              </w:rPr>
              <w:t>First1KGreek TEI/XML</w:t>
            </w:r>
          </w:p>
        </w:tc>
        <w:tc>
          <w:tcPr>
            <w:tcW w:type="dxa" w:w="181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CC BY-SA 4.0, file-level</w:t>
            </w:r>
          </w:p>
        </w:tc>
        <w:tc>
          <w:tcPr>
            <w:tcW w:type="dxa" w:w="3061"/>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Link, download, local copy, mirror with attribution, full-text index, embeddings, own translation; ShareAlike for redistribution/adaptation.</w:t>
            </w:r>
          </w:p>
        </w:tc>
        <w:tc>
          <w:tcPr>
            <w:tcW w:type="dxa" w:w="266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Только конкретный XML и его markup; не внешние facsimiles, translations или source editions.</w:t>
            </w:r>
          </w:p>
        </w:tc>
      </w:tr>
      <w:tr>
        <w:trPr>
          <w:cantSplit/>
        </w:trPr>
        <w:tc>
          <w:tcPr>
            <w:tcW w:type="dxa" w:w="192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6"/>
              </w:rPr>
              <w:t>Uppsala Gr. 64</w:t>
            </w:r>
          </w:p>
        </w:tc>
        <w:tc>
          <w:tcPr>
            <w:tcW w:type="dxa" w:w="181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Public Domain Mark 1.0 in IIIF</w:t>
            </w:r>
          </w:p>
        </w:tc>
        <w:tc>
          <w:tcPr>
            <w:tcW w:type="dxa" w:w="3061"/>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Link, download, mirror, OCR, index, embeddings, translation of the single witness; preserve attribution.</w:t>
            </w:r>
          </w:p>
        </w:tc>
        <w:tc>
          <w:tcPr>
            <w:tcW w:type="dxa" w:w="266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PDM is a status marker, not a licence; scope is one manuscript witness.</w:t>
            </w:r>
          </w:p>
        </w:tc>
      </w:tr>
      <w:tr>
        <w:trPr>
          <w:cantSplit/>
        </w:trPr>
        <w:tc>
          <w:tcPr>
            <w:tcW w:type="dxa" w:w="192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6"/>
              </w:rPr>
              <w:t>Digital Bodleian manuscripts</w:t>
            </w:r>
          </w:p>
        </w:tc>
        <w:tc>
          <w:tcPr>
            <w:tcW w:type="dxa" w:w="181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Usually CC BY-NC 4.0, item exceptions</w:t>
            </w:r>
          </w:p>
        </w:tc>
        <w:tc>
          <w:tcPr>
            <w:tcW w:type="dxa" w:w="3061"/>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Noncommercial mirror/download/OCR/index/embeddings with attribution.</w:t>
            </w:r>
          </w:p>
        </w:tc>
        <w:tc>
          <w:tcPr>
            <w:tcW w:type="dxa" w:w="266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NC applies; verify each object badge and third-party exceptions.</w:t>
            </w:r>
          </w:p>
        </w:tc>
      </w:tr>
      <w:tr>
        <w:trPr>
          <w:cantSplit/>
        </w:trPr>
        <w:tc>
          <w:tcPr>
            <w:tcW w:type="dxa" w:w="192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6"/>
              </w:rPr>
              <w:t>Project Gutenberg</w:t>
            </w:r>
          </w:p>
        </w:tc>
        <w:tc>
          <w:tcPr>
            <w:tcW w:type="dxa" w:w="181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Not restricted by U.S. copyright; trademark/licence rules</w:t>
            </w:r>
          </w:p>
        </w:tc>
        <w:tc>
          <w:tcPr>
            <w:tcW w:type="dxa" w:w="3061"/>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Read, download, index and potentially mirror the U.S.-public-domain text layer.</w:t>
            </w:r>
          </w:p>
        </w:tc>
        <w:tc>
          <w:tcPr>
            <w:tcW w:type="dxa" w:w="266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Global ToS service must review target jurisdictions; strip PG marks or follow its licence.</w:t>
            </w:r>
          </w:p>
        </w:tc>
      </w:tr>
      <w:tr>
        <w:trPr>
          <w:cantSplit/>
        </w:trPr>
        <w:tc>
          <w:tcPr>
            <w:tcW w:type="dxa" w:w="192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6"/>
              </w:rPr>
              <w:t>Historical Internet Archive scans</w:t>
            </w:r>
          </w:p>
        </w:tc>
        <w:tc>
          <w:tcPr>
            <w:tcW w:type="dxa" w:w="181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r>
              <w:rPr>
                <w:rFonts w:ascii="Noto Sans" w:hAnsi="Noto Sans" w:eastAsia="Noto Sans"/>
                <w:sz w:val="16"/>
              </w:rPr>
              <w:t>PD-era / PDM / “Not in Copyright” item metadata</w:t>
            </w:r>
          </w:p>
        </w:tc>
        <w:tc>
          <w:tcPr>
            <w:tcW w:type="dxa" w:w="3061"/>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Read, download, local OCR and research index; own translation from original-language layer where clean.</w:t>
            </w:r>
          </w:p>
        </w:tc>
        <w:tc>
          <w:tcPr>
            <w:tcW w:type="dxa" w:w="266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Archive availability is not a warranty of uploader rights; no automatic MIRROR_OK.</w:t>
            </w:r>
          </w:p>
        </w:tc>
      </w:tr>
      <w:tr>
        <w:trPr>
          <w:cantSplit/>
        </w:trPr>
        <w:tc>
          <w:tcPr>
            <w:tcW w:type="dxa" w:w="192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6"/>
              </w:rPr>
              <w:t>HathiTrust</w:t>
            </w:r>
          </w:p>
        </w:tc>
        <w:tc>
          <w:tcPr>
            <w:tcW w:type="dxa" w:w="181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Item-level PD determination; Google-source conditions</w:t>
            </w:r>
          </w:p>
        </w:tc>
        <w:tc>
          <w:tcPr>
            <w:tcW w:type="dxa" w:w="3061"/>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Read/full-view where available, research transcription and translation.</w:t>
            </w:r>
          </w:p>
        </w:tc>
        <w:tc>
          <w:tcPr>
            <w:tcW w:type="dxa" w:w="266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Page images/OCR and transcribed text can have different conditions; do not rehost Google images by default.</w:t>
            </w:r>
          </w:p>
        </w:tc>
      </w:tr>
      <w:tr>
        <w:trPr>
          <w:cantSplit/>
        </w:trPr>
        <w:tc>
          <w:tcPr>
            <w:tcW w:type="dxa" w:w="192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6"/>
              </w:rPr>
              <w:t>CC BY-NC-ND item</w:t>
            </w:r>
          </w:p>
        </w:tc>
        <w:tc>
          <w:tcPr>
            <w:tcW w:type="dxa" w:w="181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Balboa Proclus: CC BY-NC-ND 4.0</w:t>
            </w:r>
          </w:p>
        </w:tc>
        <w:tc>
          <w:tcPr>
            <w:tcW w:type="dxa" w:w="3061"/>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Unchanged noncommercial sharing with attribution.</w:t>
            </w:r>
          </w:p>
        </w:tc>
        <w:tc>
          <w:tcPr>
            <w:tcW w:type="dxa" w:w="266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No derivatives; not a clean public translation or corrected-text basis.</w:t>
            </w:r>
          </w:p>
        </w:tc>
      </w:tr>
      <w:tr>
        <w:trPr>
          <w:cantSplit/>
        </w:trPr>
        <w:tc>
          <w:tcPr>
            <w:tcW w:type="dxa" w:w="1928"/>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6"/>
              </w:rPr>
              <w:t>Modern publishers / Loeb / ACoA</w:t>
            </w:r>
          </w:p>
        </w:tc>
        <w:tc>
          <w:tcPr>
            <w:tcW w:type="dxa" w:w="181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In Copyright</w:t>
            </w:r>
          </w:p>
        </w:tc>
        <w:tc>
          <w:tcPr>
            <w:tcW w:type="dxa" w:w="3061"/>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Link, purchase, institutional access, preview and lawful quotation.</w:t>
            </w:r>
          </w:p>
        </w:tc>
        <w:tc>
          <w:tcPr>
            <w:tcW w:type="dxa" w:w="2665"/>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No mirroring, public full-text index or derivative publication without permission.</w:t>
            </w:r>
          </w:p>
        </w:tc>
      </w:tr>
      <w:tr>
        <w:trPr>
          <w:cantSplit/>
        </w:trPr>
        <w:tc>
          <w:tcPr>
            <w:tcW w:type="dxa" w:w="1928"/>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6"/>
              </w:rPr>
              <w:t>Borrow-only and metadata-only routes</w:t>
            </w:r>
          </w:p>
        </w:tc>
        <w:tc>
          <w:tcPr>
            <w:tcW w:type="dxa" w:w="181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Library/platform terms</w:t>
            </w:r>
          </w:p>
        </w:tc>
        <w:tc>
          <w:tcPr>
            <w:tcW w:type="dxa" w:w="3061"/>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Link, borrow, catalogue card, local consultation as allowed.</w:t>
            </w:r>
          </w:p>
        </w:tc>
        <w:tc>
          <w:tcPr>
            <w:tcW w:type="dxa" w:w="2665"/>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6"/>
              </w:rPr>
              <w:t>Borrowed encrypted files and catalogue records are not redistribution licences.</w:t>
            </w:r>
          </w:p>
        </w:tc>
      </w:tr>
    </w:tbl>
    <w:p>
      <w:pPr>
        <w:pStyle w:val="Heading2"/>
        <w:keepNext/>
        <w:spacing w:before="100" w:after="80"/>
      </w:pPr>
      <w:r>
        <w:rPr>
          <w:rFonts w:ascii="Noto Sans" w:hAnsi="Noto Sans" w:eastAsia="Noto Sans"/>
          <w:b/>
          <w:color w:val="1F4E78"/>
          <w:sz w:val="24"/>
        </w:rPr>
        <w:t>4.1. Что ToS может потенциально зеркалировать</w:t>
      </w:r>
    </w:p>
    <w:p>
      <w:pPr>
        <w:spacing w:before="0" w:after="60" w:line="269" w:lineRule="auto"/>
      </w:pPr>
      <w:r>
        <w:rPr>
          <w:rFonts w:ascii="Noto Sans" w:hAnsi="Noto Sans" w:eastAsia="Noto Sans"/>
          <w:sz w:val="20"/>
        </w:rPr>
        <w:t>Наиболее сильный слой — конкретные First1KGreek XML-файлы под CC BY-SA 4.0. Их можно хранить, перераспространять и модифицировать с атрибуцией и ShareAlike, сохраняя provenance каждого файла. Uppsala Gr. 64 имеет Public Domain Mark 1.0 на уровне IIIF; его изображения можно рассматривать как mirrorable witness layer с институциональной атрибуцией. Digital Bodleian даёт практически полезный noncommercial image layer под CC BY-NC 4.0 для большинства объектов, но только после item-level recheck.</w:t>
      </w:r>
    </w:p>
    <w:p>
      <w:pPr>
        <w:spacing w:before="0" w:after="60" w:line="269" w:lineRule="auto"/>
      </w:pPr>
      <w:r>
        <w:rPr>
          <w:rFonts w:ascii="Noto Sans" w:hAnsi="Noto Sans" w:eastAsia="Noto Sans"/>
          <w:sz w:val="20"/>
        </w:rPr>
        <w:t>Project Gutenberg допускает повторное использование public-domain text layer в США; в реестре MIRROR_OK всегда сопровождается RIGHTS_REVIEW_REQUIRED, потому что ToS будет доступен за пределами США. LibriVox audio similarly public-domain in the United States, но локальное право следует проверить.</w:t>
      </w:r>
    </w:p>
    <w:p>
      <w:pPr>
        <w:pStyle w:val="Heading2"/>
        <w:keepNext/>
        <w:spacing w:before="100" w:after="80"/>
      </w:pPr>
      <w:r>
        <w:rPr>
          <w:rFonts w:ascii="Noto Sans" w:hAnsi="Noto Sans" w:eastAsia="Noto Sans"/>
          <w:b/>
          <w:color w:val="1F4E78"/>
          <w:sz w:val="24"/>
        </w:rPr>
        <w:t>4.2. Что остаётся link-only, borrow, preview или purchase</w:t>
      </w:r>
    </w:p>
    <w:p>
      <w:pPr>
        <w:spacing w:before="0" w:after="60" w:line="269" w:lineRule="auto"/>
      </w:pPr>
      <w:r>
        <w:rPr>
          <w:rFonts w:ascii="Noto Sans" w:hAnsi="Noto Sans" w:eastAsia="Noto Sans"/>
          <w:sz w:val="20"/>
        </w:rPr>
        <w:t>Cambridge, Oxford University Press, Princeton, Harvard/Loeb, SBL, Brill, Bloomsbury и Prometheus Trust дают лучшие современные научные версии, но защищают translation, critical text, commentary and platform. Они должны появляться в ToS как bibliographic cards and external links; purchase/institutional/preview status нельзя замалчивать.</w:t>
      </w:r>
    </w:p>
    <w:p>
      <w:pPr>
        <w:spacing w:before="0" w:after="60" w:line="269" w:lineRule="auto"/>
      </w:pPr>
      <w:r>
        <w:rPr>
          <w:rFonts w:ascii="Noto Sans" w:hAnsi="Noto Sans" w:eastAsia="Noto Sans"/>
          <w:sz w:val="20"/>
        </w:rPr>
        <w:t>Internet Archive Controlled Digital Lending and library routes дают законный доступ к некоторым modern works, но borrowed files нельзя превращать в открытый corpus. Metadata-only записи, такие как Oxford MS. Fell 5 или WorldCat route for Damascius' Philosophical History, важны для идентификации, но не дают текст или image rights.</w:t>
      </w:r>
    </w:p>
    <w:p>
      <w:pPr>
        <w:pStyle w:val="Heading2"/>
        <w:keepNext/>
        <w:spacing w:before="100" w:after="80"/>
      </w:pPr>
      <w:r>
        <w:rPr>
          <w:rFonts w:ascii="Noto Sans" w:hAnsi="Noto Sans" w:eastAsia="Noto Sans"/>
          <w:b/>
          <w:color w:val="1F4E78"/>
          <w:sz w:val="24"/>
        </w:rPr>
        <w:t>4.3. OCR, индексация и embeddings</w:t>
      </w:r>
    </w:p>
    <w:p>
      <w:pPr>
        <w:spacing w:before="0" w:after="60" w:line="269" w:lineRule="auto"/>
      </w:pPr>
      <w:r>
        <w:rPr>
          <w:rFonts w:ascii="Noto Sans" w:hAnsi="Noto Sans" w:eastAsia="Noto Sans"/>
          <w:sz w:val="20"/>
        </w:rPr>
        <w:t>OCR_OK, FULLTEXT_INDEX_OK и EMBEDDINGS_OK оцениваются отдельно. Licensed XML usually supports public indexing and embeddings. Public-domain-marked manuscript images permit OCR within their scope. Historical IA scans подходят для local OCR/research, но public redistribution and public full-text index требуют source/jurisdiction review. Защищённые modern translations не следует помещать в публичный полнотекстовый индекс или embeddings corpus без лицензии.</w:t>
      </w:r>
    </w:p>
    <w:p>
      <w:pPr>
        <w:spacing w:before="0" w:after="60" w:line="269" w:lineRule="auto"/>
      </w:pPr>
      <w:r>
        <w:rPr>
          <w:rFonts w:ascii="Noto Sans" w:hAnsi="Noto Sans" w:eastAsia="Noto Sans"/>
          <w:sz w:val="20"/>
        </w:rPr>
        <w:t>Для HathiTrust особенно важно различать page images/OCR and independently transcribed or translated text. Политика HathiTrust указывает, что Google-derived images/OCR should not be rehosted or commercially used, тогда как собственная transcription/paraphrase/translation of the text is treated differently. В XLSX это отражено через mixed rights scope.</w:t>
      </w:r>
    </w:p>
    <w:p>
      <w:pPr>
        <w:pStyle w:val="Heading2"/>
        <w:keepNext/>
        <w:spacing w:before="100" w:after="80"/>
      </w:pPr>
      <w:r>
        <w:rPr>
          <w:rFonts w:ascii="Noto Sans" w:hAnsi="Noto Sans" w:eastAsia="Noto Sans"/>
          <w:b/>
          <w:color w:val="1F4E78"/>
          <w:sz w:val="24"/>
        </w:rPr>
        <w:t>4.4. Собственный перевод ToS</w:t>
      </w:r>
    </w:p>
    <w:p>
      <w:pPr>
        <w:pStyle w:val="ListBullet"/>
        <w:spacing w:after="36" w:line="259" w:lineRule="auto"/>
      </w:pPr>
      <w:r>
        <w:rPr>
          <w:rFonts w:ascii="Noto Sans" w:hAnsi="Noto Sans" w:eastAsia="Noto Sans"/>
          <w:sz w:val="19"/>
        </w:rPr>
        <w:t>Openly licensed Ancient Greek First1KGreek files — strongest reusable basis for the exact works represented there.</w:t>
      </w:r>
    </w:p>
    <w:p>
      <w:pPr>
        <w:pStyle w:val="ListBullet"/>
        <w:spacing w:after="36" w:line="259" w:lineRule="auto"/>
      </w:pPr>
      <w:r>
        <w:rPr>
          <w:rFonts w:ascii="Noto Sans" w:hAnsi="Noto Sans" w:eastAsia="Noto Sans"/>
          <w:sz w:val="19"/>
        </w:rPr>
        <w:t>Uppsala Gr. 64 and noncommercial Bodleian manuscript images — witness-limited bases, requiring collation and scope discipline.</w:t>
      </w:r>
    </w:p>
    <w:p>
      <w:pPr>
        <w:pStyle w:val="ListBullet"/>
        <w:spacing w:after="36" w:line="259" w:lineRule="auto"/>
      </w:pPr>
      <w:r>
        <w:rPr>
          <w:rFonts w:ascii="Noto Sans" w:hAnsi="Noto Sans" w:eastAsia="Noto Sans"/>
          <w:sz w:val="19"/>
        </w:rPr>
        <w:t>Public-domain-era Greek/Latin/Arabic editions in historical scans — possible bases after jurisdiction/source-copy review.</w:t>
      </w:r>
    </w:p>
    <w:p>
      <w:pPr>
        <w:pStyle w:val="ListBullet"/>
        <w:spacing w:after="36" w:line="259" w:lineRule="auto"/>
      </w:pPr>
      <w:r>
        <w:rPr>
          <w:rFonts w:ascii="Noto Sans" w:hAnsi="Noto Sans" w:eastAsia="Noto Sans"/>
          <w:sz w:val="19"/>
        </w:rPr>
        <w:t>Theology of Aristotle and Liber de causis — may be translated as their Arabic/Latin transmitted forms, never presented as transparent recovery of Plotinus or Proclus.</w:t>
      </w:r>
    </w:p>
    <w:p>
      <w:pPr>
        <w:pStyle w:val="ListBullet"/>
        <w:spacing w:after="36" w:line="259" w:lineRule="auto"/>
      </w:pPr>
      <w:r>
        <w:rPr>
          <w:rFonts w:ascii="Noto Sans" w:hAnsi="Noto Sans" w:eastAsia="Noto Sans"/>
          <w:sz w:val="19"/>
        </w:rPr>
        <w:t>Protected modern translations, critical reconstructions and commentaries — comparator only; no automatic OWN_TRANSLATION_POSSIBLE.</w:t>
      </w:r>
    </w:p>
    <w:p>
      <w:pPr>
        <w:pStyle w:val="ListBullet"/>
        <w:spacing w:after="36" w:line="259" w:lineRule="auto"/>
      </w:pPr>
      <w:r>
        <w:rPr>
          <w:rFonts w:ascii="Noto Sans" w:hAnsi="Noto Sans" w:eastAsia="Noto Sans"/>
          <w:sz w:val="19"/>
        </w:rPr>
        <w:t>Fragmentary works — a new translation must preserve each fragment's witness and must not copy the protected modern arrangement or reconstruction.</w:t>
      </w:r>
    </w:p>
    <w:p>
      <w:pPr>
        <w:pStyle w:val="Heading2"/>
        <w:keepNext/>
        <w:spacing w:before="100" w:after="80"/>
      </w:pPr>
      <w:r>
        <w:rPr>
          <w:rFonts w:ascii="Noto Sans" w:hAnsi="Noto Sans" w:eastAsia="Noto Sans"/>
          <w:b/>
          <w:color w:val="1F4E78"/>
          <w:sz w:val="24"/>
        </w:rPr>
        <w:t>4.5. Основные официальные evidence pages</w:t>
      </w:r>
    </w:p>
    <w:p>
      <w:pPr>
        <w:spacing w:after="30"/>
      </w:pPr>
      <w:hyperlink r:id="rId50">
        <w:r>
          <w:rPr>
            <w:color w:val="0563C1"/>
            <w:u w:val="single"/>
            <w:rFonts w:ascii="Noto Sans" w:hAnsi="Noto Sans" w:eastAsia="Noto Sans"/>
          </w:rPr>
          <w:t>First1KGreek licence</w:t>
        </w:r>
      </w:hyperlink>
      <w:r>
        <w:rPr>
          <w:rFonts w:ascii="Noto Sans" w:hAnsi="Noto Sans" w:eastAsia="Noto Sans"/>
          <w:sz w:val="19"/>
        </w:rPr>
        <w:t xml:space="preserve"> — basis for the corresponding rights group in the registry.</w:t>
      </w:r>
    </w:p>
    <w:p>
      <w:pPr>
        <w:spacing w:after="30"/>
      </w:pPr>
      <w:hyperlink r:id="rId51">
        <w:r>
          <w:rPr>
            <w:color w:val="0563C1"/>
            <w:u w:val="single"/>
            <w:rFonts w:ascii="Noto Sans" w:hAnsi="Noto Sans" w:eastAsia="Noto Sans"/>
          </w:rPr>
          <w:t>Project Gutenberg permission policy</w:t>
        </w:r>
      </w:hyperlink>
      <w:r>
        <w:rPr>
          <w:rFonts w:ascii="Noto Sans" w:hAnsi="Noto Sans" w:eastAsia="Noto Sans"/>
          <w:sz w:val="19"/>
        </w:rPr>
        <w:t xml:space="preserve"> — basis for the corresponding rights group in the registry.</w:t>
      </w:r>
    </w:p>
    <w:p>
      <w:pPr>
        <w:spacing w:after="30"/>
      </w:pPr>
      <w:hyperlink r:id="rId52">
        <w:r>
          <w:rPr>
            <w:color w:val="0563C1"/>
            <w:u w:val="single"/>
            <w:rFonts w:ascii="Noto Sans" w:hAnsi="Noto Sans" w:eastAsia="Noto Sans"/>
          </w:rPr>
          <w:t>HathiTrust Access &amp; Use Policy</w:t>
        </w:r>
      </w:hyperlink>
      <w:r>
        <w:rPr>
          <w:rFonts w:ascii="Noto Sans" w:hAnsi="Noto Sans" w:eastAsia="Noto Sans"/>
          <w:sz w:val="19"/>
        </w:rPr>
        <w:t xml:space="preserve"> — basis for the corresponding rights group in the registry.</w:t>
      </w:r>
    </w:p>
    <w:p>
      <w:pPr>
        <w:spacing w:after="30"/>
      </w:pPr>
      <w:hyperlink r:id="rId53">
        <w:r>
          <w:rPr>
            <w:color w:val="0563C1"/>
            <w:u w:val="single"/>
            <w:rFonts w:ascii="Noto Sans" w:hAnsi="Noto Sans" w:eastAsia="Noto Sans"/>
          </w:rPr>
          <w:t>Digital Bodleian terms</w:t>
        </w:r>
      </w:hyperlink>
      <w:r>
        <w:rPr>
          <w:rFonts w:ascii="Noto Sans" w:hAnsi="Noto Sans" w:eastAsia="Noto Sans"/>
          <w:sz w:val="19"/>
        </w:rPr>
        <w:t xml:space="preserve"> — basis for the corresponding rights group in the registry.</w:t>
      </w:r>
    </w:p>
    <w:p>
      <w:pPr>
        <w:spacing w:after="30"/>
      </w:pPr>
      <w:hyperlink r:id="rId54">
        <w:r>
          <w:rPr>
            <w:color w:val="0563C1"/>
            <w:u w:val="single"/>
            <w:rFonts w:ascii="Noto Sans" w:hAnsi="Noto Sans" w:eastAsia="Noto Sans"/>
          </w:rPr>
          <w:t>Internet Archive terms</w:t>
        </w:r>
      </w:hyperlink>
      <w:r>
        <w:rPr>
          <w:rFonts w:ascii="Noto Sans" w:hAnsi="Noto Sans" w:eastAsia="Noto Sans"/>
          <w:sz w:val="19"/>
        </w:rPr>
        <w:t xml:space="preserve"> — basis for the corresponding rights group in the registry.</w:t>
      </w:r>
    </w:p>
    <w:p>
      <w:pPr>
        <w:spacing w:after="30"/>
      </w:pPr>
      <w:hyperlink r:id="rId55">
        <w:r>
          <w:rPr>
            <w:color w:val="0563C1"/>
            <w:u w:val="single"/>
            <w:rFonts w:ascii="Noto Sans" w:hAnsi="Noto Sans" w:eastAsia="Noto Sans"/>
          </w:rPr>
          <w:t>Uppsala Gr. 64 IIIF manifest</w:t>
        </w:r>
      </w:hyperlink>
      <w:r>
        <w:rPr>
          <w:rFonts w:ascii="Noto Sans" w:hAnsi="Noto Sans" w:eastAsia="Noto Sans"/>
          <w:sz w:val="19"/>
        </w:rPr>
        <w:t xml:space="preserve"> — basis for the corresponding rights group in the registry.</w:t>
      </w:r>
    </w:p>
    <w:p>
      <w:pPr>
        <w:pStyle w:val="Heading1"/>
        <w:keepNext/>
        <w:spacing w:before="160" w:after="80"/>
      </w:pPr>
      <w:r>
        <w:rPr>
          <w:rFonts w:ascii="Noto Sans" w:hAnsi="Noto Sans" w:eastAsia="Noto Sans"/>
          <w:b/>
          <w:color w:val="17365D"/>
          <w:sz w:val="32"/>
        </w:rPr>
        <w:t>5. Характерные правовые тонкости</w:t>
      </w:r>
    </w:p>
    <w:p>
      <w:pPr>
        <w:spacing w:after="60" w:line="259" w:lineRule="auto"/>
      </w:pPr>
      <w:r>
        <w:rPr>
          <w:rFonts w:ascii="Noto Sans" w:hAnsi="Noto Sans" w:eastAsia="Noto Sans"/>
          <w:b/>
          <w:color w:val="1F4E78"/>
          <w:sz w:val="20"/>
        </w:rPr>
        <w:t xml:space="preserve">Древний оригинал свободен, современная версия — нет. </w:t>
      </w:r>
      <w:r>
        <w:rPr>
          <w:rFonts w:ascii="Noto Sans" w:hAnsi="Noto Sans" w:eastAsia="Noto Sans"/>
          <w:sz w:val="20"/>
        </w:rPr>
        <w:t>Plotinus, Proclus или Philoponus как ancient works не охраняются, но Dodds, Armstrong, Rappe, Barnes, ACoA translations, editorial reconstructions and notes охраняются.</w:t>
      </w:r>
    </w:p>
    <w:p>
      <w:pPr>
        <w:spacing w:after="60" w:line="259" w:lineRule="auto"/>
      </w:pPr>
      <w:r>
        <w:rPr>
          <w:rFonts w:ascii="Noto Sans" w:hAnsi="Noto Sans" w:eastAsia="Noto Sans"/>
          <w:b/>
          <w:color w:val="1F4E78"/>
          <w:sz w:val="20"/>
        </w:rPr>
        <w:t xml:space="preserve">Комментарий — первичный философский жанр, но не исключение из copyright. </w:t>
      </w:r>
      <w:r>
        <w:rPr>
          <w:rFonts w:ascii="Noto Sans" w:hAnsi="Noto Sans" w:eastAsia="Noto Sans"/>
          <w:sz w:val="20"/>
        </w:rPr>
        <w:t>То, что Simplicius/Philoponus commentary является ядром A34, не даёт права копировать modern translation or database presentation.</w:t>
      </w:r>
    </w:p>
    <w:p>
      <w:pPr>
        <w:spacing w:after="60" w:line="259" w:lineRule="auto"/>
      </w:pPr>
      <w:r>
        <w:rPr>
          <w:rFonts w:ascii="Noto Sans" w:hAnsi="Noto Sans" w:eastAsia="Noto Sans"/>
          <w:b/>
          <w:color w:val="1F4E78"/>
          <w:sz w:val="20"/>
        </w:rPr>
        <w:t xml:space="preserve">Фрагмент и реконструкция — разные объекты. </w:t>
      </w:r>
      <w:r>
        <w:rPr>
          <w:rFonts w:ascii="Noto Sans" w:hAnsi="Noto Sans" w:eastAsia="Noto Sans"/>
          <w:sz w:val="20"/>
        </w:rPr>
        <w:t>Porphyry Against the Christians, Proclus On Eternity and Philoponus Against Aristotle survive through testimonia/quotation. Ancient quoted words and a modern editorial reconstruction have different rights.</w:t>
      </w:r>
    </w:p>
    <w:p>
      <w:pPr>
        <w:spacing w:after="60" w:line="259" w:lineRule="auto"/>
      </w:pPr>
      <w:r>
        <w:rPr>
          <w:rFonts w:ascii="Noto Sans" w:hAnsi="Noto Sans" w:eastAsia="Noto Sans"/>
          <w:b/>
          <w:color w:val="1F4E78"/>
          <w:sz w:val="20"/>
        </w:rPr>
        <w:t xml:space="preserve">Public Domain Mark не является лицензией. </w:t>
      </w:r>
      <w:r>
        <w:rPr>
          <w:rFonts w:ascii="Noto Sans" w:hAnsi="Noto Sans" w:eastAsia="Noto Sans"/>
          <w:sz w:val="20"/>
        </w:rPr>
        <w:t>У Uppsala witness PDM сообщает правовой статус digital object; attribution and scope still matter. Нельзя переносить его на другие manuscripts or editions.</w:t>
      </w:r>
    </w:p>
    <w:p>
      <w:pPr>
        <w:spacing w:after="60" w:line="259" w:lineRule="auto"/>
      </w:pPr>
      <w:r>
        <w:rPr>
          <w:rFonts w:ascii="Noto Sans" w:hAnsi="Noto Sans" w:eastAsia="Noto Sans"/>
          <w:b/>
          <w:color w:val="1F4E78"/>
          <w:sz w:val="20"/>
        </w:rPr>
        <w:t xml:space="preserve">Download не равен redistribution. </w:t>
      </w:r>
      <w:r>
        <w:rPr>
          <w:rFonts w:ascii="Noto Sans" w:hAnsi="Noto Sans" w:eastAsia="Noto Sans"/>
          <w:sz w:val="20"/>
        </w:rPr>
        <w:t>Internet Archive, Google Books, HathiTrust and library viewers may permit download/read while leaving republication or image reuse unresolved.</w:t>
      </w:r>
    </w:p>
    <w:p>
      <w:pPr>
        <w:spacing w:after="60" w:line="259" w:lineRule="auto"/>
      </w:pPr>
      <w:r>
        <w:rPr>
          <w:rFonts w:ascii="Noto Sans" w:hAnsi="Noto Sans" w:eastAsia="Noto Sans"/>
          <w:b/>
          <w:color w:val="1F4E78"/>
          <w:sz w:val="20"/>
        </w:rPr>
        <w:t xml:space="preserve">Юрисдикция имеет значение. </w:t>
      </w:r>
      <w:r>
        <w:rPr>
          <w:rFonts w:ascii="Noto Sans" w:hAnsi="Noto Sans" w:eastAsia="Noto Sans"/>
          <w:sz w:val="20"/>
        </w:rPr>
        <w:t>Project Gutenberg and many 1920s historical editions are strongest in the United States; worldwide ToS publication requires a jurisdictional check.</w:t>
      </w:r>
    </w:p>
    <w:p>
      <w:pPr>
        <w:spacing w:after="60" w:line="259" w:lineRule="auto"/>
      </w:pPr>
      <w:r>
        <w:rPr>
          <w:rFonts w:ascii="Noto Sans" w:hAnsi="Noto Sans" w:eastAsia="Noto Sans"/>
          <w:b/>
          <w:color w:val="1F4E78"/>
          <w:sz w:val="20"/>
        </w:rPr>
        <w:t xml:space="preserve">Открытая транскрипция и ограниченное изображение могут сосуществовать. </w:t>
      </w:r>
      <w:r>
        <w:rPr>
          <w:rFonts w:ascii="Noto Sans" w:hAnsi="Noto Sans" w:eastAsia="Noto Sans"/>
          <w:sz w:val="20"/>
        </w:rPr>
        <w:t>First1KGreek XML can be CC BY-SA while a manuscript photo, source print scan or publisher translation is restricted.</w:t>
      </w:r>
    </w:p>
    <w:p>
      <w:pPr>
        <w:spacing w:after="60" w:line="259" w:lineRule="auto"/>
      </w:pPr>
      <w:r>
        <w:rPr>
          <w:rFonts w:ascii="Noto Sans" w:hAnsi="Noto Sans" w:eastAsia="Noto Sans"/>
          <w:b/>
          <w:color w:val="1F4E78"/>
          <w:sz w:val="20"/>
        </w:rPr>
        <w:t xml:space="preserve">NC/ND требуют буквального соблюдения. </w:t>
      </w:r>
      <w:r>
        <w:rPr>
          <w:rFonts w:ascii="Noto Sans" w:hAnsi="Noto Sans" w:eastAsia="Noto Sans"/>
          <w:sz w:val="20"/>
        </w:rPr>
        <w:t>Bodleian image reuse is generally noncommercial; the Balboa Proclus item permits unchanged noncommercial sharing but not corrections, adaptations or derivative publication.</w:t>
      </w:r>
    </w:p>
    <w:p>
      <w:pPr>
        <w:spacing w:after="60" w:line="259" w:lineRule="auto"/>
      </w:pPr>
      <w:r>
        <w:rPr>
          <w:rFonts w:ascii="Noto Sans" w:hAnsi="Noto Sans" w:eastAsia="Noto Sans"/>
          <w:b/>
          <w:color w:val="1F4E78"/>
          <w:sz w:val="20"/>
        </w:rPr>
        <w:t xml:space="preserve">Собственный перевод не означает свободную реконструкцию. </w:t>
      </w:r>
      <w:r>
        <w:rPr>
          <w:rFonts w:ascii="Noto Sans" w:hAnsi="Noto Sans" w:eastAsia="Noto Sans"/>
          <w:sz w:val="20"/>
        </w:rPr>
        <w:t>A translation from a clean Greek witness can be authored independently; a reconstruction assembled from protected modern editorial choices needs additional rights review.</w:t>
      </w:r>
    </w:p>
    <w:p>
      <w:pPr>
        <w:pStyle w:val="Heading1"/>
        <w:keepNext/>
        <w:spacing w:before="160" w:after="80"/>
      </w:pPr>
      <w:r>
        <w:rPr>
          <w:rFonts w:ascii="Noto Sans" w:hAnsi="Noto Sans" w:eastAsia="Noto Sans"/>
          <w:b/>
          <w:color w:val="17365D"/>
          <w:sz w:val="32"/>
        </w:rPr>
        <w:t>6. Пробелы и дальнейший поиск</w:t>
      </w:r>
    </w:p>
    <w:p>
      <w:pPr>
        <w:spacing w:before="0" w:after="60" w:line="269" w:lineRule="auto"/>
      </w:pPr>
      <w:r>
        <w:rPr>
          <w:rFonts w:ascii="Noto Sans" w:hAnsi="Noto Sans" w:eastAsia="Noto Sans"/>
          <w:sz w:val="20"/>
        </w:rPr>
        <w:t>Лист gaps содержит 20 объектов. Ниже — десять направлений, дающих наибольший прирост качества; остальные включают Russian access, corpus-wide image-rights audit and weak-source candidates.</w:t>
      </w:r>
    </w:p>
    <w:tbl>
      <w:tblPr>
        <w:tblStyle w:val="TableGrid"/>
        <w:tblW w:type="auto" w:w="0"/>
        <w:jc w:val="center"/>
        <w:tblLayout w:type="fixed"/>
        <w:tblLook w:firstColumn="1" w:firstRow="1" w:lastColumn="0" w:lastRow="0" w:noHBand="0" w:noVBand="1" w:val="04A0"/>
      </w:tblPr>
      <w:tblGrid>
        <w:gridCol w:w="3251"/>
        <w:gridCol w:w="3251"/>
        <w:gridCol w:w="3251"/>
      </w:tblGrid>
      <w:tr>
        <w:trPr>
          <w:cantSplit/>
          <w:tblHeader w:val="true"/>
        </w:trPr>
        <w:tc>
          <w:tcPr>
            <w:tcW w:type="dxa" w:w="454"/>
            <w:vAlign w:val="top"/>
            <w:tcMar>
              <w:top w:w="80" w:type="dxa"/>
              <w:start w:w="90" w:type="dxa"/>
              <w:bottom w:w="80" w:type="dxa"/>
              <w:end w:w="90" w:type="dxa"/>
            </w:tcMar>
            <w:shd w:fill="B58A00"/>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w:t>
            </w:r>
          </w:p>
        </w:tc>
        <w:tc>
          <w:tcPr>
            <w:tcW w:type="dxa" w:w="2721"/>
            <w:vAlign w:val="top"/>
            <w:tcMar>
              <w:top w:w="80" w:type="dxa"/>
              <w:start w:w="90" w:type="dxa"/>
              <w:bottom w:w="80" w:type="dxa"/>
              <w:end w:w="90" w:type="dxa"/>
            </w:tcMar>
            <w:shd w:fill="B58A00"/>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Направление</w:t>
            </w:r>
          </w:p>
        </w:tc>
        <w:tc>
          <w:tcPr>
            <w:tcW w:type="dxa" w:w="6406"/>
            <w:vAlign w:val="top"/>
            <w:tcMar>
              <w:top w:w="80" w:type="dxa"/>
              <w:start w:w="90" w:type="dxa"/>
              <w:bottom w:w="80" w:type="dxa"/>
              <w:end w:w="90" w:type="dxa"/>
            </w:tcMar>
            <w:shd w:fill="B58A00"/>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color w:val="FFFFFF"/>
                <w:sz w:val="17"/>
              </w:rPr>
              <w:t>Следующий шаг</w:t>
            </w:r>
          </w:p>
        </w:tc>
      </w:tr>
      <w:tr>
        <w:trPr>
          <w:cantSplit/>
        </w:trPr>
        <w:tc>
          <w:tcPr>
            <w:tcW w:type="dxa" w:w="45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1</w:t>
            </w:r>
          </w:p>
        </w:tc>
        <w:tc>
          <w:tcPr>
            <w:tcW w:type="dxa" w:w="2721"/>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Proclus: licensed Greek TEI/XML</w:t>
            </w:r>
          </w:p>
        </w:tc>
        <w:tc>
          <w:tcPr>
            <w:tcW w:type="dxa" w:w="6406"/>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Найти complete Elements of Theology and Platonic Theology machine-readable editions with file-level licence; затем Parmenides and Hymns.</w:t>
            </w:r>
          </w:p>
        </w:tc>
      </w:tr>
      <w:tr>
        <w:trPr>
          <w:cantSplit/>
        </w:trPr>
        <w:tc>
          <w:tcPr>
            <w:tcW w:type="dxa" w:w="45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2</w:t>
            </w:r>
          </w:p>
        </w:tc>
        <w:tc>
          <w:tcPr>
            <w:tcW w:type="dxa" w:w="2721"/>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Porphyry: Sententiae and Against Christians</w:t>
            </w:r>
          </w:p>
        </w:tc>
        <w:tc>
          <w:tcPr>
            <w:tcW w:type="dxa" w:w="6406"/>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Добавить modern critical item pages and fragment-by-fragment provenance across preserving sources.</w:t>
            </w:r>
          </w:p>
        </w:tc>
      </w:tr>
      <w:tr>
        <w:trPr>
          <w:cantSplit/>
        </w:trPr>
        <w:tc>
          <w:tcPr>
            <w:tcW w:type="dxa" w:w="45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3</w:t>
            </w:r>
          </w:p>
        </w:tc>
        <w:tc>
          <w:tcPr>
            <w:tcW w:type="dxa" w:w="2721"/>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Damascius witness map</w:t>
            </w:r>
          </w:p>
        </w:tc>
        <w:tc>
          <w:tcPr>
            <w:tcW w:type="dxa" w:w="6406"/>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Расширить Uppsala/Fell 5 до shelfmark-level map through Pinakes/Diktyon and holding libraries; capture IIIF rights.</w:t>
            </w:r>
          </w:p>
        </w:tc>
      </w:tr>
      <w:tr>
        <w:trPr>
          <w:cantSplit/>
        </w:trPr>
        <w:tc>
          <w:tcPr>
            <w:tcW w:type="dxa" w:w="45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4</w:t>
            </w:r>
          </w:p>
        </w:tc>
        <w:tc>
          <w:tcPr>
            <w:tcW w:type="dxa" w:w="2721"/>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Philosophical History fragments</w:t>
            </w:r>
          </w:p>
        </w:tc>
        <w:tc>
          <w:tcPr>
            <w:tcW w:type="dxa" w:w="6406"/>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Привязать каждый fragment к Photius/Suda open source layer, не копируя protected Athanassiadi reconstruction.</w:t>
            </w:r>
          </w:p>
        </w:tc>
      </w:tr>
      <w:tr>
        <w:trPr>
          <w:cantSplit/>
        </w:trPr>
        <w:tc>
          <w:tcPr>
            <w:tcW w:type="dxa" w:w="45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5</w:t>
            </w:r>
          </w:p>
        </w:tc>
        <w:tc>
          <w:tcPr>
            <w:tcW w:type="dxa" w:w="2721"/>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Simplicius / Philoponus translation completeness</w:t>
            </w:r>
          </w:p>
        </w:tc>
        <w:tc>
          <w:tcPr>
            <w:tcW w:type="dxa" w:w="6406"/>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Нормализовать ACoA volume ranges and locate missing Philoponus Against Proclus books 6–8.</w:t>
            </w:r>
          </w:p>
        </w:tc>
      </w:tr>
      <w:tr>
        <w:trPr>
          <w:cantSplit/>
        </w:trPr>
        <w:tc>
          <w:tcPr>
            <w:tcW w:type="dxa" w:w="45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6</w:t>
            </w:r>
          </w:p>
        </w:tc>
        <w:tc>
          <w:tcPr>
            <w:tcW w:type="dxa" w:w="2721"/>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Arabic Plotinus</w:t>
            </w:r>
          </w:p>
        </w:tc>
        <w:tc>
          <w:tcPr>
            <w:tcW w:type="dxa" w:w="6406"/>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Найти current critical Arabic text, Sayings of the Greek Sage materials and an openly licensed dataset.</w:t>
            </w:r>
          </w:p>
        </w:tc>
      </w:tr>
      <w:tr>
        <w:trPr>
          <w:cantSplit/>
        </w:trPr>
        <w:tc>
          <w:tcPr>
            <w:tcW w:type="dxa" w:w="45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7</w:t>
            </w:r>
          </w:p>
        </w:tc>
        <w:tc>
          <w:tcPr>
            <w:tcW w:type="dxa" w:w="2721"/>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Liber de causis and Moerbeke</w:t>
            </w:r>
          </w:p>
        </w:tc>
        <w:tc>
          <w:tcPr>
            <w:tcW w:type="dxa" w:w="6406"/>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Развести Arabic and Latin recensions; найти critical open texts and work-by-work Moerbeke transmission.</w:t>
            </w:r>
          </w:p>
        </w:tc>
      </w:tr>
      <w:tr>
        <w:trPr>
          <w:cantSplit/>
        </w:trPr>
        <w:tc>
          <w:tcPr>
            <w:tcW w:type="dxa" w:w="45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8</w:t>
            </w:r>
          </w:p>
        </w:tc>
        <w:tc>
          <w:tcPr>
            <w:tcW w:type="dxa" w:w="2721"/>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Syriac channel</w:t>
            </w:r>
          </w:p>
        </w:tc>
        <w:tc>
          <w:tcPr>
            <w:tcW w:type="dxa" w:w="6406"/>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Проверить concrete Syriac translations/commentaries by title, translator and shelfmark in Syriaca.org, e-ktobe and HMML.</w:t>
            </w:r>
          </w:p>
        </w:tc>
      </w:tr>
      <w:tr>
        <w:trPr>
          <w:cantSplit/>
        </w:trPr>
        <w:tc>
          <w:tcPr>
            <w:tcW w:type="dxa" w:w="454"/>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9</w:t>
            </w:r>
          </w:p>
        </w:tc>
        <w:tc>
          <w:tcPr>
            <w:tcW w:type="dxa" w:w="2721"/>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Russian lawful access</w:t>
            </w:r>
          </w:p>
        </w:tc>
        <w:tc>
          <w:tcPr>
            <w:tcW w:type="dxa" w:w="6406"/>
            <w:vAlign w:val="top"/>
            <w:tcMar>
              <w:top w:w="80" w:type="dxa"/>
              <w:start w:w="90" w:type="dxa"/>
              <w:bottom w:w="80" w:type="dxa"/>
              <w:end w:w="90" w:type="dxa"/>
            </w:tcMar>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Расширить НЭБ route to all seven figures through НЭБ/РГБ/РНБ and official publishers; protected editions stay borrow/purchase.</w:t>
            </w:r>
          </w:p>
        </w:tc>
      </w:tr>
      <w:tr>
        <w:trPr>
          <w:cantSplit/>
        </w:trPr>
        <w:tc>
          <w:tcPr>
            <w:tcW w:type="dxa" w:w="454"/>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b/>
                <w:sz w:val="17"/>
              </w:rPr>
              <w:t>10</w:t>
            </w:r>
          </w:p>
        </w:tc>
        <w:tc>
          <w:tcPr>
            <w:tcW w:type="dxa" w:w="2721"/>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Manuscript ingestion rights</w:t>
            </w:r>
          </w:p>
        </w:tc>
        <w:tc>
          <w:tcPr>
            <w:tcW w:type="dxa" w:w="6406"/>
            <w:vAlign w:val="top"/>
            <w:tcMar>
              <w:top w:w="80" w:type="dxa"/>
              <w:start w:w="90" w:type="dxa"/>
              <w:bottom w:w="80" w:type="dxa"/>
              <w:end w:w="90" w:type="dxa"/>
            </w:tcMar>
            <w:shd w:fill="F7F9FC"/>
            <w:tcBorders>
              <w:top w:val="single" w:sz="4" w:color="D9E2F3"/>
              <w:left w:val="single" w:sz="4" w:color="D9E2F3"/>
              <w:bottom w:val="single" w:sz="4" w:color="D9E2F3"/>
              <w:right w:val="single" w:sz="4" w:color="D9E2F3"/>
            </w:tcBorders>
          </w:tcPr>
          <w:p>
            <w:pPr>
              <w:spacing w:after="16" w:line="240" w:lineRule="auto"/>
            </w:pPr>
            <w:r>
              <w:rPr>
                <w:rFonts w:ascii="Noto Sans" w:hAnsi="Noto Sans" w:eastAsia="Noto Sans"/>
                <w:sz w:val="17"/>
              </w:rPr>
              <w:t>Собрать item-level IIIF rights for Cambridge, Oxford, Uppsala and Vatican before automated OCR/mirroring.</w:t>
            </w:r>
          </w:p>
        </w:tc>
      </w:tr>
    </w:tbl>
    <w:p>
      <w:pPr>
        <w:pStyle w:val="Heading2"/>
        <w:keepNext/>
        <w:spacing w:before="100" w:after="80"/>
      </w:pPr>
      <w:r>
        <w:rPr>
          <w:rFonts w:ascii="Noto Sans" w:hAnsi="Noto Sans" w:eastAsia="Noto Sans"/>
          <w:b/>
          <w:color w:val="1F4E78"/>
          <w:sz w:val="24"/>
        </w:rPr>
        <w:t>Непроверенные и конфликтные кандидаты</w:t>
      </w:r>
    </w:p>
    <w:p>
      <w:pPr>
        <w:spacing w:before="0" w:after="60" w:line="269" w:lineRule="auto"/>
      </w:pPr>
      <w:r>
        <w:rPr>
          <w:rFonts w:ascii="Noto Sans" w:hAnsi="Noto Sans" w:eastAsia="Noto Sans"/>
          <w:sz w:val="20"/>
        </w:rPr>
        <w:t>В gaps отдельно сохранён современный Dodds 1963 Elements of Theology scan, которому открытая платформа присвоила public-domain-like label. Поскольку edition is protected and uploader authority не доказана, этот объект не включён как lawful open route. Аналогично retail aggregators and generic summaries не были допущены без official publisher/library/corpus confirmation.</w:t>
      </w:r>
    </w:p>
    <w:p>
      <w:pPr>
        <w:spacing w:before="0" w:after="60" w:line="269" w:lineRule="auto"/>
      </w:pPr>
      <w:r>
        <w:rPr>
          <w:rFonts w:ascii="Noto Sans" w:hAnsi="Noto Sans" w:eastAsia="Noto Sans"/>
          <w:sz w:val="20"/>
        </w:rPr>
        <w:t>Не удалось завершить полный item-level поиск по Vatican manuscript facsimiles, comprehensive Plotinus witness map, modern Porphyry Sententiae, Proclus Hymns and Moerbeke translations. Эти пробелы не скрыты и не заменены общими порталами: для каждого в XLSX указаны evidence, next_action and priority.</w:t>
      </w:r>
    </w:p>
    <w:p>
      <w:pPr>
        <w:pStyle w:val="Heading1"/>
        <w:keepNext/>
        <w:spacing w:before="160" w:after="80"/>
      </w:pPr>
      <w:r>
        <w:rPr>
          <w:rFonts w:ascii="Noto Sans" w:hAnsi="Noto Sans" w:eastAsia="Noto Sans"/>
          <w:b/>
          <w:color w:val="17365D"/>
          <w:sz w:val="32"/>
        </w:rPr>
        <w:t>7. Итоговая оценка</w:t>
      </w:r>
    </w:p>
    <w:tbl>
      <w:tblPr>
        <w:tblStyle w:val="TableGrid"/>
        <w:tblW w:type="auto" w:w="0"/>
        <w:jc w:val="center"/>
        <w:tblLayout w:type="fixed"/>
        <w:tblLook w:firstColumn="1" w:firstRow="1" w:lastColumn="0" w:lastRow="0" w:noHBand="0" w:noVBand="1" w:val="04A0"/>
      </w:tblPr>
      <w:tblGrid>
        <w:gridCol w:w="4876"/>
        <w:gridCol w:w="4876"/>
      </w:tblGrid>
      <w:tr>
        <w:trPr>
          <w:cantSplit/>
          <w:tblHeader w:val="true"/>
        </w:trPr>
        <w:tc>
          <w:tcPr>
            <w:tcW w:type="dxa" w:w="2324"/>
            <w:vAlign w:val="top"/>
            <w:tcMar>
              <w:top w:w="45" w:type="dxa"/>
              <w:start w:w="80" w:type="dxa"/>
              <w:bottom w:w="45" w:type="dxa"/>
              <w:end w:w="80" w:type="dxa"/>
            </w:tcMar>
            <w:shd w:fill="17365D"/>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b/>
                <w:color w:val="FFFFFF"/>
                <w:sz w:val="16"/>
              </w:rPr>
              <w:t>Измерение</w:t>
            </w:r>
          </w:p>
        </w:tc>
        <w:tc>
          <w:tcPr>
            <w:tcW w:type="dxa" w:w="7143"/>
            <w:vAlign w:val="top"/>
            <w:tcMar>
              <w:top w:w="45" w:type="dxa"/>
              <w:start w:w="80" w:type="dxa"/>
              <w:bottom w:w="45" w:type="dxa"/>
              <w:end w:w="80" w:type="dxa"/>
            </w:tcMar>
            <w:shd w:fill="17365D"/>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b/>
                <w:color w:val="FFFFFF"/>
                <w:sz w:val="16"/>
              </w:rPr>
              <w:t>Оценка</w:t>
            </w:r>
          </w:p>
        </w:tc>
      </w:tr>
      <w:tr>
        <w:trPr>
          <w:cantSplit/>
        </w:trPr>
        <w:tc>
          <w:tcPr>
            <w:tcW w:type="dxa" w:w="2324"/>
            <w:vAlign w:val="top"/>
            <w:tcMar>
              <w:top w:w="45" w:type="dxa"/>
              <w:start w:w="80" w:type="dxa"/>
              <w:bottom w:w="45" w:type="dxa"/>
              <w:end w:w="80" w:type="dxa"/>
            </w:tcMar>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b/>
                <w:sz w:val="16"/>
              </w:rPr>
              <w:t>Покрытие корпуса</w:t>
            </w:r>
          </w:p>
        </w:tc>
        <w:tc>
          <w:tcPr>
            <w:tcW w:type="dxa" w:w="7143"/>
            <w:vAlign w:val="top"/>
            <w:tcMar>
              <w:top w:w="45" w:type="dxa"/>
              <w:start w:w="80" w:type="dxa"/>
              <w:bottom w:w="45" w:type="dxa"/>
              <w:end w:w="80" w:type="dxa"/>
            </w:tcMar>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sz w:val="16"/>
              </w:rPr>
              <w:t>Высокое для центральных семи фигур и комментарийной экосистемы; расширено прямыми школьными авторами, предшественниками и downstream-текстами.</w:t>
            </w:r>
          </w:p>
        </w:tc>
      </w:tr>
      <w:tr>
        <w:trPr>
          <w:cantSplit/>
        </w:trPr>
        <w:tc>
          <w:tcPr>
            <w:tcW w:type="dxa" w:w="2324"/>
            <w:vAlign w:val="top"/>
            <w:tcMar>
              <w:top w:w="45" w:type="dxa"/>
              <w:start w:w="80" w:type="dxa"/>
              <w:bottom w:w="45" w:type="dxa"/>
              <w:end w:w="80" w:type="dxa"/>
            </w:tcMar>
            <w:shd w:fill="F7F9FC"/>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b/>
                <w:sz w:val="16"/>
              </w:rPr>
              <w:t>Оригиналы</w:t>
            </w:r>
          </w:p>
        </w:tc>
        <w:tc>
          <w:tcPr>
            <w:tcW w:type="dxa" w:w="7143"/>
            <w:vAlign w:val="top"/>
            <w:tcMar>
              <w:top w:w="45" w:type="dxa"/>
              <w:start w:w="80" w:type="dxa"/>
              <w:bottom w:w="45" w:type="dxa"/>
              <w:end w:w="80" w:type="dxa"/>
            </w:tcMar>
            <w:shd w:fill="F7F9FC"/>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sz w:val="16"/>
              </w:rPr>
              <w:t>Очень сильны там, где First1KGreek имеет Greek TEI/XML: Plotinus, Porphyry, Iamblichus, Republic commentary, Simplicius, Philoponus and Alexandrian commentators. Слабее — complete Proclean summa texts, hymn corpus and fragmentary Damascius.</w:t>
            </w:r>
          </w:p>
        </w:tc>
      </w:tr>
      <w:tr>
        <w:trPr>
          <w:cantSplit/>
        </w:trPr>
        <w:tc>
          <w:tcPr>
            <w:tcW w:type="dxa" w:w="2324"/>
            <w:vAlign w:val="top"/>
            <w:tcMar>
              <w:top w:w="45" w:type="dxa"/>
              <w:start w:w="80" w:type="dxa"/>
              <w:bottom w:w="45" w:type="dxa"/>
              <w:end w:w="80" w:type="dxa"/>
            </w:tcMar>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b/>
                <w:sz w:val="16"/>
              </w:rPr>
              <w:t>Переводы</w:t>
            </w:r>
          </w:p>
        </w:tc>
        <w:tc>
          <w:tcPr>
            <w:tcW w:type="dxa" w:w="7143"/>
            <w:vAlign w:val="top"/>
            <w:tcMar>
              <w:top w:w="45" w:type="dxa"/>
              <w:start w:w="80" w:type="dxa"/>
              <w:bottom w:w="45" w:type="dxa"/>
              <w:end w:w="80" w:type="dxa"/>
            </w:tcMar>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sz w:val="16"/>
              </w:rPr>
              <w:t>Historical English translations широко доступны; modern scholarly English is mostly protected. Russian coverage remains sparse and library/purchase-oriented.</w:t>
            </w:r>
          </w:p>
        </w:tc>
      </w:tr>
      <w:tr>
        <w:trPr>
          <w:cantSplit/>
        </w:trPr>
        <w:tc>
          <w:tcPr>
            <w:tcW w:type="dxa" w:w="2324"/>
            <w:vAlign w:val="top"/>
            <w:tcMar>
              <w:top w:w="45" w:type="dxa"/>
              <w:start w:w="80" w:type="dxa"/>
              <w:bottom w:w="45" w:type="dxa"/>
              <w:end w:w="80" w:type="dxa"/>
            </w:tcMar>
            <w:shd w:fill="F7F9FC"/>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b/>
                <w:sz w:val="16"/>
              </w:rPr>
              <w:t>Наиболее свободный слой</w:t>
            </w:r>
          </w:p>
        </w:tc>
        <w:tc>
          <w:tcPr>
            <w:tcW w:type="dxa" w:w="7143"/>
            <w:vAlign w:val="top"/>
            <w:tcMar>
              <w:top w:w="45" w:type="dxa"/>
              <w:start w:w="80" w:type="dxa"/>
              <w:bottom w:w="45" w:type="dxa"/>
              <w:end w:w="80" w:type="dxa"/>
            </w:tcMar>
            <w:shd w:fill="F7F9FC"/>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sz w:val="16"/>
              </w:rPr>
              <w:t>First1KGreek CC BY-SA 4.0, Uppsala Gr. 64 PDM, public-domain-era Greek/Latin/Arabic scans and Project Gutenberg historical texts, each with its own jurisdiction/scope caveats.</w:t>
            </w:r>
          </w:p>
        </w:tc>
      </w:tr>
      <w:tr>
        <w:trPr>
          <w:cantSplit/>
        </w:trPr>
        <w:tc>
          <w:tcPr>
            <w:tcW w:type="dxa" w:w="2324"/>
            <w:vAlign w:val="top"/>
            <w:tcMar>
              <w:top w:w="45" w:type="dxa"/>
              <w:start w:w="80" w:type="dxa"/>
              <w:bottom w:w="45" w:type="dxa"/>
              <w:end w:w="80" w:type="dxa"/>
            </w:tcMar>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b/>
                <w:sz w:val="16"/>
              </w:rPr>
              <w:t>Главные ограничения</w:t>
            </w:r>
          </w:p>
        </w:tc>
        <w:tc>
          <w:tcPr>
            <w:tcW w:type="dxa" w:w="7143"/>
            <w:vAlign w:val="top"/>
            <w:tcMar>
              <w:top w:w="45" w:type="dxa"/>
              <w:start w:w="80" w:type="dxa"/>
              <w:bottom w:w="45" w:type="dxa"/>
              <w:end w:w="80" w:type="dxa"/>
            </w:tcMar>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sz w:val="16"/>
              </w:rPr>
              <w:t>Modern critical texts/translations; fragment reconstructions; manuscript-image terms; U.S.-only public-domain determinations; mixed platform rights.</w:t>
            </w:r>
          </w:p>
        </w:tc>
      </w:tr>
      <w:tr>
        <w:trPr>
          <w:cantSplit/>
        </w:trPr>
        <w:tc>
          <w:tcPr>
            <w:tcW w:type="dxa" w:w="2324"/>
            <w:vAlign w:val="top"/>
            <w:tcMar>
              <w:top w:w="45" w:type="dxa"/>
              <w:start w:w="80" w:type="dxa"/>
              <w:bottom w:w="45" w:type="dxa"/>
              <w:end w:w="80" w:type="dxa"/>
            </w:tcMar>
            <w:shd w:fill="F7F9FC"/>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b/>
                <w:sz w:val="16"/>
              </w:rPr>
              <w:t>Готовность для Codex</w:t>
            </w:r>
          </w:p>
        </w:tc>
        <w:tc>
          <w:tcPr>
            <w:tcW w:type="dxa" w:w="7143"/>
            <w:vAlign w:val="top"/>
            <w:tcMar>
              <w:top w:w="45" w:type="dxa"/>
              <w:start w:w="80" w:type="dxa"/>
              <w:bottom w:w="45" w:type="dxa"/>
              <w:end w:w="80" w:type="dxa"/>
            </w:tcMar>
            <w:shd w:fill="F7F9FC"/>
            <w:tcBorders>
              <w:top w:val="single" w:sz="4" w:color="D9E2F3"/>
              <w:left w:val="single" w:sz="4" w:color="D9E2F3"/>
              <w:bottom w:val="single" w:sz="4" w:color="D9E2F3"/>
              <w:right w:val="single" w:sz="4" w:color="D9E2F3"/>
            </w:tcBorders>
          </w:tcPr>
          <w:p>
            <w:pPr>
              <w:spacing w:after="4" w:line="228" w:lineRule="auto"/>
            </w:pPr>
            <w:r>
              <w:rPr>
                <w:rFonts w:ascii="Noto Sans" w:hAnsi="Noto Sans" w:eastAsia="Noto Sans"/>
                <w:sz w:val="16"/>
              </w:rPr>
              <w:t>Да. XLSX содержит 32 обязательных поля, stable IDs, component-level rights, ToS tags, coverage limits и 20 gaps. Codex может выполнять cross-row deduplication и normalization без изменения A34 и его статуса.</w:t>
            </w:r>
          </w:p>
        </w:tc>
      </w:tr>
    </w:tbl>
    <w:sectPr w:rsidR="00FC693F" w:rsidRPr="0006063C" w:rsidSect="00034616">
      <w:headerReference w:type="default" r:id="rId9"/>
      <w:footerReference w:type="default" r:id="rId10"/>
      <w:pgSz w:w="11906" w:h="16838"/>
      <w:pgMar w:top="964" w:right="1077" w:bottom="907" w:left="107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84" w:val="right"/>
      </w:tabs>
      <w:jc w:val="right"/>
    </w:pPr>
    <w:r>
      <w:rPr>
        <w:rFonts w:ascii="Noto Sans" w:hAnsi="Noto Sans" w:eastAsia="Noto Sans"/>
        <w:color w:val="7F7F7F"/>
        <w:sz w:val="15"/>
      </w:rPr>
      <w:t>Исследовательская карта, не юридическое заключение</w:t>
    </w:r>
    <w:r>
      <w:tab/>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b/>
        <w:color w:val="6D7B8D"/>
        <w:sz w:val="16"/>
      </w:rPr>
      <w:t>ToS / A34 / Corpus &amp; Rights Registry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Noto Sans" w:hAnsi="Noto Sans" w:eastAsia="Noto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Noto Sans" w:hAnsi="Noto Sans" w:eastAsia="Noto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Noto Sans" w:hAnsi="Noto Sans" w:eastAsia="Noto San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Noto Sans" w:hAnsi="Noto Sans" w:eastAsia="Noto San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00"/>
      <w:contextualSpacing/>
    </w:pPr>
    <w:rPr>
      <w:rFonts w:asciiTheme="majorHAnsi" w:eastAsiaTheme="majorEastAsia" w:hAnsiTheme="majorHAnsi" w:cstheme="majorBidi" w:ascii="Noto Sans" w:hAnsi="Noto Sans" w:eastAsia="Noto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00" w:after="80"/>
    </w:pPr>
    <w:rPr>
      <w:rFonts w:asciiTheme="majorHAnsi" w:eastAsiaTheme="majorEastAsia" w:hAnsiTheme="majorHAnsi" w:cstheme="majorBidi" w:ascii="Noto Sans" w:hAnsi="Noto Sans" w:eastAsia="Noto Sans"/>
      <w:b w:val="0"/>
      <w:i/>
      <w:iCs/>
      <w:color w:val="1F4E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eastAsia="Noto Sans"/>
      <w:sz w:val="19"/>
    </w:rPr>
  </w:style>
  <w:style w:type="paragraph" w:styleId="ListBullet2">
    <w:name w:val="List Bullet 2"/>
    <w:basedOn w:val="Normal"/>
    <w:uiPriority w:val="99"/>
    <w:unhideWhenUsed/>
    <w:rsid w:val="00326F90"/>
    <w:pPr>
      <w:numPr>
        <w:numId w:val="2"/>
      </w:numPr>
      <w:contextualSpacing/>
    </w:pPr>
    <w:rPr>
      <w:rFonts w:ascii="Noto Sans" w:hAnsi="Noto Sans" w:eastAsia="Noto San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eastAsia="Noto Sans"/>
      <w:sz w:val="19"/>
    </w:rPr>
  </w:style>
  <w:style w:type="paragraph" w:styleId="ListNumber2">
    <w:name w:val="List Number 2"/>
    <w:basedOn w:val="Normal"/>
    <w:uiPriority w:val="99"/>
    <w:unhideWhenUsed/>
    <w:rsid w:val="0029639D"/>
    <w:pPr>
      <w:numPr>
        <w:numId w:val="6"/>
      </w:numPr>
      <w:contextualSpacing/>
    </w:pPr>
    <w:rPr>
      <w:rFonts w:ascii="Noto Sans" w:hAnsi="Noto Sans" w:eastAsia="Noto Sans"/>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aife.perseus.org/reader/urn:cts:greekLit:tlg2000.tlg001.1st1K-grc1:1.6.6" TargetMode="External"/><Relationship Id="rId12" Type="http://schemas.openxmlformats.org/officeDocument/2006/relationships/hyperlink" Target="https://www.gutenberg.org/ebooks/42930" TargetMode="External"/><Relationship Id="rId13" Type="http://schemas.openxmlformats.org/officeDocument/2006/relationships/hyperlink" Target="https://archive.org/details/volkmann-enneades-gr-v.-1-1883" TargetMode="External"/><Relationship Id="rId14" Type="http://schemas.openxmlformats.org/officeDocument/2006/relationships/hyperlink" Target="https://www.cambridge.org/core/books/plotinus-the-enneads/6905CE5920117C0B11D141C4D80F6517" TargetMode="External"/><Relationship Id="rId15" Type="http://schemas.openxmlformats.org/officeDocument/2006/relationships/hyperlink" Target="https://www.hup.harvard.edu/books/9780674994843" TargetMode="External"/><Relationship Id="rId16" Type="http://schemas.openxmlformats.org/officeDocument/2006/relationships/hyperlink" Target="https://rusneb.ru/catalog/000201_000010_BJVVV1210781/" TargetMode="External"/><Relationship Id="rId17" Type="http://schemas.openxmlformats.org/officeDocument/2006/relationships/hyperlink" Target="https://cudl.lib.cam.ac.uk/view/MS-TRINITY-B-00009-00009/3" TargetMode="External"/><Relationship Id="rId18" Type="http://schemas.openxmlformats.org/officeDocument/2006/relationships/hyperlink" Target="https://github.com/OpenGreekAndLatin/First1KGreek" TargetMode="External"/><Relationship Id="rId19" Type="http://schemas.openxmlformats.org/officeDocument/2006/relationships/hyperlink" Target="https://archive.org/details/porphyriouaphorm00porp" TargetMode="External"/><Relationship Id="rId20" Type="http://schemas.openxmlformats.org/officeDocument/2006/relationships/hyperlink" Target="https://archive.org/details/porphyriiphilos00naucgoog" TargetMode="External"/><Relationship Id="rId21" Type="http://schemas.openxmlformats.org/officeDocument/2006/relationships/hyperlink" Target="https://global.oup.com/academic/product/porphyrys-introduction-9780199246144" TargetMode="External"/><Relationship Id="rId22" Type="http://schemas.openxmlformats.org/officeDocument/2006/relationships/hyperlink" Target="https://www.gutenberg.org/ebooks/37696" TargetMode="External"/><Relationship Id="rId23" Type="http://schemas.openxmlformats.org/officeDocument/2006/relationships/hyperlink" Target="https://archive.org/details/aniciimanliiseue48boet" TargetMode="External"/><Relationship Id="rId24" Type="http://schemas.openxmlformats.org/officeDocument/2006/relationships/hyperlink" Target="https://archive.org/details/jamblichidemyst00jambgoog" TargetMode="External"/><Relationship Id="rId25" Type="http://schemas.openxmlformats.org/officeDocument/2006/relationships/hyperlink" Target="https://www.gutenberg.org/ebooks/72815" TargetMode="External"/><Relationship Id="rId26" Type="http://schemas.openxmlformats.org/officeDocument/2006/relationships/hyperlink" Target="https://www.gutenberg.org/ebooks/63300" TargetMode="External"/><Relationship Id="rId27" Type="http://schemas.openxmlformats.org/officeDocument/2006/relationships/hyperlink" Target="https://cart.sbl-site.org/books/061604P" TargetMode="External"/><Relationship Id="rId28" Type="http://schemas.openxmlformats.org/officeDocument/2006/relationships/hyperlink" Target="https://scaife.perseus.org/library/urn:cts:greekLit:tlg4036.tlg001.1st1K-grc1/" TargetMode="External"/><Relationship Id="rId29" Type="http://schemas.openxmlformats.org/officeDocument/2006/relationships/hyperlink" Target="https://global.oup.com/academic/product/the-elements-of-theology-9780198140979" TargetMode="External"/><Relationship Id="rId30" Type="http://schemas.openxmlformats.org/officeDocument/2006/relationships/hyperlink" Target="https://archive.org/details/diehl-procli-diadochi-in-platonis-timaevm-commentaria-gr-lat-t.-1-1903" TargetMode="External"/><Relationship Id="rId31" Type="http://schemas.openxmlformats.org/officeDocument/2006/relationships/hyperlink" Target="https://archive.org/details/pasquali-in-platonis-cratylum-commentaria-gr-lat-1908" TargetMode="External"/><Relationship Id="rId32" Type="http://schemas.openxmlformats.org/officeDocument/2006/relationships/hyperlink" Target="https://archive.org/details/friedlein-procli-diadochi-in-primum-euclidis-elementorum-librum-commentarii-gr-1873" TargetMode="External"/><Relationship Id="rId33" Type="http://schemas.openxmlformats.org/officeDocument/2006/relationships/hyperlink" Target="https://digital.bodleian.ox.ac.uk/objects/6f1cf17f-2a44-47a7-9909-0ddb58a180d3/" TargetMode="External"/><Relationship Id="rId34" Type="http://schemas.openxmlformats.org/officeDocument/2006/relationships/hyperlink" Target="https://www.cambridge.org/core/series/proclus-commentary-on-platos-timaeus/B013F9C4226049F9F293F81C8C04C020" TargetMode="External"/><Relationship Id="rId35" Type="http://schemas.openxmlformats.org/officeDocument/2006/relationships/hyperlink" Target="https://archive.org/details/proclus-elements-balboa" TargetMode="External"/><Relationship Id="rId36" Type="http://schemas.openxmlformats.org/officeDocument/2006/relationships/hyperlink" Target="https://archive.org/details/bub_gb_vSktvALnbHIC" TargetMode="External"/><Relationship Id="rId37" Type="http://schemas.openxmlformats.org/officeDocument/2006/relationships/hyperlink" Target="https://books.google.com/books/about/Damascii_Successoris_Dubitationes_et_sol.html?id=ZZCr56smVFUC" TargetMode="External"/><Relationship Id="rId38" Type="http://schemas.openxmlformats.org/officeDocument/2006/relationships/hyperlink" Target="https://www.manuscripta.se/ms/100068" TargetMode="External"/><Relationship Id="rId39" Type="http://schemas.openxmlformats.org/officeDocument/2006/relationships/hyperlink" Target="https://global.oup.com/academic/product/damascius-problems-and-solutions-concerning-first-principles-9780195150292" TargetMode="External"/><Relationship Id="rId40" Type="http://schemas.openxmlformats.org/officeDocument/2006/relationships/hyperlink" Target="https://search.worldcat.org/title/Damascius-the-philosophical-history-%3A-text-with-translation-and-notes/oclc/1033924460" TargetMode="External"/><Relationship Id="rId41" Type="http://schemas.openxmlformats.org/officeDocument/2006/relationships/hyperlink" Target="https://archive.org/details/bub_gb_WbpZsplNjoIC" TargetMode="External"/><Relationship Id="rId42" Type="http://schemas.openxmlformats.org/officeDocument/2006/relationships/hyperlink" Target="https://www.bloomsbury.com/us/simplicius-on-aristotle-physics-18-9781350286634/" TargetMode="External"/><Relationship Id="rId43" Type="http://schemas.openxmlformats.org/officeDocument/2006/relationships/hyperlink" Target="https://archive.org/details/ioannesphiloponu00philuoft" TargetMode="External"/><Relationship Id="rId44" Type="http://schemas.openxmlformats.org/officeDocument/2006/relationships/hyperlink" Target="https://www.bloomsbury.com/uk/philoponus-against-proclus-on-the-eternity-of-the-world-15-9781472501219/" TargetMode="External"/><Relationship Id="rId45" Type="http://schemas.openxmlformats.org/officeDocument/2006/relationships/hyperlink" Target="https://archive.org/details/diesogenanntethe00kitb" TargetMode="External"/><Relationship Id="rId46" Type="http://schemas.openxmlformats.org/officeDocument/2006/relationships/hyperlink" Target="https://archive.org/details/diepseudoaristo00bardgoog" TargetMode="External"/><Relationship Id="rId47" Type="http://schemas.openxmlformats.org/officeDocument/2006/relationships/hyperlink" Target="https://archive.org/details/worksofdionysius00pseu" TargetMode="External"/><Relationship Id="rId48" Type="http://schemas.openxmlformats.org/officeDocument/2006/relationships/hyperlink" Target="https://www.corpusthomisticum.org/cdc00.html" TargetMode="External"/><Relationship Id="rId49" Type="http://schemas.openxmlformats.org/officeDocument/2006/relationships/hyperlink" Target="https://archive.org/details/ficino-operum-philosophicorum-omnium-gr-lat-1580" TargetMode="External"/><Relationship Id="rId50" Type="http://schemas.openxmlformats.org/officeDocument/2006/relationships/hyperlink" Target="https://github.com/OpenGreekAndLatin/First1KGreek/blob/master/license.md" TargetMode="External"/><Relationship Id="rId51" Type="http://schemas.openxmlformats.org/officeDocument/2006/relationships/hyperlink" Target="https://www.gutenberg.org/policy/permission.html" TargetMode="External"/><Relationship Id="rId52" Type="http://schemas.openxmlformats.org/officeDocument/2006/relationships/hyperlink" Target="https://www.hathitrust.org/the-collection/search-access/access-use-policy/" TargetMode="External"/><Relationship Id="rId53" Type="http://schemas.openxmlformats.org/officeDocument/2006/relationships/hyperlink" Target="https://digital.bodleian.ox.ac.uk/terms/" TargetMode="External"/><Relationship Id="rId54" Type="http://schemas.openxmlformats.org/officeDocument/2006/relationships/hyperlink" Target="https://archive.org/about/terms.php" TargetMode="External"/><Relationship Id="rId55" Type="http://schemas.openxmlformats.org/officeDocument/2006/relationships/hyperlink" Target="https://www.manuscripta.se/iiif/100068/manifes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A34</dc:title>
  <dc:subject>Legal and practical access map for Neoplatonism, 3rd–6th centuries</dc:subject>
  <dc:creator>ToS / Древо Софии</dc:creator>
  <cp:keywords>ToS, A34, Neoplatonism, corpus, rights, access, Plotinus, Proclus</cp:keywords>
  <dc:description>Research map, not legal advice.</dc:description>
  <cp:lastModifiedBy/>
  <cp:revision>1</cp:revision>
  <dcterms:created xsi:type="dcterms:W3CDTF">2013-12-23T23:15:00Z</dcterms:created>
  <dcterms:modified xsi:type="dcterms:W3CDTF">2013-12-23T23:15:00Z</dcterms:modified>
  <cp:category/>
</cp:coreProperties>
</file>