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w:t>
      </w:r>
    </w:p>
    <w:p>
      <w:pPr>
        <w:pStyle w:val="Subtitle"/>
      </w:pPr>
      <w:r>
        <w:t>T2-02 — Византийская философия и комментарийная культура ранне-средней фазы</w:t>
      </w:r>
    </w:p>
    <w:p>
      <w:pPr>
        <w:pStyle w:val="Heading1"/>
      </w:pPr>
      <w:r>
        <w:t>1. Паспорт</w:t>
      </w:r>
    </w:p>
    <w:tbl>
      <w:tblPr>
        <w:tblW w:type="auto" w:w="0"/>
        <w:tblLayout w:type="fixed"/>
        <w:tblLook w:firstColumn="1" w:firstRow="1" w:lastColumn="0" w:lastRow="0" w:noHBand="0" w:noVBand="1" w:val="04A0"/>
      </w:tblPr>
      <w:tblGrid>
        <w:gridCol w:w="2098"/>
        <w:gridCol w:w="7654"/>
      </w:tblGrid>
      <w:tr>
        <w:trPr>
          <w:cantSplit/>
          <w:tblHeader/>
        </w:trPr>
        <w:tc>
          <w:tcPr>
            <w:tcW w:type="dxa" w:w="2098"/>
            <w:vAlign w:val="top"/>
            <w:shd w:fill="17384C"/>
          </w:tcPr>
          <w:p>
            <w:pPr>
              <w:spacing w:before="60" w:after="80" w:line="250" w:lineRule="auto"/>
            </w:pPr>
            <w:r>
              <w:rPr>
                <w:b/>
                <w:color w:val="FFFFFF"/>
                <w:sz w:val="18"/>
              </w:rPr>
              <w:t>Параметр</w:t>
            </w:r>
          </w:p>
        </w:tc>
        <w:tc>
          <w:tcPr>
            <w:tcW w:type="dxa" w:w="7654"/>
            <w:vAlign w:val="top"/>
            <w:shd w:fill="17384C"/>
          </w:tcPr>
          <w:p>
            <w:pPr>
              <w:spacing w:before="60" w:after="80" w:line="250" w:lineRule="auto"/>
            </w:pPr>
            <w:r>
              <w:rPr>
                <w:b/>
                <w:color w:val="FFFFFF"/>
                <w:sz w:val="18"/>
              </w:rPr>
              <w:t>Сохранённое значение</w:t>
            </w:r>
          </w:p>
        </w:tc>
      </w:tr>
      <w:tr>
        <w:trPr>
          <w:cantSplit/>
        </w:trPr>
        <w:tc>
          <w:tcPr>
            <w:tcW w:type="dxa" w:w="2098"/>
            <w:vAlign w:val="top"/>
            <w:shd w:fill="F0F5F6"/>
          </w:tcPr>
          <w:p>
            <w:pPr>
              <w:spacing w:before="60" w:after="80" w:line="250" w:lineRule="auto"/>
            </w:pPr>
            <w:r>
              <w:rPr>
                <w:sz w:val="18"/>
              </w:rPr>
              <w:t>Строка и статус</w:t>
            </w:r>
          </w:p>
        </w:tc>
        <w:tc>
          <w:tcPr>
            <w:tcW w:type="dxa" w:w="7654"/>
            <w:vAlign w:val="top"/>
            <w:shd w:fill="F0F5F6"/>
          </w:tcPr>
          <w:p>
            <w:pPr>
              <w:spacing w:before="60" w:after="80" w:line="250" w:lineRule="auto"/>
            </w:pPr>
            <w:r>
              <w:rPr>
                <w:sz w:val="18"/>
              </w:rPr>
              <w:t>T2-02 · A · исходная уверенность 5/5. ID, статус и мастер-строка не изменены.</w:t>
            </w:r>
          </w:p>
        </w:tc>
      </w:tr>
      <w:tr>
        <w:trPr>
          <w:cantSplit/>
        </w:trPr>
        <w:tc>
          <w:tcPr>
            <w:tcW w:type="dxa" w:w="2098"/>
            <w:vAlign w:val="top"/>
            <w:shd w:fill="FFFFFF"/>
          </w:tcPr>
          <w:p>
            <w:pPr>
              <w:spacing w:before="60" w:after="80" w:line="250" w:lineRule="auto"/>
            </w:pPr>
            <w:r>
              <w:rPr>
                <w:sz w:val="18"/>
              </w:rPr>
              <w:t>Исторические интервалы</w:t>
            </w:r>
          </w:p>
        </w:tc>
        <w:tc>
          <w:tcPr>
            <w:tcW w:type="dxa" w:w="7654"/>
            <w:vAlign w:val="top"/>
            <w:shd w:fill="FFFFFF"/>
          </w:tcPr>
          <w:p>
            <w:pPr>
              <w:spacing w:before="60" w:after="80" w:line="250" w:lineRule="auto"/>
            </w:pPr>
            <w:r>
              <w:rPr>
                <w:sz w:val="18"/>
              </w:rPr>
              <w:t>Формирование: VII–IX вв. Фиксация/передача: VIII–XI вв. Канонизация/комментарий: IX–XII вв.</w:t>
            </w:r>
          </w:p>
        </w:tc>
      </w:tr>
      <w:tr>
        <w:trPr>
          <w:cantSplit/>
        </w:trPr>
        <w:tc>
          <w:tcPr>
            <w:tcW w:type="dxa" w:w="2098"/>
            <w:vAlign w:val="top"/>
            <w:shd w:fill="F0F5F6"/>
          </w:tcPr>
          <w:p>
            <w:pPr>
              <w:spacing w:before="60" w:after="80" w:line="250" w:lineRule="auto"/>
            </w:pPr>
            <w:r>
              <w:rPr>
                <w:sz w:val="18"/>
              </w:rPr>
              <w:t>Исходный документ</w:t>
            </w:r>
          </w:p>
        </w:tc>
        <w:tc>
          <w:tcPr>
            <w:tcW w:type="dxa" w:w="7654"/>
            <w:vAlign w:val="top"/>
            <w:shd w:fill="F0F5F6"/>
          </w:tcPr>
          <w:p>
            <w:pPr>
              <w:spacing w:before="60" w:after="80" w:line="250" w:lineRule="auto"/>
            </w:pPr>
            <w:r>
              <w:rPr>
                <w:sz w:val="18"/>
              </w:rPr>
              <w:t>ToS Deep Research_ T2-02 — Византийская философия и комментарийная культура ранне-средней фазы(1).docx</w:t>
            </w:r>
          </w:p>
        </w:tc>
      </w:tr>
      <w:tr>
        <w:trPr>
          <w:cantSplit/>
        </w:trPr>
        <w:tc>
          <w:tcPr>
            <w:tcW w:type="dxa" w:w="2098"/>
            <w:vAlign w:val="top"/>
            <w:shd w:fill="FFFFFF"/>
          </w:tcPr>
          <w:p>
            <w:pPr>
              <w:spacing w:before="60" w:after="80" w:line="250" w:lineRule="auto"/>
            </w:pPr>
            <w:r>
              <w:rPr>
                <w:sz w:val="18"/>
              </w:rPr>
              <w:t>Каноническая опора</w:t>
            </w:r>
          </w:p>
        </w:tc>
        <w:tc>
          <w:tcPr>
            <w:tcW w:type="dxa" w:w="7654"/>
            <w:vAlign w:val="top"/>
            <w:shd w:fill="FFFFFF"/>
          </w:tcPr>
          <w:p>
            <w:pPr>
              <w:spacing w:before="60" w:after="80" w:line="250" w:lineRule="auto"/>
            </w:pPr>
            <w:r>
              <w:rPr>
                <w:sz w:val="18"/>
              </w:rPr>
              <w:t>«Таблица II для ToS.docx». Исторические границы служат фокусом, а не пределом корпусного поиска.</w:t>
            </w:r>
          </w:p>
        </w:tc>
      </w:tr>
      <w:tr>
        <w:trPr>
          <w:cantSplit/>
        </w:trPr>
        <w:tc>
          <w:tcPr>
            <w:tcW w:type="dxa" w:w="2098"/>
            <w:vAlign w:val="top"/>
            <w:shd w:fill="F0F5F6"/>
          </w:tcPr>
          <w:p>
            <w:pPr>
              <w:spacing w:before="60" w:after="80" w:line="250" w:lineRule="auto"/>
            </w:pPr>
            <w:r>
              <w:rPr>
                <w:sz w:val="18"/>
              </w:rPr>
              <w:t>Проверка доступа</w:t>
            </w:r>
          </w:p>
        </w:tc>
        <w:tc>
          <w:tcPr>
            <w:tcW w:type="dxa" w:w="7654"/>
            <w:vAlign w:val="top"/>
            <w:shd w:fill="F0F5F6"/>
          </w:tcPr>
          <w:p>
            <w:pPr>
              <w:spacing w:before="60" w:after="80" w:line="250" w:lineRule="auto"/>
            </w:pPr>
            <w:r>
              <w:rPr>
                <w:sz w:val="18"/>
              </w:rPr>
              <w:t>4 сентября 2026 года. Без регистрации, покупок, библиотечного входа, обращений к правообладателям и публикаций.</w:t>
            </w:r>
          </w:p>
        </w:tc>
      </w:tr>
    </w:tbl>
    <w:p>
      <w:pPr>
        <w:spacing w:after="0"/>
      </w:pPr>
    </w:p>
    <w:p>
      <w:pPr>
        <w:pStyle w:val="Heading2"/>
      </w:pPr>
      <w:r>
        <w:t>Результат</w:t>
      </w:r>
    </w:p>
    <w:p>
      <w:r>
        <w:t>58 практически отличимых способов доступа; около 35 произведений или укрупнённых корпусных единиц; 5 записей о конкретных физических свидетелях; 23 записи на листе gaps. 24 пути включают бесплатное чтение или предлагаемое скачивание; 23 — покупку или институциональный доступ. Группы пересекаются. Эти числа не означают 58 разных произведений либо 24 полностью проверенных скачанных файла.</w:t>
      </w:r>
    </w:p>
    <w:p>
      <w:pPr>
        <w:pStyle w:val="Heading2"/>
      </w:pPr>
      <w:r>
        <w:t>Ядро и метод</w:t>
      </w:r>
    </w:p>
    <w:p>
      <w:r>
        <w:t>Из DR извлечены Ambigua, Quaestiones ad Thalassium, Mystagogia и сотницы Максима; Dialectica, Expositio fidei и редакционный комплекс «Источник знания» Иоанна; Amphilochia, Bibliotheca и Lexicon Фотия; логический учебный канон, схолии и рукописи Арефы. Искались произведения, редакции, переводы, кодексы, факсимиле, TEI, каталоги и законные сервисы доступа.</w:t>
      </w:r>
    </w:p>
    <w:p>
      <w:r>
        <w:t>Поиск выполнялся на русском, английском, французском, немецком, с греческими и латинскими названиями, а также по испанским и арабским запросам. Сирийский присутствует как язык обнаруженного текста. Данные DR, результаты веб-проверки и исследовательские выводы о релевантности различаются в реестре.</w:t>
      </w:r>
    </w:p>
    <w:p>
      <w:r>
        <w:t>Для доступа использованы издатели, библиотеки, научные проекты и проверяемые цифровые коллекции; для идентификации — карточки изданий и свидетелей; для прав — item-level заявления, лицензии TEI и условия учреждений. Неподтверждённый арабский издательский кандидат оставлен в G014, а не объявлен установленным изданием.</w:t>
      </w:r>
    </w:p>
    <w:p>
      <w:r>
        <w:t>Ссылки [R001]–[R058] ведут к источникам записей T2-02-R001–T2-02-R058 в XLSX. Таблица хранит все 32 поля, раздельные правовые слои, границы покрытия и результаты проверки; отчёт объясняет выбор и ограничения, не заменяя реестр.</w:t>
      </w:r>
    </w:p>
    <w:p>
      <w:r>
        <w:br w:type="page"/>
      </w:r>
    </w:p>
    <w:p>
      <w:pPr>
        <w:pStyle w:val="Heading1"/>
      </w:pPr>
      <w:r>
        <w:t>2. Охват корпуса</w:t>
      </w:r>
    </w:p>
    <w:p>
      <w:r>
        <w:t>Исходный DR задаёт четыре связанных поля: метафизико-экзегетическое, логико-догматическое, школьно-комментарийное и рукописно-филологическое. Веб-поиск расширил каждое из них предметными изданиями и свидетелями, не превращая T2-02 в общую историю Византии.</w:t>
      </w:r>
    </w:p>
    <w:tbl>
      <w:tblPr>
        <w:tblW w:type="auto" w:w="0"/>
        <w:tblLayout w:type="fixed"/>
        <w:tblLook w:firstColumn="1" w:firstRow="1" w:lastColumn="0" w:lastRow="0" w:noHBand="0" w:noVBand="1" w:val="04A0"/>
      </w:tblPr>
      <w:tblGrid>
        <w:gridCol w:w="1928"/>
        <w:gridCol w:w="7824"/>
      </w:tblGrid>
      <w:tr>
        <w:trPr>
          <w:cantSplit/>
          <w:tblHeader/>
        </w:trPr>
        <w:tc>
          <w:tcPr>
            <w:tcW w:type="dxa" w:w="1928"/>
            <w:vAlign w:val="top"/>
            <w:shd w:fill="17384C"/>
          </w:tcPr>
          <w:p>
            <w:pPr>
              <w:spacing w:before="60" w:after="80" w:line="250" w:lineRule="auto"/>
            </w:pPr>
            <w:r>
              <w:rPr>
                <w:b/>
                <w:color w:val="FFFFFF"/>
                <w:sz w:val="18"/>
              </w:rPr>
              <w:t>Группа</w:t>
            </w:r>
          </w:p>
        </w:tc>
        <w:tc>
          <w:tcPr>
            <w:tcW w:type="dxa" w:w="7824"/>
            <w:vAlign w:val="top"/>
            <w:shd w:fill="17384C"/>
          </w:tcPr>
          <w:p>
            <w:pPr>
              <w:spacing w:before="60" w:after="80" w:line="250" w:lineRule="auto"/>
            </w:pPr>
            <w:r>
              <w:rPr>
                <w:b/>
                <w:color w:val="FFFFFF"/>
                <w:sz w:val="18"/>
              </w:rPr>
              <w:t>Включённое содержание и основные записи</w:t>
            </w:r>
          </w:p>
        </w:tc>
      </w:tr>
      <w:tr>
        <w:trPr>
          <w:cantSplit/>
        </w:trPr>
        <w:tc>
          <w:tcPr>
            <w:tcW w:type="dxa" w:w="1928"/>
            <w:vAlign w:val="top"/>
            <w:shd w:fill="F0F5F6"/>
          </w:tcPr>
          <w:p>
            <w:pPr>
              <w:spacing w:before="60" w:after="80" w:line="250" w:lineRule="auto"/>
            </w:pPr>
            <w:r>
              <w:rPr>
                <w:sz w:val="18"/>
              </w:rPr>
              <w:t>Максим Исповедник</w:t>
            </w:r>
          </w:p>
        </w:tc>
        <w:tc>
          <w:tcPr>
            <w:tcW w:type="dxa" w:w="7824"/>
            <w:vAlign w:val="top"/>
            <w:shd w:fill="F0F5F6"/>
          </w:tcPr>
          <w:p>
            <w:pPr>
              <w:spacing w:before="60" w:after="80" w:line="250" w:lineRule="auto"/>
            </w:pPr>
            <w:r>
              <w:rPr>
                <w:sz w:val="18"/>
              </w:rPr>
              <w:t>Ambigua; вопросы Фалассию; Psalm 59 и молитва Господня; Liber asceticus; Quaestiones et dubia; Mystagogia; главы о любви и богословии; Opuscula и диспут с Пирром. Отдельно — первичные документы изгнания. R001–004, R007–010, R017–018, R025–028, R045–047.</w:t>
            </w:r>
          </w:p>
        </w:tc>
      </w:tr>
      <w:tr>
        <w:trPr>
          <w:cantSplit/>
        </w:trPr>
        <w:tc>
          <w:tcPr>
            <w:tcW w:type="dxa" w:w="1928"/>
            <w:vAlign w:val="top"/>
            <w:shd w:fill="FFFFFF"/>
          </w:tcPr>
          <w:p>
            <w:pPr>
              <w:spacing w:before="60" w:after="80" w:line="250" w:lineRule="auto"/>
            </w:pPr>
            <w:r>
              <w:rPr>
                <w:sz w:val="18"/>
              </w:rPr>
              <w:t>Иоанн Дамаскин</w:t>
            </w:r>
          </w:p>
        </w:tc>
        <w:tc>
          <w:tcPr>
            <w:tcW w:type="dxa" w:w="7824"/>
            <w:vAlign w:val="top"/>
            <w:shd w:fill="FFFFFF"/>
          </w:tcPr>
          <w:p>
            <w:pPr>
              <w:spacing w:before="60" w:after="80" w:line="250" w:lineRule="auto"/>
            </w:pPr>
            <w:r>
              <w:rPr>
                <w:sz w:val="18"/>
              </w:rPr>
              <w:t>Три составные части «Источника знания», речи об образах и Успении; Sacra Parallela с оговоркой об атрибуции; греческие, английские, немецкие, русские и славянские входы. R005, R015–016, R024, R029, R038–041, R048, R054.</w:t>
            </w:r>
          </w:p>
        </w:tc>
      </w:tr>
      <w:tr>
        <w:trPr>
          <w:cantSplit/>
        </w:trPr>
        <w:tc>
          <w:tcPr>
            <w:tcW w:type="dxa" w:w="1928"/>
            <w:vAlign w:val="top"/>
            <w:shd w:fill="F0F5F6"/>
          </w:tcPr>
          <w:p>
            <w:pPr>
              <w:spacing w:before="60" w:after="80" w:line="250" w:lineRule="auto"/>
            </w:pPr>
            <w:r>
              <w:rPr>
                <w:sz w:val="18"/>
              </w:rPr>
              <w:t>Фотий</w:t>
            </w:r>
          </w:p>
        </w:tc>
        <w:tc>
          <w:tcPr>
            <w:tcW w:type="dxa" w:w="7824"/>
            <w:vAlign w:val="top"/>
            <w:shd w:fill="F0F5F6"/>
          </w:tcPr>
          <w:p>
            <w:pPr>
              <w:spacing w:before="60" w:after="80" w:line="250" w:lineRule="auto"/>
            </w:pPr>
            <w:r>
              <w:rPr>
                <w:sz w:val="18"/>
              </w:rPr>
              <w:t>Bibliotheca, Amphilochia, Epistulae и Lexicon. Разделены старый греческий текст, частичные английские переводы, французские критические тома и библиотечные записи. R006, R011–014, R019–023, R042, R053.</w:t>
            </w:r>
          </w:p>
        </w:tc>
      </w:tr>
      <w:tr>
        <w:trPr>
          <w:cantSplit/>
        </w:trPr>
        <w:tc>
          <w:tcPr>
            <w:tcW w:type="dxa" w:w="1928"/>
            <w:vAlign w:val="top"/>
            <w:shd w:fill="FFFFFF"/>
          </w:tcPr>
          <w:p>
            <w:pPr>
              <w:spacing w:before="60" w:after="80" w:line="250" w:lineRule="auto"/>
            </w:pPr>
            <w:r>
              <w:rPr>
                <w:sz w:val="18"/>
              </w:rPr>
              <w:t>Арефа и Лев</w:t>
            </w:r>
          </w:p>
        </w:tc>
        <w:tc>
          <w:tcPr>
            <w:tcW w:type="dxa" w:w="7824"/>
            <w:vAlign w:val="top"/>
            <w:shd w:fill="FFFFFF"/>
          </w:tcPr>
          <w:p>
            <w:pPr>
              <w:spacing w:before="60" w:after="80" w:line="250" w:lineRule="auto"/>
            </w:pPr>
            <w:r>
              <w:rPr>
                <w:sz w:val="18"/>
              </w:rPr>
              <w:t>Clarke 39 с Платоном; D’Orville 301 с Евклидом; Scripta minora Арефы; испанский перевод части стихотворения на Иова, приписываемого Льву. R013, R043–044, R049.</w:t>
            </w:r>
          </w:p>
        </w:tc>
      </w:tr>
      <w:tr>
        <w:trPr>
          <w:cantSplit/>
        </w:trPr>
        <w:tc>
          <w:tcPr>
            <w:tcW w:type="dxa" w:w="1928"/>
            <w:vAlign w:val="top"/>
            <w:shd w:fill="F0F5F6"/>
          </w:tcPr>
          <w:p>
            <w:pPr>
              <w:spacing w:before="60" w:after="80" w:line="250" w:lineRule="auto"/>
            </w:pPr>
            <w:r>
              <w:rPr>
                <w:sz w:val="18"/>
              </w:rPr>
              <w:t>Входящие источники</w:t>
            </w:r>
          </w:p>
        </w:tc>
        <w:tc>
          <w:tcPr>
            <w:tcW w:type="dxa" w:w="7824"/>
            <w:vAlign w:val="top"/>
            <w:shd w:fill="F0F5F6"/>
          </w:tcPr>
          <w:p>
            <w:pPr>
              <w:spacing w:before="60" w:after="80" w:line="250" w:lineRule="auto"/>
            </w:pPr>
            <w:r>
              <w:rPr>
                <w:sz w:val="18"/>
              </w:rPr>
              <w:t>Аристотель, Порфирий, Аммоний; Дионисиев корпус и схолии Иоанна Скифопольского; избранные речи Григория Богослова; Praktikos Евагрия. R032–037, R050–052, R055.</w:t>
            </w:r>
          </w:p>
        </w:tc>
      </w:tr>
      <w:tr>
        <w:trPr>
          <w:cantSplit/>
        </w:trPr>
        <w:tc>
          <w:tcPr>
            <w:tcW w:type="dxa" w:w="1928"/>
            <w:vAlign w:val="top"/>
            <w:shd w:fill="FFFFFF"/>
          </w:tcPr>
          <w:p>
            <w:pPr>
              <w:spacing w:before="60" w:after="80" w:line="250" w:lineRule="auto"/>
            </w:pPr>
            <w:r>
              <w:rPr>
                <w:sz w:val="18"/>
              </w:rPr>
              <w:t>Передача и инфраструктура</w:t>
            </w:r>
          </w:p>
        </w:tc>
        <w:tc>
          <w:tcPr>
            <w:tcW w:type="dxa" w:w="7824"/>
            <w:vAlign w:val="top"/>
            <w:shd w:fill="FFFFFF"/>
          </w:tcPr>
          <w:p>
            <w:pPr>
              <w:spacing w:before="60" w:after="80" w:line="250" w:lineRule="auto"/>
            </w:pPr>
            <w:r>
              <w:rPr>
                <w:sz w:val="18"/>
              </w:rPr>
              <w:t>Латинские версии Эриугены и Анастасия, Periphyseon I, славянские свидетели; First1KGreek, HMML, TLG. R004, R010, R030–031, R041, R048, R056–058.</w:t>
            </w:r>
          </w:p>
        </w:tc>
      </w:tr>
    </w:tbl>
    <w:p>
      <w:pPr>
        <w:spacing w:after="0"/>
      </w:pPr>
    </w:p>
    <w:p>
      <w:pPr>
        <w:pStyle w:val="Heading2"/>
      </w:pPr>
      <w:r>
        <w:t>Что добавлено сверх исходного перечня</w:t>
      </w:r>
    </w:p>
    <w:p>
      <w:r>
        <w:t>Среди наиболее полезных расширений — критические издания малых сочинений Максима, отдельный английский перевод Opuscula и диспута с Пирром 2026 года, сирийская транскрипция Praktikos, славянские рукописи с точными библиотечными идентификаторами и открытые метаданные Sacra Parallela. Каждый такой вход добавляет новый текстовый слой или реально иной способ доступа.</w:t>
      </w:r>
      <w:r>
        <w:t xml:space="preserve"> </w:t>
      </w:r>
      <w:hyperlink r:id="rId11">
        <w:r>
          <w:rPr>
            <w:color w:val="176961"/>
            <w:sz w:val="18"/>
            <w:u w:val="single"/>
          </w:rPr>
          <w:t>[R007]</w:t>
        </w:r>
      </w:hyperlink>
      <w:r>
        <w:t xml:space="preserve"> </w:t>
      </w:r>
      <w:hyperlink r:id="rId12">
        <w:r>
          <w:rPr>
            <w:color w:val="176961"/>
            <w:sz w:val="18"/>
            <w:u w:val="single"/>
          </w:rPr>
          <w:t>[R008]</w:t>
        </w:r>
      </w:hyperlink>
      <w:r>
        <w:t xml:space="preserve"> </w:t>
      </w:r>
      <w:hyperlink r:id="rId13">
        <w:r>
          <w:rPr>
            <w:color w:val="176961"/>
            <w:sz w:val="18"/>
            <w:u w:val="single"/>
          </w:rPr>
          <w:t>[R009]</w:t>
        </w:r>
      </w:hyperlink>
      <w:r>
        <w:t xml:space="preserve"> </w:t>
      </w:r>
      <w:hyperlink r:id="rId14">
        <w:r>
          <w:rPr>
            <w:color w:val="176961"/>
            <w:sz w:val="18"/>
            <w:u w:val="single"/>
          </w:rPr>
          <w:t>[R041]</w:t>
        </w:r>
      </w:hyperlink>
      <w:r>
        <w:t xml:space="preserve"> </w:t>
      </w:r>
      <w:hyperlink r:id="rId15">
        <w:r>
          <w:rPr>
            <w:color w:val="176961"/>
            <w:sz w:val="18"/>
            <w:u w:val="single"/>
          </w:rPr>
          <w:t>[R045]</w:t>
        </w:r>
      </w:hyperlink>
      <w:r>
        <w:t xml:space="preserve"> </w:t>
      </w:r>
      <w:hyperlink r:id="rId16">
        <w:r>
          <w:rPr>
            <w:color w:val="176961"/>
            <w:sz w:val="18"/>
            <w:u w:val="single"/>
          </w:rPr>
          <w:t>[R048]</w:t>
        </w:r>
      </w:hyperlink>
      <w:r>
        <w:t xml:space="preserve"> </w:t>
      </w:r>
      <w:hyperlink r:id="rId17">
        <w:r>
          <w:rPr>
            <w:color w:val="176961"/>
            <w:sz w:val="18"/>
            <w:u w:val="single"/>
          </w:rPr>
          <w:t>[R050]</w:t>
        </w:r>
      </w:hyperlink>
      <w:r>
        <w:t xml:space="preserve"> </w:t>
      </w:r>
      <w:hyperlink r:id="rId18">
        <w:r>
          <w:rPr>
            <w:color w:val="176961"/>
            <w:sz w:val="18"/>
            <w:u w:val="single"/>
          </w:rPr>
          <w:t>[R054]</w:t>
        </w:r>
      </w:hyperlink>
    </w:p>
    <w:p>
      <w:pPr>
        <w:pStyle w:val="Heading2"/>
      </w:pPr>
      <w:r>
        <w:t>Как считалось покрытие</w:t>
      </w:r>
    </w:p>
    <w:p>
      <w:r>
        <w:t>Около 35 единиц — рабочий подсчёт произведений и укрупнённых корпусов, а не готовая онтология: три части «Источника знания» не пересчитаны повторно как четвёртое произведение; 24 диалога Clarke 39 учтены одной рукописной подборкой; документы изгнания — одним сборником. Переводы, повторные издания, тома PG и разные сайты не увеличивают число произведений.</w:t>
      </w:r>
    </w:p>
    <w:p>
      <w:r>
        <w:t>По способам доступа: core — 29 записей; same_corpus_or_tradition — 9; antecedent — 10; transmission_or_preservation — 5; commentary_or_reception — 1; supporting — 1; infrastructure — 3. Категории boundary и secondary_navigation не заполнялись искусственно. Поздние continuation-кандидаты, не прошедшие предметную проверку, сохранены в gaps.</w:t>
      </w:r>
    </w:p>
    <w:p>
      <w:r>
        <w:br w:type="page"/>
      </w:r>
    </w:p>
    <w:p>
      <w:pPr>
        <w:pStyle w:val="Heading1"/>
      </w:pPr>
      <w:r>
        <w:t>Хронологический ореол</w:t>
      </w:r>
    </w:p>
    <w:p>
      <w:r>
        <w:t>Более раннее произведение включается не из-за общей принадлежности к античности или патристике, а по роли в учебной, экзегетической или текстовой линии ядра. Поздняя рукопись и современная редакция сохраняют дату исходного произведения отдельно от даты своего носителя.</w:t>
      </w:r>
    </w:p>
    <w:tbl>
      <w:tblPr>
        <w:tblW w:type="auto" w:w="0"/>
        <w:tblLayout w:type="fixed"/>
        <w:tblLook w:firstColumn="1" w:firstRow="1" w:lastColumn="0" w:lastRow="0" w:noHBand="0" w:noVBand="1" w:val="04A0"/>
      </w:tblPr>
      <w:tblGrid>
        <w:gridCol w:w="2324"/>
        <w:gridCol w:w="7427"/>
      </w:tblGrid>
      <w:tr>
        <w:trPr>
          <w:cantSplit/>
          <w:tblHeader/>
        </w:trPr>
        <w:tc>
          <w:tcPr>
            <w:tcW w:type="dxa" w:w="2324"/>
            <w:vAlign w:val="top"/>
            <w:shd w:fill="17384C"/>
          </w:tcPr>
          <w:p>
            <w:pPr>
              <w:spacing w:before="60" w:after="80" w:line="250" w:lineRule="auto"/>
            </w:pPr>
            <w:r>
              <w:rPr>
                <w:b/>
                <w:color w:val="FFFFFF"/>
                <w:sz w:val="18"/>
              </w:rPr>
              <w:t>Направление</w:t>
            </w:r>
          </w:p>
        </w:tc>
        <w:tc>
          <w:tcPr>
            <w:tcW w:type="dxa" w:w="7427"/>
            <w:vAlign w:val="top"/>
            <w:shd w:fill="17384C"/>
          </w:tcPr>
          <w:p>
            <w:pPr>
              <w:spacing w:before="60" w:after="80" w:line="250" w:lineRule="auto"/>
            </w:pPr>
            <w:r>
              <w:rPr>
                <w:b/>
                <w:color w:val="FFFFFF"/>
                <w:sz w:val="18"/>
              </w:rPr>
              <w:t>Конкретная связь со строкой</w:t>
            </w:r>
          </w:p>
        </w:tc>
      </w:tr>
      <w:tr>
        <w:trPr>
          <w:cantSplit/>
        </w:trPr>
        <w:tc>
          <w:tcPr>
            <w:tcW w:type="dxa" w:w="2324"/>
            <w:vAlign w:val="top"/>
            <w:shd w:fill="F0F5F6"/>
          </w:tcPr>
          <w:p>
            <w:pPr>
              <w:spacing w:before="60" w:after="80" w:line="250" w:lineRule="auto"/>
            </w:pPr>
            <w:r>
              <w:rPr>
                <w:sz w:val="18"/>
              </w:rPr>
              <w:t>Аристотель → Порфирий → Аммоний</w:t>
            </w:r>
          </w:p>
        </w:tc>
        <w:tc>
          <w:tcPr>
            <w:tcW w:type="dxa" w:w="7427"/>
            <w:vAlign w:val="top"/>
            <w:shd w:fill="F0F5F6"/>
          </w:tcPr>
          <w:p>
            <w:pPr>
              <w:spacing w:before="60" w:after="80" w:line="250" w:lineRule="auto"/>
            </w:pPr>
            <w:r>
              <w:rPr>
                <w:sz w:val="18"/>
              </w:rPr>
              <w:t>Categories и De interpretatione — логическая пропедевтика; Isagoge и комментарий к ней — источник понятий рода, вида, различия и предикации. Это входящий учебный контур Иоанна, Фотия и комментарийной школы, а не основание включать всю античную философию.</w:t>
            </w:r>
          </w:p>
        </w:tc>
      </w:tr>
      <w:tr>
        <w:trPr>
          <w:cantSplit/>
        </w:trPr>
        <w:tc>
          <w:tcPr>
            <w:tcW w:type="dxa" w:w="2324"/>
            <w:vAlign w:val="top"/>
            <w:shd w:fill="FFFFFF"/>
          </w:tcPr>
          <w:p>
            <w:pPr>
              <w:spacing w:before="60" w:after="80" w:line="250" w:lineRule="auto"/>
            </w:pPr>
            <w:r>
              <w:rPr>
                <w:sz w:val="18"/>
              </w:rPr>
              <w:t>Григорий → Максим</w:t>
            </w:r>
          </w:p>
        </w:tc>
        <w:tc>
          <w:tcPr>
            <w:tcW w:type="dxa" w:w="7427"/>
            <w:vAlign w:val="top"/>
            <w:shd w:fill="FFFFFF"/>
          </w:tcPr>
          <w:p>
            <w:pPr>
              <w:spacing w:before="60" w:after="80" w:line="250" w:lineRule="auto"/>
            </w:pPr>
            <w:r>
              <w:rPr>
                <w:sz w:val="18"/>
              </w:rPr>
              <w:t>Речи Григория составляют предмет толкования Ambigua. Доступный старый английский сборник включает Oration XXXVIII; он не заменяет полного греческого текста Григория.</w:t>
            </w:r>
          </w:p>
        </w:tc>
      </w:tr>
      <w:tr>
        <w:trPr>
          <w:cantSplit/>
        </w:trPr>
        <w:tc>
          <w:tcPr>
            <w:tcW w:type="dxa" w:w="2324"/>
            <w:vAlign w:val="top"/>
            <w:shd w:fill="F0F5F6"/>
          </w:tcPr>
          <w:p>
            <w:pPr>
              <w:spacing w:before="60" w:after="80" w:line="250" w:lineRule="auto"/>
            </w:pPr>
            <w:r>
              <w:rPr>
                <w:sz w:val="18"/>
              </w:rPr>
              <w:t>Дионисий и его схолии → Максим</w:t>
            </w:r>
          </w:p>
        </w:tc>
        <w:tc>
          <w:tcPr>
            <w:tcW w:type="dxa" w:w="7427"/>
            <w:vAlign w:val="top"/>
            <w:shd w:fill="F0F5F6"/>
          </w:tcPr>
          <w:p>
            <w:pPr>
              <w:spacing w:before="60" w:after="80" w:line="250" w:lineRule="auto"/>
            </w:pPr>
            <w:r>
              <w:rPr>
                <w:sz w:val="18"/>
              </w:rPr>
              <w:t>Дионисиев корпус и ранняя комментарийная традиция дают прямой экзегетический контекст. Scholia Иоанна Скифопольского не атрибутированы автоматически Максиму.</w:t>
            </w:r>
          </w:p>
        </w:tc>
      </w:tr>
      <w:tr>
        <w:trPr>
          <w:cantSplit/>
        </w:trPr>
        <w:tc>
          <w:tcPr>
            <w:tcW w:type="dxa" w:w="2324"/>
            <w:vAlign w:val="top"/>
            <w:shd w:fill="FFFFFF"/>
          </w:tcPr>
          <w:p>
            <w:pPr>
              <w:spacing w:before="60" w:after="80" w:line="250" w:lineRule="auto"/>
            </w:pPr>
            <w:r>
              <w:rPr>
                <w:sz w:val="18"/>
              </w:rPr>
              <w:t>Евагрий → максимовские сотницы</w:t>
            </w:r>
          </w:p>
        </w:tc>
        <w:tc>
          <w:tcPr>
            <w:tcW w:type="dxa" w:w="7427"/>
            <w:vAlign w:val="top"/>
            <w:shd w:fill="FFFFFF"/>
          </w:tcPr>
          <w:p>
            <w:pPr>
              <w:spacing w:before="60" w:after="80" w:line="250" w:lineRule="auto"/>
            </w:pPr>
            <w:r>
              <w:rPr>
                <w:sz w:val="18"/>
              </w:rPr>
              <w:t>Издатель Sources Chrétiennes прямо указывает Евагрия среди источников глав о любви. Praktikos включён как конкретный аскетико-понятийный предшественник, без расширения на весь евагриевский корпус.</w:t>
            </w:r>
          </w:p>
        </w:tc>
      </w:tr>
      <w:tr>
        <w:trPr>
          <w:cantSplit/>
        </w:trPr>
        <w:tc>
          <w:tcPr>
            <w:tcW w:type="dxa" w:w="2324"/>
            <w:vAlign w:val="top"/>
            <w:shd w:fill="F0F5F6"/>
          </w:tcPr>
          <w:p>
            <w:pPr>
              <w:spacing w:before="60" w:after="80" w:line="250" w:lineRule="auto"/>
            </w:pPr>
            <w:r>
              <w:rPr>
                <w:sz w:val="18"/>
              </w:rPr>
              <w:t>Утраченные книги → Bibliotheca</w:t>
            </w:r>
          </w:p>
        </w:tc>
        <w:tc>
          <w:tcPr>
            <w:tcW w:type="dxa" w:w="7427"/>
            <w:vAlign w:val="top"/>
            <w:shd w:fill="F0F5F6"/>
          </w:tcPr>
          <w:p>
            <w:pPr>
              <w:spacing w:before="60" w:after="80" w:line="250" w:lineRule="auto"/>
            </w:pPr>
            <w:r>
              <w:rPr>
                <w:sz w:val="18"/>
              </w:rPr>
              <w:t>Фотий сохраняет сообщения и выдержки, в том числе об Энесидеме (cod. 212), Иерокле (214) и Дамаскии (242). Доступ к этим кодексам не назван доступом к полным утраченным сочинениям.</w:t>
            </w:r>
          </w:p>
        </w:tc>
      </w:tr>
      <w:tr>
        <w:trPr>
          <w:cantSplit/>
        </w:trPr>
        <w:tc>
          <w:tcPr>
            <w:tcW w:type="dxa" w:w="2324"/>
            <w:vAlign w:val="top"/>
            <w:shd w:fill="FFFFFF"/>
          </w:tcPr>
          <w:p>
            <w:pPr>
              <w:spacing w:before="60" w:after="80" w:line="250" w:lineRule="auto"/>
            </w:pPr>
            <w:r>
              <w:rPr>
                <w:sz w:val="18"/>
              </w:rPr>
              <w:t>Максим → латинская передача</w:t>
            </w:r>
          </w:p>
        </w:tc>
        <w:tc>
          <w:tcPr>
            <w:tcW w:type="dxa" w:w="7427"/>
            <w:vAlign w:val="top"/>
            <w:shd w:fill="FFFFFF"/>
          </w:tcPr>
          <w:p>
            <w:pPr>
              <w:spacing w:before="60" w:after="80" w:line="250" w:lineRule="auto"/>
            </w:pPr>
            <w:r>
              <w:rPr>
                <w:sz w:val="18"/>
              </w:rPr>
              <w:t>Ambigua и Quaestiones ad Thalassium в переводах Эриугены; латинская версия Mystagogia Анастасия; Periphyseon как рецепция. В R031 проверена только первая из пяти книг Periphyseon.</w:t>
            </w:r>
          </w:p>
        </w:tc>
      </w:tr>
      <w:tr>
        <w:trPr>
          <w:cantSplit/>
        </w:trPr>
        <w:tc>
          <w:tcPr>
            <w:tcW w:type="dxa" w:w="2324"/>
            <w:vAlign w:val="top"/>
            <w:shd w:fill="F0F5F6"/>
          </w:tcPr>
          <w:p>
            <w:pPr>
              <w:spacing w:before="60" w:after="80" w:line="250" w:lineRule="auto"/>
            </w:pPr>
            <w:r>
              <w:rPr>
                <w:sz w:val="18"/>
              </w:rPr>
              <w:t>Иоанн → славянская передача</w:t>
            </w:r>
          </w:p>
        </w:tc>
        <w:tc>
          <w:tcPr>
            <w:tcW w:type="dxa" w:w="7427"/>
            <w:vAlign w:val="top"/>
            <w:shd w:fill="F0F5F6"/>
          </w:tcPr>
          <w:p>
            <w:pPr>
              <w:spacing w:before="60" w:after="80" w:line="250" w:lineRule="auto"/>
            </w:pPr>
            <w:r>
              <w:rPr>
                <w:sz w:val="18"/>
              </w:rPr>
              <w:t>«Небеса» в переводе Иоанна Экзарха, сохранённые поздним списком, и отдельная славянская Dialectica. Поздняя дата кодекса не исключает объект, но и не датирует перевод заново.</w:t>
            </w:r>
          </w:p>
        </w:tc>
      </w:tr>
    </w:tbl>
    <w:p>
      <w:pPr>
        <w:spacing w:after="0"/>
      </w:pPr>
    </w:p>
    <w:p>
      <w:r>
        <w:t>Входящие предметные источники и основания связи:</w:t>
      </w:r>
      <w:r>
        <w:t xml:space="preserve"> </w:t>
      </w:r>
      <w:hyperlink r:id="rId19">
        <w:r>
          <w:rPr>
            <w:color w:val="176961"/>
            <w:sz w:val="18"/>
            <w:u w:val="single"/>
          </w:rPr>
          <w:t>[R001]</w:t>
        </w:r>
      </w:hyperlink>
      <w:r>
        <w:t xml:space="preserve"> </w:t>
      </w:r>
      <w:hyperlink r:id="rId20">
        <w:r>
          <w:rPr>
            <w:color w:val="176961"/>
            <w:sz w:val="18"/>
            <w:u w:val="single"/>
          </w:rPr>
          <w:t>[R027]</w:t>
        </w:r>
      </w:hyperlink>
      <w:r>
        <w:t xml:space="preserve"> </w:t>
      </w:r>
      <w:hyperlink r:id="rId21">
        <w:r>
          <w:rPr>
            <w:color w:val="176961"/>
            <w:sz w:val="18"/>
            <w:u w:val="single"/>
          </w:rPr>
          <w:t>[R032]</w:t>
        </w:r>
      </w:hyperlink>
      <w:r>
        <w:t xml:space="preserve"> </w:t>
      </w:r>
      <w:hyperlink r:id="rId22">
        <w:r>
          <w:rPr>
            <w:color w:val="176961"/>
            <w:sz w:val="18"/>
            <w:u w:val="single"/>
          </w:rPr>
          <w:t>[R033]</w:t>
        </w:r>
      </w:hyperlink>
      <w:r>
        <w:t xml:space="preserve"> </w:t>
      </w:r>
      <w:hyperlink r:id="rId23">
        <w:r>
          <w:rPr>
            <w:color w:val="176961"/>
            <w:sz w:val="18"/>
            <w:u w:val="single"/>
          </w:rPr>
          <w:t>[R034]</w:t>
        </w:r>
      </w:hyperlink>
      <w:r>
        <w:t xml:space="preserve"> </w:t>
      </w:r>
      <w:hyperlink r:id="rId24">
        <w:r>
          <w:rPr>
            <w:color w:val="176961"/>
            <w:sz w:val="18"/>
            <w:u w:val="single"/>
          </w:rPr>
          <w:t>[R035]</w:t>
        </w:r>
      </w:hyperlink>
      <w:r>
        <w:t xml:space="preserve"> </w:t>
      </w:r>
      <w:hyperlink r:id="rId25">
        <w:r>
          <w:rPr>
            <w:color w:val="176961"/>
            <w:sz w:val="18"/>
            <w:u w:val="single"/>
          </w:rPr>
          <w:t>[R037]</w:t>
        </w:r>
      </w:hyperlink>
      <w:r>
        <w:t xml:space="preserve"> </w:t>
      </w:r>
      <w:hyperlink r:id="rId17">
        <w:r>
          <w:rPr>
            <w:color w:val="176961"/>
            <w:sz w:val="18"/>
            <w:u w:val="single"/>
          </w:rPr>
          <w:t>[R050]</w:t>
        </w:r>
      </w:hyperlink>
      <w:r>
        <w:t xml:space="preserve"> </w:t>
      </w:r>
      <w:hyperlink r:id="rId26">
        <w:r>
          <w:rPr>
            <w:color w:val="176961"/>
            <w:sz w:val="18"/>
            <w:u w:val="single"/>
          </w:rPr>
          <w:t>[R052]</w:t>
        </w:r>
      </w:hyperlink>
      <w:r>
        <w:t xml:space="preserve"> </w:t>
      </w:r>
      <w:hyperlink r:id="rId27">
        <w:r>
          <w:rPr>
            <w:color w:val="176961"/>
            <w:sz w:val="18"/>
            <w:u w:val="single"/>
          </w:rPr>
          <w:t>[R055]</w:t>
        </w:r>
      </w:hyperlink>
    </w:p>
    <w:p>
      <w:r>
        <w:t>Конкретные пути сохранения и передачи:</w:t>
      </w:r>
      <w:r>
        <w:t xml:space="preserve"> </w:t>
      </w:r>
      <w:hyperlink r:id="rId28">
        <w:r>
          <w:rPr>
            <w:color w:val="176961"/>
            <w:sz w:val="18"/>
            <w:u w:val="single"/>
          </w:rPr>
          <w:t>[R004]</w:t>
        </w:r>
      </w:hyperlink>
      <w:r>
        <w:t xml:space="preserve"> </w:t>
      </w:r>
      <w:hyperlink r:id="rId29">
        <w:r>
          <w:rPr>
            <w:color w:val="176961"/>
            <w:sz w:val="18"/>
            <w:u w:val="single"/>
          </w:rPr>
          <w:t>[R010]</w:t>
        </w:r>
      </w:hyperlink>
      <w:r>
        <w:t xml:space="preserve"> </w:t>
      </w:r>
      <w:hyperlink r:id="rId30">
        <w:r>
          <w:rPr>
            <w:color w:val="176961"/>
            <w:sz w:val="18"/>
            <w:u w:val="single"/>
          </w:rPr>
          <w:t>[R020]</w:t>
        </w:r>
      </w:hyperlink>
      <w:r>
        <w:t xml:space="preserve"> </w:t>
      </w:r>
      <w:hyperlink r:id="rId31">
        <w:r>
          <w:rPr>
            <w:color w:val="176961"/>
            <w:sz w:val="18"/>
            <w:u w:val="single"/>
          </w:rPr>
          <w:t>[R030]</w:t>
        </w:r>
      </w:hyperlink>
      <w:r>
        <w:t xml:space="preserve"> </w:t>
      </w:r>
      <w:hyperlink r:id="rId32">
        <w:r>
          <w:rPr>
            <w:color w:val="176961"/>
            <w:sz w:val="18"/>
            <w:u w:val="single"/>
          </w:rPr>
          <w:t>[R031]</w:t>
        </w:r>
      </w:hyperlink>
      <w:r>
        <w:t xml:space="preserve"> </w:t>
      </w:r>
      <w:hyperlink r:id="rId14">
        <w:r>
          <w:rPr>
            <w:color w:val="176961"/>
            <w:sz w:val="18"/>
            <w:u w:val="single"/>
          </w:rPr>
          <w:t>[R041]</w:t>
        </w:r>
      </w:hyperlink>
      <w:r>
        <w:t xml:space="preserve"> </w:t>
      </w:r>
      <w:hyperlink r:id="rId16">
        <w:r>
          <w:rPr>
            <w:color w:val="176961"/>
            <w:sz w:val="18"/>
            <w:u w:val="single"/>
          </w:rPr>
          <w:t>[R048]</w:t>
        </w:r>
      </w:hyperlink>
      <w:r>
        <w:t xml:space="preserve"> </w:t>
      </w:r>
      <w:hyperlink r:id="rId33">
        <w:r>
          <w:rPr>
            <w:color w:val="176961"/>
            <w:sz w:val="18"/>
            <w:u w:val="single"/>
          </w:rPr>
          <w:t>[R053]</w:t>
        </w:r>
      </w:hyperlink>
    </w:p>
    <w:p>
      <w:pPr>
        <w:pStyle w:val="Heading2"/>
      </w:pPr>
      <w:r>
        <w:t>Рукописная линия Арефы</w:t>
      </w:r>
    </w:p>
    <w:p>
      <w:r>
        <w:t>Clarke 39 (895) и D’Orville 301 (888) — не два произвольно выбранных древних автора, а свидетельства книжного заказа и работы с философско-математическим каноном в круге Арефы. При этом права на изображения каждого кодекса проверяются отдельно: лицензия Clarke 39 не переносится на Евклида.</w:t>
      </w:r>
      <w:r>
        <w:t xml:space="preserve"> </w:t>
      </w:r>
      <w:hyperlink r:id="rId34">
        <w:r>
          <w:rPr>
            <w:color w:val="176961"/>
            <w:sz w:val="18"/>
            <w:u w:val="single"/>
          </w:rPr>
          <w:t>[R013]</w:t>
        </w:r>
      </w:hyperlink>
      <w:r>
        <w:t xml:space="preserve"> </w:t>
      </w:r>
      <w:hyperlink r:id="rId35">
        <w:r>
          <w:rPr>
            <w:color w:val="176961"/>
            <w:sz w:val="18"/>
            <w:u w:val="single"/>
          </w:rPr>
          <w:t>[R049]</w:t>
        </w:r>
      </w:hyperlink>
    </w:p>
    <w:p>
      <w:r>
        <w:t>Арабские и грузинские версии Иоанна, поздние логические сочинения Пселла и Иоанна Итала, книги II–V Periphyseon не исключены по датам. Они оставлены как адресные пробелы, поскольку проверка конкретной версии, связи или item-level доступа не завершена: G013–014, G021–023.</w:t>
      </w:r>
    </w:p>
    <w:p>
      <w:r>
        <w:br w:type="page"/>
      </w:r>
    </w:p>
    <w:p>
      <w:pPr>
        <w:pStyle w:val="Heading1"/>
      </w:pPr>
      <w:r>
        <w:t>3. Лучшие пути доступа</w:t>
      </w:r>
    </w:p>
    <w:p>
      <w:pPr>
        <w:pStyle w:val="Heading2"/>
      </w:pPr>
      <w:r>
        <w:t>Максим Исповедник</w:t>
      </w:r>
    </w:p>
    <w:p>
      <w:pPr>
        <w:pStyle w:val="Heading3"/>
      </w:pPr>
      <w:r>
        <w:t>Ambigua и Quaestiones ad Thalassium</w:t>
      </w:r>
    </w:p>
    <w:p>
      <w:r>
        <w:t>Для Ambigua наиболее удобный проверенный научный вход — двуязычные тома Nicholas Constas в Dumbarton Oaks Medieval Library: том I содержит Ambigua 1–22, том II — 23–71. Это современный греческий текст с английским переводом, доступный через покупку, а не открытая лицензия. Старый PG 91 даёт альтернативный исторический вход, но целостность большого PDF и происхождение скана не подтверждены полностью.</w:t>
      </w:r>
      <w:r>
        <w:t xml:space="preserve"> </w:t>
      </w:r>
      <w:hyperlink r:id="rId19">
        <w:r>
          <w:rPr>
            <w:color w:val="176961"/>
            <w:sz w:val="18"/>
            <w:u w:val="single"/>
          </w:rPr>
          <w:t>[R001]</w:t>
        </w:r>
      </w:hyperlink>
      <w:r>
        <w:t xml:space="preserve"> </w:t>
      </w:r>
      <w:hyperlink r:id="rId36">
        <w:r>
          <w:rPr>
            <w:color w:val="176961"/>
            <w:sz w:val="18"/>
            <w:u w:val="single"/>
          </w:rPr>
          <w:t>[R002]</w:t>
        </w:r>
      </w:hyperlink>
      <w:r>
        <w:t xml:space="preserve"> </w:t>
      </w:r>
      <w:hyperlink r:id="rId37">
        <w:r>
          <w:rPr>
            <w:color w:val="176961"/>
            <w:sz w:val="18"/>
            <w:u w:val="single"/>
          </w:rPr>
          <w:t>[R018]</w:t>
        </w:r>
      </w:hyperlink>
    </w:p>
    <w:p>
      <w:r>
        <w:t>Для вопросов Фалассию английский перевод Constas включает 65 вопросов и 465 схолий; критический греческий текст и латинский перевод Эриугены доступны через издание Laga–Steel, CCSG 7/22. Эти маршруты взаимодополняют друг друга: современный перевод удобнее для чтения, критическое издание — для проверки оригинала и латинской передачи. PG 90 не равнозначен современной recensio.</w:t>
      </w:r>
      <w:r>
        <w:t xml:space="preserve"> </w:t>
      </w:r>
      <w:hyperlink r:id="rId38">
        <w:r>
          <w:rPr>
            <w:color w:val="176961"/>
            <w:sz w:val="18"/>
            <w:u w:val="single"/>
          </w:rPr>
          <w:t>[R003]</w:t>
        </w:r>
      </w:hyperlink>
      <w:r>
        <w:t xml:space="preserve"> </w:t>
      </w:r>
      <w:hyperlink r:id="rId28">
        <w:r>
          <w:rPr>
            <w:color w:val="176961"/>
            <w:sz w:val="18"/>
            <w:u w:val="single"/>
          </w:rPr>
          <w:t>[R004]</w:t>
        </w:r>
      </w:hyperlink>
      <w:r>
        <w:t xml:space="preserve"> </w:t>
      </w:r>
      <w:hyperlink r:id="rId39">
        <w:r>
          <w:rPr>
            <w:color w:val="176961"/>
            <w:sz w:val="18"/>
            <w:u w:val="single"/>
          </w:rPr>
          <w:t>[R017]</w:t>
        </w:r>
      </w:hyperlink>
    </w:p>
    <w:p>
      <w:pPr>
        <w:pStyle w:val="Heading3"/>
      </w:pPr>
      <w:r>
        <w:t>Малые произведения и полнота старых изданий</w:t>
      </w:r>
    </w:p>
    <w:p>
      <w:r>
        <w:t>Quaestiones et dubia требуют особой осторожности: издатель CCSG 10 прямо указывает, что старый текст Combefis, воспроизведённый у Миня, передаёт менее половины оригинального материала. Поэтому Declerck (1982) — предпочтительный греческий научный вход, а перевод Despina Prassas — самостоятельный современный английский маршрут к 239 вопросам. Наличие большого старого тома нельзя трактовать как полноту произведения.</w:t>
      </w:r>
      <w:r>
        <w:t xml:space="preserve"> </w:t>
      </w:r>
      <w:hyperlink r:id="rId13">
        <w:r>
          <w:rPr>
            <w:color w:val="176961"/>
            <w:sz w:val="18"/>
            <w:u w:val="single"/>
          </w:rPr>
          <w:t>[R009]</w:t>
        </w:r>
      </w:hyperlink>
      <w:r>
        <w:t xml:space="preserve"> </w:t>
      </w:r>
      <w:hyperlink r:id="rId40">
        <w:r>
          <w:rPr>
            <w:color w:val="176961"/>
            <w:sz w:val="18"/>
            <w:u w:val="single"/>
          </w:rPr>
          <w:t>[R028]</w:t>
        </w:r>
      </w:hyperlink>
    </w:p>
    <w:p>
      <w:r>
        <w:t>Для Mystagogia предпочтительно критическое издание Christian Boudignon, CCSG 69: оно также важно для латинской версии Анастасия. Английский перевод имеется в Selected Writings George Berthold; этот сборник включает главы о любви и богословии, толкование молитвы Господней, Mystagogia и материал о суде. Сборник не объявлен полным собранием Максима и не подменяет Liber asceticus.</w:t>
      </w:r>
      <w:r>
        <w:t xml:space="preserve"> </w:t>
      </w:r>
      <w:hyperlink r:id="rId29">
        <w:r>
          <w:rPr>
            <w:color w:val="176961"/>
            <w:sz w:val="18"/>
            <w:u w:val="single"/>
          </w:rPr>
          <w:t>[R010]</w:t>
        </w:r>
      </w:hyperlink>
      <w:r>
        <w:t xml:space="preserve"> </w:t>
      </w:r>
      <w:hyperlink r:id="rId41">
        <w:r>
          <w:rPr>
            <w:color w:val="176961"/>
            <w:sz w:val="18"/>
            <w:u w:val="single"/>
          </w:rPr>
          <w:t>[R026]</w:t>
        </w:r>
      </w:hyperlink>
    </w:p>
    <w:p>
      <w:r>
        <w:t>Expositio in Psalmum LIX и толкование молитвы Господней имеют отдельный путь через CCSG 23; Liber asceticus — через CCSG 40, с тремя латинскими версиями. Для Capita de caritate французский том Sources Chrétiennes 9 с переводом Joseph Pegon — научный вариант покупки. Русские «Главы о любви» А. И. Сидорова на MyBook сохранены как preview, а не как свободный полный текст.</w:t>
      </w:r>
      <w:r>
        <w:t xml:space="preserve"> </w:t>
      </w:r>
      <w:hyperlink r:id="rId11">
        <w:r>
          <w:rPr>
            <w:color w:val="176961"/>
            <w:sz w:val="18"/>
            <w:u w:val="single"/>
          </w:rPr>
          <w:t>[R007]</w:t>
        </w:r>
      </w:hyperlink>
      <w:r>
        <w:t xml:space="preserve"> </w:t>
      </w:r>
      <w:hyperlink r:id="rId12">
        <w:r>
          <w:rPr>
            <w:color w:val="176961"/>
            <w:sz w:val="18"/>
            <w:u w:val="single"/>
          </w:rPr>
          <w:t>[R008]</w:t>
        </w:r>
      </w:hyperlink>
      <w:r>
        <w:t xml:space="preserve"> </w:t>
      </w:r>
      <w:hyperlink r:id="rId42">
        <w:r>
          <w:rPr>
            <w:color w:val="176961"/>
            <w:sz w:val="18"/>
            <w:u w:val="single"/>
          </w:rPr>
          <w:t>[R025]</w:t>
        </w:r>
      </w:hyperlink>
      <w:r>
        <w:t xml:space="preserve"> </w:t>
      </w:r>
      <w:hyperlink r:id="rId20">
        <w:r>
          <w:rPr>
            <w:color w:val="176961"/>
            <w:sz w:val="18"/>
            <w:u w:val="single"/>
          </w:rPr>
          <w:t>[R027]</w:t>
        </w:r>
      </w:hyperlink>
    </w:p>
    <w:p>
      <w:pPr>
        <w:pStyle w:val="Heading3"/>
      </w:pPr>
      <w:r>
        <w:t>Полемика, воля и документы изгнания</w:t>
      </w:r>
    </w:p>
    <w:p>
      <w:r>
        <w:t>Проверка действующего каталога CUA добавила The Opuscula and the Dispute with Pyrrhus в переводе John D. Clarke, с датой публикации 10 июля 2026 года. Это важное расширение ядра по воле, действию и христологической полемике. Карточка издателя предлагает покупку; иной статус в BiblioVault отмечен в реестре, поэтому наличие у конкретного продавца не гарантируется.</w:t>
      </w:r>
      <w:r>
        <w:t xml:space="preserve"> </w:t>
      </w:r>
      <w:hyperlink r:id="rId15">
        <w:r>
          <w:rPr>
            <w:color w:val="176961"/>
            <w:sz w:val="18"/>
            <w:u w:val="single"/>
          </w:rPr>
          <w:t>[R045]</w:t>
        </w:r>
      </w:hyperlink>
    </w:p>
    <w:p>
      <w:r>
        <w:t>Документы изгнания представлены критическим сборником Allen–Neil, CCSG 39, и отдельной институциональной записью английского издания. Последняя подтверждает книгу, но не предоставляет её полный текст. Этот корпус первичных свидетельств отличен от авторских трактатов Максима.</w:t>
      </w:r>
      <w:r>
        <w:t xml:space="preserve"> </w:t>
      </w:r>
      <w:hyperlink r:id="rId43">
        <w:r>
          <w:rPr>
            <w:color w:val="176961"/>
            <w:sz w:val="18"/>
            <w:u w:val="single"/>
          </w:rPr>
          <w:t>[R046]</w:t>
        </w:r>
      </w:hyperlink>
      <w:r>
        <w:t xml:space="preserve"> </w:t>
      </w:r>
      <w:hyperlink r:id="rId44">
        <w:r>
          <w:rPr>
            <w:color w:val="176961"/>
            <w:sz w:val="18"/>
            <w:u w:val="single"/>
          </w:rPr>
          <w:t>[R047]</w:t>
        </w:r>
      </w:hyperlink>
    </w:p>
    <w:p>
      <w:pPr>
        <w:pStyle w:val="Heading3"/>
      </w:pPr>
      <w:r>
        <w:t>Практический выбор</w:t>
      </w:r>
    </w:p>
    <w:p>
      <w:r>
        <w:t>Для первоначального чтения — Constas, Berthold и Prassas; для оригинала — соответствующие CCSG и двуязычные Ambigua; для старого слоя — PG 90–91 с ручной проверкой. Подтверждённой полностью открытой современной критической основы для всего корпуса Максима в этом запуске не установлено. Машиночитаемость исторического OCR не равна ни филологической надёжности, ни праву на повторную публикацию.</w:t>
      </w:r>
    </w:p>
    <w:p>
      <w:r>
        <w:br w:type="page"/>
      </w:r>
    </w:p>
    <w:p>
      <w:pPr>
        <w:pStyle w:val="Heading1"/>
      </w:pPr>
      <w:r>
        <w:t>Лучшие пути: Иоанн Дамаскин</w:t>
      </w:r>
    </w:p>
    <w:p>
      <w:pPr>
        <w:pStyle w:val="Heading2"/>
      </w:pPr>
      <w:r>
        <w:t>«Источник знания» и Expositio fidei</w:t>
      </w:r>
    </w:p>
    <w:p>
      <w:r>
        <w:t>Writings Frederic H. Chase в серии Fathers of the Church — проверенный английский вход к Philosophical Chapters (Dialectica), On Heresies и Orthodox Faith. Составные части учитываются отдельно как произведения, но общий издательский маршрут не раздут в три одинаковые ссылки. Название Fount of Knowledge сохранено как сложный редакционный комплекс, а не безусловное доказательство первоначального авторского единства.</w:t>
      </w:r>
      <w:r>
        <w:t xml:space="preserve"> </w:t>
      </w:r>
      <w:hyperlink r:id="rId45">
        <w:r>
          <w:rPr>
            <w:color w:val="176961"/>
            <w:sz w:val="18"/>
            <w:u w:val="single"/>
          </w:rPr>
          <w:t>[R005]</w:t>
        </w:r>
      </w:hyperlink>
    </w:p>
    <w:p>
      <w:r>
        <w:t>Бесплатное английское чтение Expositio fidei доступно на New Advent, немецкое — в Bibliothek der Kirchenväter. На BKV открыт текст и разобран PDF четырёх книг, но визуальная проверка PDF через браузерный screenshot не удалась. Для современного греческого текста обнаружено издание Bonifatius Kotter (1973) с библиотечным маршрутом SLUB; это не свободный файл.</w:t>
      </w:r>
      <w:r>
        <w:t xml:space="preserve"> </w:t>
      </w:r>
      <w:hyperlink r:id="rId46">
        <w:r>
          <w:rPr>
            <w:color w:val="176961"/>
            <w:sz w:val="18"/>
            <w:u w:val="single"/>
          </w:rPr>
          <w:t>[R015]</w:t>
        </w:r>
      </w:hyperlink>
      <w:r>
        <w:t xml:space="preserve"> </w:t>
      </w:r>
      <w:hyperlink r:id="rId47">
        <w:r>
          <w:rPr>
            <w:color w:val="176961"/>
            <w:sz w:val="18"/>
            <w:u w:val="single"/>
          </w:rPr>
          <w:t>[R038]</w:t>
        </w:r>
      </w:hyperlink>
      <w:r>
        <w:t xml:space="preserve"> </w:t>
      </w:r>
      <w:hyperlink r:id="rId48">
        <w:r>
          <w:rPr>
            <w:color w:val="176961"/>
            <w:sz w:val="18"/>
            <w:u w:val="single"/>
          </w:rPr>
          <w:t>[R039]</w:t>
        </w:r>
      </w:hyperlink>
    </w:p>
    <w:p>
      <w:r>
        <w:t>Две библиографические оговорки принципиальны. New Advent указывает имена переводчиков, которые требуют независимой сверки; они не приняты безоговорочно. Президентская библиотека описывает русское издание 1894 года, но проверенная карточка не установила переводчика и не дала доказанного полного цифрового чтения. Ему оставлен статус metadata-only, без догадки об авторстве перевода.</w:t>
      </w:r>
      <w:r>
        <w:t xml:space="preserve"> </w:t>
      </w:r>
      <w:hyperlink r:id="rId46">
        <w:r>
          <w:rPr>
            <w:color w:val="176961"/>
            <w:sz w:val="18"/>
            <w:u w:val="single"/>
          </w:rPr>
          <w:t>[R015]</w:t>
        </w:r>
      </w:hyperlink>
      <w:r>
        <w:t xml:space="preserve"> </w:t>
      </w:r>
      <w:hyperlink r:id="rId49">
        <w:r>
          <w:rPr>
            <w:color w:val="176961"/>
            <w:sz w:val="18"/>
            <w:u w:val="single"/>
          </w:rPr>
          <w:t>[R024]</w:t>
        </w:r>
      </w:hyperlink>
    </w:p>
    <w:p>
      <w:pPr>
        <w:pStyle w:val="Heading2"/>
      </w:pPr>
      <w:r>
        <w:t>Образы, материя и рецепция</w:t>
      </w:r>
    </w:p>
    <w:p>
      <w:r>
        <w:t>Project Gutenberg, ebook 49917, предоставляет старый английский перевод Mary H. Allies (1898): три защитительные речи об образах и три проповеди на Успение. Это лучший найденный старый бесплатный пакет, но заявление Public Domain относится к США; международный статус и редакционно-цифровые условия не сведены к безусловному MIRROR_OK. Современный научный вариант речей об образах — перевод Andrew Louth, SVS Press.</w:t>
      </w:r>
      <w:r>
        <w:t xml:space="preserve"> </w:t>
      </w:r>
      <w:hyperlink r:id="rId50">
        <w:r>
          <w:rPr>
            <w:color w:val="176961"/>
            <w:sz w:val="18"/>
            <w:u w:val="single"/>
          </w:rPr>
          <w:t>[R016]</w:t>
        </w:r>
      </w:hyperlink>
      <w:r>
        <w:t xml:space="preserve"> </w:t>
      </w:r>
      <w:hyperlink r:id="rId51">
        <w:r>
          <w:rPr>
            <w:color w:val="176961"/>
            <w:sz w:val="18"/>
            <w:u w:val="single"/>
          </w:rPr>
          <w:t>[R029]</w:t>
        </w:r>
      </w:hyperlink>
    </w:p>
    <w:p>
      <w:r>
        <w:t>PG 94 сохранён как исторический греко-латинский путь. На странице Commons есть Public Domain Mark, однако это не лицензия; происхождение конкретного скана и его полная проверка остаются открытыми. Сильные разрешения на зеркалирование не выведены только из возраста Миня или наличия PDF.</w:t>
      </w:r>
      <w:r>
        <w:t xml:space="preserve"> </w:t>
      </w:r>
      <w:hyperlink r:id="rId52">
        <w:r>
          <w:rPr>
            <w:color w:val="176961"/>
            <w:sz w:val="18"/>
            <w:u w:val="single"/>
          </w:rPr>
          <w:t>[R040]</w:t>
        </w:r>
      </w:hyperlink>
    </w:p>
    <w:p>
      <w:pPr>
        <w:pStyle w:val="Heading2"/>
      </w:pPr>
      <w:r>
        <w:t>Славянские свидетели и Sacra Parallela</w:t>
      </w:r>
    </w:p>
    <w:p>
      <w:r>
        <w:t>НЭБ описывает «Небеса» в переводе Иоанна Экзарха по рукописи 1592/1606 годов, объёмом 243 листа, и предлагает PDF около 120 МБ. Карточка открылась, сам файл не был получен; права на повторное размещение не установлены. Это отдельный свидетель славянской передачи, а не автоматически полный греческий трактат во всех ста главах.</w:t>
      </w:r>
      <w:r>
        <w:t xml:space="preserve"> </w:t>
      </w:r>
      <w:hyperlink r:id="rId14">
        <w:r>
          <w:rPr>
            <w:color w:val="176961"/>
            <w:sz w:val="18"/>
            <w:u w:val="single"/>
          </w:rPr>
          <w:t>[R041]</w:t>
        </w:r>
      </w:hyperlink>
    </w:p>
    <w:p>
      <w:r>
        <w:t>Славянская Dialectica XVII века, РГБ, ф. 247, № 115, 198 листов, получила собственную запись. Здесь подтверждена карточка, но не работа цифрового просмотрщика, поэтому режим доступа — metadata_only. Дата списка не использована как дата возникновения перевода.</w:t>
      </w:r>
      <w:r>
        <w:t xml:space="preserve"> </w:t>
      </w:r>
      <w:hyperlink r:id="rId16">
        <w:r>
          <w:rPr>
            <w:color w:val="176961"/>
            <w:sz w:val="18"/>
            <w:u w:val="single"/>
          </w:rPr>
          <w:t>[R048]</w:t>
        </w:r>
      </w:hyperlink>
    </w:p>
    <w:p>
      <w:r>
        <w:t>Для Sacra Parallela, традиционно связываемых с Иоанном, обнаружена карточка INHA рукописи BnF Grec 923. Её CC BY 4.0 относится к метаданным карточки. Она не даёт права распространять полный набор фотографий BnF. Проверка факсимиле и современной критической серии вынесена в G010–011.</w:t>
      </w:r>
      <w:r>
        <w:t xml:space="preserve"> </w:t>
      </w:r>
      <w:hyperlink r:id="rId18">
        <w:r>
          <w:rPr>
            <w:color w:val="176961"/>
            <w:sz w:val="18"/>
            <w:u w:val="single"/>
          </w:rPr>
          <w:t>[R054]</w:t>
        </w:r>
      </w:hyperlink>
    </w:p>
    <w:p>
      <w:r>
        <w:t>Приоритет дальнейшего поиска — конкретные греческие кодексы РНБ Greek 73 и BnF Grec 1116, критические Dialectica и De haeresibus, латинские версии Бургундио и Цербана, арабские и грузинские переводы. Они не исключены по хронологии; неустановленные цифровые входы сохранены в G002–003, G012–015, G023.</w:t>
      </w:r>
    </w:p>
    <w:p>
      <w:r>
        <w:br w:type="page"/>
      </w:r>
    </w:p>
    <w:p>
      <w:pPr>
        <w:pStyle w:val="Heading1"/>
      </w:pPr>
      <w:r>
        <w:t>Лучшие пути: Фотий, Арефа и школа</w:t>
      </w:r>
    </w:p>
    <w:p>
      <w:pPr>
        <w:pStyle w:val="Heading2"/>
      </w:pPr>
      <w:r>
        <w:t>Bibliotheca</w:t>
      </w:r>
    </w:p>
    <w:p>
      <w:r>
        <w:t>Для греческого текста наиболее полезен найденный университетский скан издания Immanuel Bekker (1824), загруженный библиотекой University of Toronto. Проверенный OCR доходит до codex 280: это полный исторический издательский маршрут, а не лишь первая часть Freese. Греческий OCR сильно искажён; его следует использовать для навигации с опорой на скан, а не как готовую транскрипцию.</w:t>
      </w:r>
      <w:r>
        <w:t xml:space="preserve"> </w:t>
      </w:r>
      <w:hyperlink r:id="rId53">
        <w:r>
          <w:rPr>
            <w:color w:val="176961"/>
            <w:sz w:val="18"/>
            <w:u w:val="single"/>
          </w:rPr>
          <w:t>[R042]</w:t>
        </w:r>
      </w:hyperlink>
    </w:p>
    <w:p>
      <w:r>
        <w:t>Английский Freese (1920) на Tertullian.org покрывает codices 1–165. Отдельные переводы последующих кодексов связаны с René Henry и разрешениями, полученными Roger Pearse. Они не образуют доказанного полного перевода 166–280; в частности, номера 242–256 нельзя считать открытыми только по общему оглавлению. Разрешение конкретному публикатору не является автоматически разрешением ToS.</w:t>
      </w:r>
      <w:r>
        <w:t xml:space="preserve"> </w:t>
      </w:r>
      <w:hyperlink r:id="rId54">
        <w:r>
          <w:rPr>
            <w:color w:val="176961"/>
            <w:sz w:val="18"/>
            <w:u w:val="single"/>
          </w:rPr>
          <w:t>[R011]</w:t>
        </w:r>
      </w:hyperlink>
      <w:r>
        <w:t xml:space="preserve"> </w:t>
      </w:r>
      <w:hyperlink r:id="rId55">
        <w:r>
          <w:rPr>
            <w:color w:val="176961"/>
            <w:sz w:val="18"/>
            <w:u w:val="single"/>
          </w:rPr>
          <w:t>[R012]</w:t>
        </w:r>
      </w:hyperlink>
    </w:p>
    <w:p>
      <w:r>
        <w:t>Современная французско-греческая серия Henry сохранена по конкретным томам: I — codices 1–83; III — 186–222; VI — 242–245. Том III включает чтение Максима у Фотия и testimonia об Энесидеме и Иерокле; том VI — Дамаския, Гимерия, Диодора и Плутарха. Это сильные научные маршруты покупки, не заменённые свободными пересказами.</w:t>
      </w:r>
      <w:r>
        <w:t xml:space="preserve"> </w:t>
      </w:r>
      <w:hyperlink r:id="rId56">
        <w:r>
          <w:rPr>
            <w:color w:val="176961"/>
            <w:sz w:val="18"/>
            <w:u w:val="single"/>
          </w:rPr>
          <w:t>[R019]</w:t>
        </w:r>
      </w:hyperlink>
      <w:r>
        <w:t xml:space="preserve"> </w:t>
      </w:r>
      <w:hyperlink r:id="rId30">
        <w:r>
          <w:rPr>
            <w:color w:val="176961"/>
            <w:sz w:val="18"/>
            <w:u w:val="single"/>
          </w:rPr>
          <w:t>[R020]</w:t>
        </w:r>
      </w:hyperlink>
      <w:r>
        <w:t xml:space="preserve"> </w:t>
      </w:r>
      <w:hyperlink r:id="rId33">
        <w:r>
          <w:rPr>
            <w:color w:val="176961"/>
            <w:sz w:val="18"/>
            <w:u w:val="single"/>
          </w:rPr>
          <w:t>[R053]</w:t>
        </w:r>
      </w:hyperlink>
    </w:p>
    <w:p>
      <w:pPr>
        <w:pStyle w:val="Heading2"/>
      </w:pPr>
      <w:r>
        <w:t>Amphilochia, письма и Lexicon</w:t>
      </w:r>
    </w:p>
    <w:p>
      <w:r>
        <w:t>Для греческих Epistulae et Amphilochia Laourdas–Westerink найден реальный библиотечный вход с условиями выдачи учреждения; доступность конкретному пользователю не установлена. Английская Amphilochia Andrew Pino представлена томом I, а не полным корпусом. Старое издание Oikonomos (1858) найдено в институциональной выдаче Anemi, но карточка не открылась и оставлена в G005.</w:t>
      </w:r>
      <w:r>
        <w:t xml:space="preserve"> </w:t>
      </w:r>
      <w:hyperlink r:id="rId57">
        <w:r>
          <w:rPr>
            <w:color w:val="176961"/>
            <w:sz w:val="18"/>
            <w:u w:val="single"/>
          </w:rPr>
          <w:t>[R006]</w:t>
        </w:r>
      </w:hyperlink>
      <w:r>
        <w:t xml:space="preserve"> </w:t>
      </w:r>
      <w:hyperlink r:id="rId58">
        <w:r>
          <w:rPr>
            <w:color w:val="176961"/>
            <w:sz w:val="18"/>
            <w:u w:val="single"/>
          </w:rPr>
          <w:t>[R014]</w:t>
        </w:r>
      </w:hyperlink>
    </w:p>
    <w:p>
      <w:r>
        <w:t>Для Lexicon есть старое издание Naber: университетский Google-скан и отдельный том II из Illinois. Том II не назван всем лексиконом. Современный Theodoridis отражён библиотечной записью томов I–III; проверка текущей полноты всей серии и отдельных новых томов остаётся G018.</w:t>
      </w:r>
      <w:r>
        <w:t xml:space="preserve"> </w:t>
      </w:r>
      <w:hyperlink r:id="rId59">
        <w:r>
          <w:rPr>
            <w:color w:val="176961"/>
            <w:sz w:val="18"/>
            <w:u w:val="single"/>
          </w:rPr>
          <w:t>[R021]</w:t>
        </w:r>
      </w:hyperlink>
      <w:r>
        <w:t xml:space="preserve"> </w:t>
      </w:r>
      <w:hyperlink r:id="rId60">
        <w:r>
          <w:rPr>
            <w:color w:val="176961"/>
            <w:sz w:val="18"/>
            <w:u w:val="single"/>
          </w:rPr>
          <w:t>[R022]</w:t>
        </w:r>
      </w:hyperlink>
      <w:r>
        <w:t xml:space="preserve"> </w:t>
      </w:r>
      <w:hyperlink r:id="rId61">
        <w:r>
          <w:rPr>
            <w:color w:val="176961"/>
            <w:sz w:val="18"/>
            <w:u w:val="single"/>
          </w:rPr>
          <w:t>[R023]</w:t>
        </w:r>
      </w:hyperlink>
    </w:p>
    <w:p>
      <w:pPr>
        <w:pStyle w:val="Heading2"/>
      </w:pPr>
      <w:r>
        <w:t>Арефа и Лев</w:t>
      </w:r>
    </w:p>
    <w:p>
      <w:r>
        <w:t>Clarke 39 даёт прямой рукописный вход к Платону и схолиям, с подтверждённой CC BY-NC 4.0. Scripta minora Арефы представлены каталогом двухтомного издания Westerink; полного текста карточка не даёт. Для Евклида, D’Orville 301, официальное описание Clay Mathematics Institute и предметный указатель подтверждены, но права изображений требуют отдельного рассмотрения.</w:t>
      </w:r>
      <w:r>
        <w:t xml:space="preserve"> </w:t>
      </w:r>
      <w:hyperlink r:id="rId34">
        <w:r>
          <w:rPr>
            <w:color w:val="176961"/>
            <w:sz w:val="18"/>
            <w:u w:val="single"/>
          </w:rPr>
          <w:t>[R013]</w:t>
        </w:r>
      </w:hyperlink>
      <w:r>
        <w:t xml:space="preserve"> </w:t>
      </w:r>
      <w:hyperlink r:id="rId62">
        <w:r>
          <w:rPr>
            <w:color w:val="176961"/>
            <w:sz w:val="18"/>
            <w:u w:val="single"/>
          </w:rPr>
          <w:t>[R043]</w:t>
        </w:r>
      </w:hyperlink>
      <w:r>
        <w:t xml:space="preserve"> </w:t>
      </w:r>
      <w:hyperlink r:id="rId35">
        <w:r>
          <w:rPr>
            <w:color w:val="176961"/>
            <w:sz w:val="18"/>
            <w:u w:val="single"/>
          </w:rPr>
          <w:t>[R049]</w:t>
        </w:r>
      </w:hyperlink>
    </w:p>
    <w:p>
      <w:r>
        <w:t>Испанская публикация Matilde Casas Olea (2024) представляет перевод стихов 39–215 произведения на Иова, приписываемого Льву. Статья открывается, загрузка PDF не подтверждена успешным получением. Ни весь текст, ни бесспорное авторство Льва из этого не выводятся. Полное издание Westerink 1986 года сохранено как адресный пробел G016.</w:t>
      </w:r>
      <w:r>
        <w:t xml:space="preserve"> </w:t>
      </w:r>
      <w:hyperlink r:id="rId63">
        <w:r>
          <w:rPr>
            <w:color w:val="176961"/>
            <w:sz w:val="18"/>
            <w:u w:val="single"/>
          </w:rPr>
          <w:t>[R044]</w:t>
        </w:r>
      </w:hyperlink>
    </w:p>
    <w:p>
      <w:pPr>
        <w:pStyle w:val="Heading2"/>
      </w:pPr>
      <w:r>
        <w:t>Машиночитаемый слой</w:t>
      </w:r>
    </w:p>
    <w:p>
      <w:r>
        <w:t>Наиболее чистые греческие машинные входы — TEI «Исагоги» Порфирия и комментария Аммония: лицензии прочитаны непосредственно в файлах. First1KGreek учтён один раз как инфраструктура, а не сотнями файлов. TLG полезен для институционального чтения, но не разрешает выгружать полные тексты; HMML предоставляет каталог и чтение рукописей по правилам сервиса, не общее право на повторное размещение изображений.</w:t>
      </w:r>
      <w:r>
        <w:t xml:space="preserve"> </w:t>
      </w:r>
      <w:hyperlink r:id="rId21">
        <w:r>
          <w:rPr>
            <w:color w:val="176961"/>
            <w:sz w:val="18"/>
            <w:u w:val="single"/>
          </w:rPr>
          <w:t>[R032]</w:t>
        </w:r>
      </w:hyperlink>
      <w:r>
        <w:t xml:space="preserve"> </w:t>
      </w:r>
      <w:hyperlink r:id="rId22">
        <w:r>
          <w:rPr>
            <w:color w:val="176961"/>
            <w:sz w:val="18"/>
            <w:u w:val="single"/>
          </w:rPr>
          <w:t>[R033]</w:t>
        </w:r>
      </w:hyperlink>
      <w:r>
        <w:t xml:space="preserve"> </w:t>
      </w:r>
      <w:hyperlink r:id="rId64">
        <w:r>
          <w:rPr>
            <w:color w:val="176961"/>
            <w:sz w:val="18"/>
            <w:u w:val="single"/>
          </w:rPr>
          <w:t>[R056]</w:t>
        </w:r>
      </w:hyperlink>
      <w:r>
        <w:t xml:space="preserve"> </w:t>
      </w:r>
      <w:hyperlink r:id="rId65">
        <w:r>
          <w:rPr>
            <w:color w:val="176961"/>
            <w:sz w:val="18"/>
            <w:u w:val="single"/>
          </w:rPr>
          <w:t>[R057]</w:t>
        </w:r>
      </w:hyperlink>
      <w:r>
        <w:t xml:space="preserve"> </w:t>
      </w:r>
      <w:hyperlink r:id="rId66">
        <w:r>
          <w:rPr>
            <w:color w:val="176961"/>
            <w:sz w:val="18"/>
            <w:u w:val="single"/>
          </w:rPr>
          <w:t>[R058]</w:t>
        </w:r>
      </w:hyperlink>
    </w:p>
    <w:p>
      <w:r>
        <w:br w:type="page"/>
      </w:r>
    </w:p>
    <w:p>
      <w:pPr>
        <w:pStyle w:val="Heading1"/>
      </w:pPr>
      <w:r>
        <w:t>4. Карта прав и использования</w:t>
      </w:r>
    </w:p>
    <w:p>
      <w:r>
        <w:t>Все разрешающие теги относятся только к rights_scope и coverage своей записи. Права на древнее произведение, современную версию, цифровой объект и сайт разделены. Некоммерческий характер ToS не заменяет лицензию и не отменяет условий доступа.</w:t>
      </w:r>
    </w:p>
    <w:tbl>
      <w:tblPr>
        <w:tblW w:type="auto" w:w="0"/>
        <w:tblLayout w:type="fixed"/>
        <w:tblLook w:firstColumn="1" w:firstRow="1" w:lastColumn="0" w:lastRow="0" w:noHBand="0" w:noVBand="1" w:val="04A0"/>
      </w:tblPr>
      <w:tblGrid>
        <w:gridCol w:w="1701"/>
        <w:gridCol w:w="4195"/>
        <w:gridCol w:w="3855"/>
      </w:tblGrid>
      <w:tr>
        <w:trPr>
          <w:cantSplit/>
          <w:tblHeader/>
        </w:trPr>
        <w:tc>
          <w:tcPr>
            <w:tcW w:type="dxa" w:w="1701"/>
            <w:vAlign w:val="top"/>
            <w:shd w:fill="17384C"/>
          </w:tcPr>
          <w:p>
            <w:pPr>
              <w:spacing w:before="60" w:after="80" w:line="250" w:lineRule="auto"/>
            </w:pPr>
            <w:r>
              <w:rPr>
                <w:b/>
                <w:color w:val="FFFFFF"/>
                <w:sz w:val="18"/>
              </w:rPr>
              <w:t>Группа</w:t>
            </w:r>
          </w:p>
        </w:tc>
        <w:tc>
          <w:tcPr>
            <w:tcW w:type="dxa" w:w="4195"/>
            <w:vAlign w:val="top"/>
            <w:shd w:fill="17384C"/>
          </w:tcPr>
          <w:p>
            <w:pPr>
              <w:spacing w:before="60" w:after="80" w:line="250" w:lineRule="auto"/>
            </w:pPr>
            <w:r>
              <w:rPr>
                <w:b/>
                <w:color w:val="FFFFFF"/>
                <w:sz w:val="18"/>
              </w:rPr>
              <w:t>Что подтверждено</w:t>
            </w:r>
          </w:p>
        </w:tc>
        <w:tc>
          <w:tcPr>
            <w:tcW w:type="dxa" w:w="3855"/>
            <w:vAlign w:val="top"/>
            <w:shd w:fill="17384C"/>
          </w:tcPr>
          <w:p>
            <w:pPr>
              <w:spacing w:before="60" w:after="80" w:line="250" w:lineRule="auto"/>
            </w:pPr>
            <w:r>
              <w:rPr>
                <w:b/>
                <w:color w:val="FFFFFF"/>
                <w:sz w:val="18"/>
              </w:rPr>
              <w:t>Что не следует автоматически</w:t>
            </w:r>
          </w:p>
        </w:tc>
      </w:tr>
      <w:tr>
        <w:trPr>
          <w:cantSplit/>
        </w:trPr>
        <w:tc>
          <w:tcPr>
            <w:tcW w:type="dxa" w:w="1701"/>
            <w:vAlign w:val="top"/>
            <w:shd w:fill="F0F5F6"/>
          </w:tcPr>
          <w:p>
            <w:pPr>
              <w:spacing w:before="60" w:after="80" w:line="250" w:lineRule="auto"/>
            </w:pPr>
            <w:r>
              <w:rPr>
                <w:sz w:val="18"/>
              </w:rPr>
              <w:t>Два греческих TEI</w:t>
              <w:br/>
              <w:t>R032–033</w:t>
            </w:r>
          </w:p>
        </w:tc>
        <w:tc>
          <w:tcPr>
            <w:tcW w:type="dxa" w:w="4195"/>
            <w:vAlign w:val="top"/>
            <w:shd w:fill="F0F5F6"/>
          </w:tcPr>
          <w:p>
            <w:pPr>
              <w:spacing w:before="60" w:after="80" w:line="250" w:lineRule="auto"/>
            </w:pPr>
            <w:r>
              <w:rPr>
                <w:sz w:val="18"/>
              </w:rPr>
              <w:t>CC BY-SA 4.0: повторное использование с атрибуцией, уведомлением об изменениях и сохранением условий ShareAlike для производного материала. Индексация и собственный перевод — в пределах этих текстов.</w:t>
            </w:r>
          </w:p>
        </w:tc>
        <w:tc>
          <w:tcPr>
            <w:tcW w:type="dxa" w:w="3855"/>
            <w:vAlign w:val="top"/>
            <w:shd w:fill="F0F5F6"/>
          </w:tcPr>
          <w:p>
            <w:pPr>
              <w:spacing w:before="60" w:after="80" w:line="250" w:lineRule="auto"/>
            </w:pPr>
            <w:r>
              <w:rPr>
                <w:sz w:val="18"/>
              </w:rPr>
              <w:t>Не лицензирует сторонние сканы и весь комментарийный корпус. Не устанавливает заранее правовой статус обученной модели или любого её результата.</w:t>
            </w:r>
          </w:p>
        </w:tc>
      </w:tr>
      <w:tr>
        <w:trPr>
          <w:cantSplit/>
        </w:trPr>
        <w:tc>
          <w:tcPr>
            <w:tcW w:type="dxa" w:w="1701"/>
            <w:vAlign w:val="top"/>
            <w:shd w:fill="FFFFFF"/>
          </w:tcPr>
          <w:p>
            <w:pPr>
              <w:spacing w:before="60" w:after="80" w:line="250" w:lineRule="auto"/>
            </w:pPr>
            <w:r>
              <w:rPr>
                <w:sz w:val="18"/>
              </w:rPr>
              <w:t>Clarke 39</w:t>
              <w:br/>
              <w:t>R013</w:t>
            </w:r>
          </w:p>
        </w:tc>
        <w:tc>
          <w:tcPr>
            <w:tcW w:type="dxa" w:w="4195"/>
            <w:vAlign w:val="top"/>
            <w:shd w:fill="FFFFFF"/>
          </w:tcPr>
          <w:p>
            <w:pPr>
              <w:spacing w:before="60" w:after="80" w:line="250" w:lineRule="auto"/>
            </w:pPr>
            <w:r>
              <w:rPr>
                <w:sz w:val="18"/>
              </w:rPr>
              <w:t>CC BY-NC 4.0 для предоставленных изображений конкретного кодекса: некоммерческое зеркалирование, OCR, поиск и работа над собственным переводом с атрибуцией.</w:t>
            </w:r>
          </w:p>
        </w:tc>
        <w:tc>
          <w:tcPr>
            <w:tcW w:type="dxa" w:w="3855"/>
            <w:vAlign w:val="top"/>
            <w:shd w:fill="FFFFFF"/>
          </w:tcPr>
          <w:p>
            <w:pPr>
              <w:spacing w:before="60" w:after="80" w:line="250" w:lineRule="auto"/>
            </w:pPr>
            <w:r>
              <w:rPr>
                <w:sz w:val="18"/>
              </w:rPr>
              <w:t>Не охватывает все произведения Платона, иные рукописи и коммерческое использование. Не доказывает авторство Арефы для каждой схолии.</w:t>
            </w:r>
          </w:p>
        </w:tc>
      </w:tr>
      <w:tr>
        <w:trPr>
          <w:cantSplit/>
        </w:trPr>
        <w:tc>
          <w:tcPr>
            <w:tcW w:type="dxa" w:w="1701"/>
            <w:vAlign w:val="top"/>
            <w:shd w:fill="F0F5F6"/>
          </w:tcPr>
          <w:p>
            <w:pPr>
              <w:spacing w:before="60" w:after="80" w:line="250" w:lineRule="auto"/>
            </w:pPr>
            <w:r>
              <w:rPr>
                <w:sz w:val="18"/>
              </w:rPr>
              <w:t>Сирийский Praktikos S1</w:t>
              <w:br/>
              <w:t>R050</w:t>
            </w:r>
          </w:p>
        </w:tc>
        <w:tc>
          <w:tcPr>
            <w:tcW w:type="dxa" w:w="4195"/>
            <w:vAlign w:val="top"/>
            <w:shd w:fill="F0F5F6"/>
          </w:tcPr>
          <w:p>
            <w:pPr>
              <w:spacing w:before="60" w:after="80" w:line="250" w:lineRule="auto"/>
            </w:pPr>
            <w:r>
              <w:rPr>
                <w:sz w:val="18"/>
              </w:rPr>
              <w:t>CC BY 4.0 на транскрипцию конкретного свидетеля: распространение с атрибуцией, полнотекстовый индекс, embeddings и собственный перевод доступного слоя.</w:t>
            </w:r>
          </w:p>
        </w:tc>
        <w:tc>
          <w:tcPr>
            <w:tcW w:type="dxa" w:w="3855"/>
            <w:vAlign w:val="top"/>
            <w:shd w:fill="F0F5F6"/>
          </w:tcPr>
          <w:p>
            <w:pPr>
              <w:spacing w:before="60" w:after="80" w:line="250" w:lineRule="auto"/>
            </w:pPr>
            <w:r>
              <w:rPr>
                <w:sz w:val="18"/>
              </w:rPr>
              <w:t>Не переносится на фотографии British Library, сирийскую версию S2 или защищённое современное греческое издание.</w:t>
            </w:r>
          </w:p>
        </w:tc>
      </w:tr>
      <w:tr>
        <w:trPr>
          <w:cantSplit/>
        </w:trPr>
        <w:tc>
          <w:tcPr>
            <w:tcW w:type="dxa" w:w="1701"/>
            <w:vAlign w:val="top"/>
            <w:shd w:fill="FFFFFF"/>
          </w:tcPr>
          <w:p>
            <w:pPr>
              <w:spacing w:before="60" w:after="80" w:line="250" w:lineRule="auto"/>
            </w:pPr>
            <w:r>
              <w:rPr>
                <w:sz w:val="18"/>
              </w:rPr>
              <w:t>Карточка INHA</w:t>
              <w:br/>
              <w:t>R054</w:t>
            </w:r>
          </w:p>
        </w:tc>
        <w:tc>
          <w:tcPr>
            <w:tcW w:type="dxa" w:w="4195"/>
            <w:vAlign w:val="top"/>
            <w:shd w:fill="FFFFFF"/>
          </w:tcPr>
          <w:p>
            <w:pPr>
              <w:spacing w:before="60" w:after="80" w:line="250" w:lineRule="auto"/>
            </w:pPr>
            <w:r>
              <w:rPr>
                <w:sz w:val="18"/>
              </w:rPr>
              <w:t>CC BY 4.0 на метаданные о Sacra Parallela / Grec 923. Возможна публикация этих метаданных с атрибуцией.</w:t>
            </w:r>
          </w:p>
        </w:tc>
        <w:tc>
          <w:tcPr>
            <w:tcW w:type="dxa" w:w="3855"/>
            <w:vAlign w:val="top"/>
            <w:shd w:fill="FFFFFF"/>
          </w:tcPr>
          <w:p>
            <w:pPr>
              <w:spacing w:before="60" w:after="80" w:line="250" w:lineRule="auto"/>
            </w:pPr>
            <w:r>
              <w:rPr>
                <w:sz w:val="18"/>
              </w:rPr>
              <w:t>Не разрешает зеркалировать изображения BnF и не предоставляет полный текст Sacra Parallela.</w:t>
            </w:r>
          </w:p>
        </w:tc>
      </w:tr>
      <w:tr>
        <w:trPr>
          <w:cantSplit/>
        </w:trPr>
        <w:tc>
          <w:tcPr>
            <w:tcW w:type="dxa" w:w="1701"/>
            <w:vAlign w:val="top"/>
            <w:shd w:fill="F0F5F6"/>
          </w:tcPr>
          <w:p>
            <w:pPr>
              <w:spacing w:before="60" w:after="80" w:line="250" w:lineRule="auto"/>
            </w:pPr>
            <w:r>
              <w:rPr>
                <w:sz w:val="18"/>
              </w:rPr>
              <w:t>Старые издания и бесплатные сайты</w:t>
            </w:r>
          </w:p>
        </w:tc>
        <w:tc>
          <w:tcPr>
            <w:tcW w:type="dxa" w:w="4195"/>
            <w:vAlign w:val="top"/>
            <w:shd w:fill="F0F5F6"/>
          </w:tcPr>
          <w:p>
            <w:pPr>
              <w:spacing w:before="60" w:after="80" w:line="250" w:lineRule="auto"/>
            </w:pPr>
            <w:r>
              <w:rPr>
                <w:sz w:val="18"/>
              </w:rPr>
              <w:t>Сохраняются разрешённые чтение и предлагаемые загрузки; в ряде случаев — личная исследовательская копия. Проверка юрисдикции и условий повторной публикации остаётся отдельной.</w:t>
            </w:r>
          </w:p>
        </w:tc>
        <w:tc>
          <w:tcPr>
            <w:tcW w:type="dxa" w:w="3855"/>
            <w:vAlign w:val="top"/>
            <w:shd w:fill="F0F5F6"/>
          </w:tcPr>
          <w:p>
            <w:pPr>
              <w:spacing w:before="60" w:after="80" w:line="250" w:lineRule="auto"/>
            </w:pPr>
            <w:r>
              <w:rPr>
                <w:sz w:val="18"/>
              </w:rPr>
              <w:t>PDM, американский Public Domain, кнопка Download и бесплатное чтение не объединяются в универсальное разрешение.</w:t>
            </w:r>
          </w:p>
        </w:tc>
      </w:tr>
      <w:tr>
        <w:trPr>
          <w:cantSplit/>
        </w:trPr>
        <w:tc>
          <w:tcPr>
            <w:tcW w:type="dxa" w:w="1701"/>
            <w:vAlign w:val="top"/>
            <w:shd w:fill="FFFFFF"/>
          </w:tcPr>
          <w:p>
            <w:pPr>
              <w:spacing w:before="60" w:after="80" w:line="250" w:lineRule="auto"/>
            </w:pPr>
            <w:r>
              <w:rPr>
                <w:sz w:val="18"/>
              </w:rPr>
              <w:t>Современные издания и сервисы</w:t>
            </w:r>
          </w:p>
        </w:tc>
        <w:tc>
          <w:tcPr>
            <w:tcW w:type="dxa" w:w="4195"/>
            <w:vAlign w:val="top"/>
            <w:shd w:fill="FFFFFF"/>
          </w:tcPr>
          <w:p>
            <w:pPr>
              <w:spacing w:before="60" w:after="80" w:line="250" w:lineRule="auto"/>
            </w:pPr>
            <w:r>
              <w:rPr>
                <w:sz w:val="18"/>
              </w:rPr>
              <w:t>Покупка, библиотечная выдача, institutional_access, preview и библиографические карточки. Внешние ссылки — предпочтительный первый слой ToS.</w:t>
            </w:r>
          </w:p>
        </w:tc>
        <w:tc>
          <w:tcPr>
            <w:tcW w:type="dxa" w:w="3855"/>
            <w:vAlign w:val="top"/>
            <w:shd w:fill="FFFFFF"/>
          </w:tcPr>
          <w:p>
            <w:pPr>
              <w:spacing w:before="60" w:after="80" w:line="250" w:lineRule="auto"/>
            </w:pPr>
            <w:r>
              <w:rPr>
                <w:sz w:val="18"/>
              </w:rPr>
              <w:t>Не дают полного экспорта, зеркалирования, OCR либо публичного индекса без основания в применимых условиях.</w:t>
            </w:r>
          </w:p>
        </w:tc>
      </w:tr>
    </w:tbl>
    <w:p>
      <w:pPr>
        <w:spacing w:after="0"/>
      </w:pPr>
    </w:p>
    <w:p>
      <w:r>
        <w:t>Официальные основания открытых слоёв:</w:t>
      </w:r>
      <w:r>
        <w:t xml:space="preserve"> </w:t>
      </w:r>
      <w:hyperlink r:id="rId67">
        <w:r>
          <w:rPr>
            <w:color w:val="176961"/>
            <w:sz w:val="18"/>
            <w:u w:val="single"/>
          </w:rPr>
          <w:t>[R013]</w:t>
        </w:r>
      </w:hyperlink>
      <w:r>
        <w:t xml:space="preserve"> </w:t>
      </w:r>
      <w:hyperlink r:id="rId21">
        <w:r>
          <w:rPr>
            <w:color w:val="176961"/>
            <w:sz w:val="18"/>
            <w:u w:val="single"/>
          </w:rPr>
          <w:t>[R032]</w:t>
        </w:r>
      </w:hyperlink>
      <w:r>
        <w:t xml:space="preserve"> </w:t>
      </w:r>
      <w:hyperlink r:id="rId22">
        <w:r>
          <w:rPr>
            <w:color w:val="176961"/>
            <w:sz w:val="18"/>
            <w:u w:val="single"/>
          </w:rPr>
          <w:t>[R033]</w:t>
        </w:r>
      </w:hyperlink>
      <w:r>
        <w:t xml:space="preserve"> </w:t>
      </w:r>
      <w:hyperlink r:id="rId68">
        <w:r>
          <w:rPr>
            <w:color w:val="176961"/>
            <w:sz w:val="18"/>
            <w:u w:val="single"/>
          </w:rPr>
          <w:t>[R050]</w:t>
        </w:r>
      </w:hyperlink>
      <w:r>
        <w:t xml:space="preserve"> </w:t>
      </w:r>
      <w:hyperlink r:id="rId18">
        <w:r>
          <w:rPr>
            <w:color w:val="176961"/>
            <w:sz w:val="18"/>
            <w:u w:val="single"/>
          </w:rPr>
          <w:t>[R054]</w:t>
        </w:r>
      </w:hyperlink>
    </w:p>
    <w:p>
      <w:r>
        <w:t>Условия CCEL, BKV, MIT, HMML и TLG необходимо читать раздельно: различаются личное копирование, образовательное распространение, форматирование сайта и права на исходный текст.</w:t>
      </w:r>
      <w:r>
        <w:t xml:space="preserve"> </w:t>
      </w:r>
      <w:hyperlink r:id="rId69">
        <w:r>
          <w:rPr>
            <w:color w:val="176961"/>
            <w:sz w:val="18"/>
            <w:u w:val="single"/>
          </w:rPr>
          <w:t>[R036]</w:t>
        </w:r>
      </w:hyperlink>
      <w:r>
        <w:t xml:space="preserve"> </w:t>
      </w:r>
      <w:hyperlink r:id="rId70">
        <w:r>
          <w:rPr>
            <w:color w:val="176961"/>
            <w:sz w:val="18"/>
            <w:u w:val="single"/>
          </w:rPr>
          <w:t>[R039]</w:t>
        </w:r>
      </w:hyperlink>
      <w:r>
        <w:t xml:space="preserve"> </w:t>
      </w:r>
      <w:hyperlink r:id="rId71">
        <w:r>
          <w:rPr>
            <w:color w:val="176961"/>
            <w:sz w:val="18"/>
            <w:u w:val="single"/>
          </w:rPr>
          <w:t>[R052]</w:t>
        </w:r>
      </w:hyperlink>
      <w:r>
        <w:t xml:space="preserve"> </w:t>
      </w:r>
      <w:hyperlink r:id="rId65">
        <w:r>
          <w:rPr>
            <w:color w:val="176961"/>
            <w:sz w:val="18"/>
            <w:u w:val="single"/>
          </w:rPr>
          <w:t>[R057]</w:t>
        </w:r>
      </w:hyperlink>
      <w:r>
        <w:t xml:space="preserve"> </w:t>
      </w:r>
      <w:hyperlink r:id="rId72">
        <w:r>
          <w:rPr>
            <w:color w:val="176961"/>
            <w:sz w:val="18"/>
            <w:u w:val="single"/>
          </w:rPr>
          <w:t>[R058]</w:t>
        </w:r>
      </w:hyperlink>
    </w:p>
    <w:p>
      <w:pPr>
        <w:pStyle w:val="Heading2"/>
      </w:pPr>
      <w:r>
        <w:t>Собственный перевод и пределы разрешения</w:t>
      </w:r>
    </w:p>
    <w:p>
      <w:r>
        <w:t>OWN_TRANSLATION_POSSIBLE выставлен только в четырёх записях: R013, R032, R033, R050. Это не разрешение переводить весь корпус T2-02. Для сирийского текста — только данная транскрипция свидетеля; для Clarke 39 — доступный рукописный слой и некоммерческие условия; для TEI — соответствующие греческие тексты и ShareAlike.</w:t>
      </w:r>
    </w:p>
    <w:p>
      <w:r>
        <w:t>Подтверждённого отдельного ND-слоя с разрешением распространять только неизменённые материалы не найдено; категория UNCHANGED_ONLY не заполнена искусственно. Публикация OCR, публичный полнотекстовый поиск и embeddings не объединены в единое разрешение. RIGHTS_REVIEW_REQUIRED блокирует автоматическое расширение положительных тегов на иные компоненты.</w:t>
      </w:r>
    </w:p>
    <w:p>
      <w:r>
        <w:br w:type="page"/>
      </w:r>
    </w:p>
    <w:p>
      <w:pPr>
        <w:pStyle w:val="Heading1"/>
      </w:pPr>
      <w:r>
        <w:t>5. Характерные правовые тонкости</w:t>
      </w:r>
    </w:p>
    <w:p>
      <w:pPr>
        <w:pStyle w:val="Heading2"/>
      </w:pPr>
      <w:r>
        <w:t>Древний текст, современная реконструкция</w:t>
      </w:r>
    </w:p>
    <w:p>
      <w:r>
        <w:t>Свобода исходного средневекового сочинения не делает свободными современный перевод, исследовательский аппарат, конъектуры и подготовленную редакцию. Поэтому Constas, Kotter, Henry, Theodoridis и новые переводы 2025–2026 годов сохранены как научно значимые защищённые варианты. Нельзя получить «чистую основу» собственного перевода, просто убрав имя редактора из современного файла.</w:t>
      </w:r>
      <w:r>
        <w:t xml:space="preserve"> </w:t>
      </w:r>
      <w:hyperlink r:id="rId19">
        <w:r>
          <w:rPr>
            <w:color w:val="176961"/>
            <w:sz w:val="18"/>
            <w:u w:val="single"/>
          </w:rPr>
          <w:t>[R001]</w:t>
        </w:r>
      </w:hyperlink>
      <w:r>
        <w:t xml:space="preserve"> </w:t>
      </w:r>
      <w:hyperlink r:id="rId38">
        <w:r>
          <w:rPr>
            <w:color w:val="176961"/>
            <w:sz w:val="18"/>
            <w:u w:val="single"/>
          </w:rPr>
          <w:t>[R003]</w:t>
        </w:r>
      </w:hyperlink>
      <w:r>
        <w:t xml:space="preserve"> </w:t>
      </w:r>
      <w:hyperlink r:id="rId57">
        <w:r>
          <w:rPr>
            <w:color w:val="176961"/>
            <w:sz w:val="18"/>
            <w:u w:val="single"/>
          </w:rPr>
          <w:t>[R006]</w:t>
        </w:r>
      </w:hyperlink>
      <w:r>
        <w:t xml:space="preserve"> </w:t>
      </w:r>
      <w:hyperlink r:id="rId61">
        <w:r>
          <w:rPr>
            <w:color w:val="176961"/>
            <w:sz w:val="18"/>
            <w:u w:val="single"/>
          </w:rPr>
          <w:t>[R023]</w:t>
        </w:r>
      </w:hyperlink>
      <w:r>
        <w:t xml:space="preserve"> </w:t>
      </w:r>
      <w:hyperlink r:id="rId47">
        <w:r>
          <w:rPr>
            <w:color w:val="176961"/>
            <w:sz w:val="18"/>
            <w:u w:val="single"/>
          </w:rPr>
          <w:t>[R038]</w:t>
        </w:r>
      </w:hyperlink>
      <w:r>
        <w:t xml:space="preserve"> </w:t>
      </w:r>
      <w:hyperlink r:id="rId15">
        <w:r>
          <w:rPr>
            <w:color w:val="176961"/>
            <w:sz w:val="18"/>
            <w:u w:val="single"/>
          </w:rPr>
          <w:t>[R045]</w:t>
        </w:r>
      </w:hyperlink>
      <w:r>
        <w:t xml:space="preserve"> </w:t>
      </w:r>
      <w:hyperlink r:id="rId33">
        <w:r>
          <w:rPr>
            <w:color w:val="176961"/>
            <w:sz w:val="18"/>
            <w:u w:val="single"/>
          </w:rPr>
          <w:t>[R053]</w:t>
        </w:r>
      </w:hyperlink>
    </w:p>
    <w:p>
      <w:pPr>
        <w:pStyle w:val="Heading2"/>
      </w:pPr>
      <w:r>
        <w:t>Public Domain Mark — не лицензия</w:t>
      </w:r>
    </w:p>
    <w:p>
      <w:r>
        <w:t>На старых PG и университетских сканах встречаются PDM и NOT_IN_COPYRIGHT. Они полезны, но не снимают вопрос о юрисдикции, происхождении скана, правах цифрового слоя и условиях массового скачивания. У Gutenberg проверенный статус относится прежде всего к США. Особая осторожность нужна для старых переводов, авторы которых жили значительно позже оригинального текста.</w:t>
      </w:r>
      <w:r>
        <w:t xml:space="preserve"> </w:t>
      </w:r>
      <w:hyperlink r:id="rId50">
        <w:r>
          <w:rPr>
            <w:color w:val="176961"/>
            <w:sz w:val="18"/>
            <w:u w:val="single"/>
          </w:rPr>
          <w:t>[R016]</w:t>
        </w:r>
      </w:hyperlink>
      <w:r>
        <w:t xml:space="preserve"> </w:t>
      </w:r>
      <w:hyperlink r:id="rId39">
        <w:r>
          <w:rPr>
            <w:color w:val="176961"/>
            <w:sz w:val="18"/>
            <w:u w:val="single"/>
          </w:rPr>
          <w:t>[R017]</w:t>
        </w:r>
      </w:hyperlink>
      <w:r>
        <w:t xml:space="preserve"> </w:t>
      </w:r>
      <w:hyperlink r:id="rId37">
        <w:r>
          <w:rPr>
            <w:color w:val="176961"/>
            <w:sz w:val="18"/>
            <w:u w:val="single"/>
          </w:rPr>
          <w:t>[R018]</w:t>
        </w:r>
      </w:hyperlink>
      <w:r>
        <w:t xml:space="preserve"> </w:t>
      </w:r>
      <w:hyperlink r:id="rId59">
        <w:r>
          <w:rPr>
            <w:color w:val="176961"/>
            <w:sz w:val="18"/>
            <w:u w:val="single"/>
          </w:rPr>
          <w:t>[R021]</w:t>
        </w:r>
      </w:hyperlink>
      <w:r>
        <w:t xml:space="preserve"> </w:t>
      </w:r>
      <w:hyperlink r:id="rId60">
        <w:r>
          <w:rPr>
            <w:color w:val="176961"/>
            <w:sz w:val="18"/>
            <w:u w:val="single"/>
          </w:rPr>
          <w:t>[R022]</w:t>
        </w:r>
      </w:hyperlink>
      <w:r>
        <w:t xml:space="preserve"> </w:t>
      </w:r>
      <w:hyperlink r:id="rId23">
        <w:r>
          <w:rPr>
            <w:color w:val="176961"/>
            <w:sz w:val="18"/>
            <w:u w:val="single"/>
          </w:rPr>
          <w:t>[R034]</w:t>
        </w:r>
      </w:hyperlink>
      <w:r>
        <w:t xml:space="preserve"> </w:t>
      </w:r>
      <w:hyperlink r:id="rId52">
        <w:r>
          <w:rPr>
            <w:color w:val="176961"/>
            <w:sz w:val="18"/>
            <w:u w:val="single"/>
          </w:rPr>
          <w:t>[R040]</w:t>
        </w:r>
      </w:hyperlink>
      <w:r>
        <w:t xml:space="preserve"> </w:t>
      </w:r>
      <w:hyperlink r:id="rId53">
        <w:r>
          <w:rPr>
            <w:color w:val="176961"/>
            <w:sz w:val="18"/>
            <w:u w:val="single"/>
          </w:rPr>
          <w:t>[R042]</w:t>
        </w:r>
      </w:hyperlink>
    </w:p>
    <w:p>
      <w:pPr>
        <w:pStyle w:val="Heading2"/>
      </w:pPr>
      <w:r>
        <w:t>Собственные условия образовательных сайтов</w:t>
      </w:r>
    </w:p>
    <w:p>
      <w:r>
        <w:t>MIT разрешает личное скачивание и образовательное распространение текстов Internet Classics Archive, но отдельно ограничивает коммерческое/необразовательное использование и копирование HTML-оформления. CCEL также различает исследовательское и некоммерческое образовательное использование и повторную публикацию коллекций. Это полезные разрешения, но не эквивалент CC0 для любого сайта ToS.</w:t>
      </w:r>
      <w:r>
        <w:t xml:space="preserve"> </w:t>
      </w:r>
      <w:hyperlink r:id="rId69">
        <w:r>
          <w:rPr>
            <w:color w:val="176961"/>
            <w:sz w:val="18"/>
            <w:u w:val="single"/>
          </w:rPr>
          <w:t>[R036]</w:t>
        </w:r>
      </w:hyperlink>
      <w:r>
        <w:t xml:space="preserve"> </w:t>
      </w:r>
      <w:hyperlink r:id="rId71">
        <w:r>
          <w:rPr>
            <w:color w:val="176961"/>
            <w:sz w:val="18"/>
            <w:u w:val="single"/>
          </w:rPr>
          <w:t>[R052]</w:t>
        </w:r>
      </w:hyperlink>
      <w:r>
        <w:t xml:space="preserve"> </w:t>
      </w:r>
      <w:hyperlink r:id="rId73">
        <w:r>
          <w:rPr>
            <w:color w:val="176961"/>
            <w:sz w:val="18"/>
            <w:u w:val="single"/>
          </w:rPr>
          <w:t>[R055]</w:t>
        </w:r>
      </w:hyperlink>
    </w:p>
    <w:p>
      <w:pPr>
        <w:pStyle w:val="Heading2"/>
      </w:pPr>
      <w:r>
        <w:t>Полный файл не обязательно содержит полное произведение</w:t>
      </w:r>
    </w:p>
    <w:p>
      <w:r>
        <w:t>Частичный Freese не становится полным Фотием; том II Naber не становится всем Lexicon; опубликованные стихи Льва не становятся полной поэмой. Ещё важнее пример Quaestiones et dubia: полнота старого тома Миня совместима с неполнотой его текстовой основы. Coverage в реестре относится к произведению, переводу или свидетелю, а не только к факту открытия страницы.</w:t>
      </w:r>
      <w:r>
        <w:t xml:space="preserve"> </w:t>
      </w:r>
      <w:hyperlink r:id="rId13">
        <w:r>
          <w:rPr>
            <w:color w:val="176961"/>
            <w:sz w:val="18"/>
            <w:u w:val="single"/>
          </w:rPr>
          <w:t>[R009]</w:t>
        </w:r>
      </w:hyperlink>
      <w:r>
        <w:t xml:space="preserve"> </w:t>
      </w:r>
      <w:hyperlink r:id="rId54">
        <w:r>
          <w:rPr>
            <w:color w:val="176961"/>
            <w:sz w:val="18"/>
            <w:u w:val="single"/>
          </w:rPr>
          <w:t>[R011]</w:t>
        </w:r>
      </w:hyperlink>
      <w:r>
        <w:t xml:space="preserve"> </w:t>
      </w:r>
      <w:hyperlink r:id="rId60">
        <w:r>
          <w:rPr>
            <w:color w:val="176961"/>
            <w:sz w:val="18"/>
            <w:u w:val="single"/>
          </w:rPr>
          <w:t>[R022]</w:t>
        </w:r>
      </w:hyperlink>
      <w:r>
        <w:t xml:space="preserve"> </w:t>
      </w:r>
      <w:hyperlink r:id="rId63">
        <w:r>
          <w:rPr>
            <w:color w:val="176961"/>
            <w:sz w:val="18"/>
            <w:u w:val="single"/>
          </w:rPr>
          <w:t>[R044]</w:t>
        </w:r>
      </w:hyperlink>
    </w:p>
    <w:p>
      <w:pPr>
        <w:pStyle w:val="Heading2"/>
      </w:pPr>
      <w:r>
        <w:t>Смешанный слой Evagrius Ponticus</w:t>
      </w:r>
    </w:p>
    <w:p>
      <w:r>
        <w:t>Проект публикует материалы под CC BY 4.0, однако происхождение основы различается. Сирийская S1 — собственная транскрипция рукописи BL Add. 14578, ff. 2r–11r; в XML прямо сказано о необходимости дополнительной сверки. Греческий Praktikos использует современное издание Guillaumont 1971 года. Правовая интерпретация проекта о свободе основного критического текста не принята за разрешение издателя на любой компонент. Поэтому R050 и R051 получили разные рекомендации.</w:t>
      </w:r>
      <w:r>
        <w:t xml:space="preserve"> </w:t>
      </w:r>
      <w:hyperlink r:id="rId17">
        <w:r>
          <w:rPr>
            <w:color w:val="176961"/>
            <w:sz w:val="18"/>
            <w:u w:val="single"/>
          </w:rPr>
          <w:t>[R050]</w:t>
        </w:r>
      </w:hyperlink>
      <w:r>
        <w:t xml:space="preserve"> </w:t>
      </w:r>
      <w:hyperlink r:id="rId74">
        <w:r>
          <w:rPr>
            <w:color w:val="176961"/>
            <w:sz w:val="18"/>
            <w:u w:val="single"/>
          </w:rPr>
          <w:t>[R051]</w:t>
        </w:r>
      </w:hyperlink>
    </w:p>
    <w:p>
      <w:pPr>
        <w:pStyle w:val="Heading2"/>
      </w:pPr>
      <w:r>
        <w:t>Метаданные требуют не меньшей осторожности</w:t>
      </w:r>
    </w:p>
    <w:p>
      <w:r>
        <w:t>Указание переводчиков на New Advent требует дополнительной сверки; для SC 9 использованы данные издателя о Joseph Pegon, а расхождения с навигационными карточками отмечены. В TLG и машинных коллекциях Maximus Astrologus не принят за Maximus Confessor. Точные идентификаторы и версия нужны до объединения текстов в общий корпус.</w:t>
      </w:r>
      <w:r>
        <w:t xml:space="preserve"> </w:t>
      </w:r>
      <w:hyperlink r:id="rId46">
        <w:r>
          <w:rPr>
            <w:color w:val="176961"/>
            <w:sz w:val="18"/>
            <w:u w:val="single"/>
          </w:rPr>
          <w:t>[R015]</w:t>
        </w:r>
      </w:hyperlink>
      <w:r>
        <w:t xml:space="preserve"> </w:t>
      </w:r>
      <w:hyperlink r:id="rId20">
        <w:r>
          <w:rPr>
            <w:color w:val="176961"/>
            <w:sz w:val="18"/>
            <w:u w:val="single"/>
          </w:rPr>
          <w:t>[R027]</w:t>
        </w:r>
      </w:hyperlink>
      <w:r>
        <w:t xml:space="preserve"> </w:t>
      </w:r>
      <w:hyperlink r:id="rId64">
        <w:r>
          <w:rPr>
            <w:color w:val="176961"/>
            <w:sz w:val="18"/>
            <w:u w:val="single"/>
          </w:rPr>
          <w:t>[R056]</w:t>
        </w:r>
      </w:hyperlink>
      <w:r>
        <w:t xml:space="preserve"> </w:t>
      </w:r>
      <w:hyperlink r:id="rId66">
        <w:r>
          <w:rPr>
            <w:color w:val="176961"/>
            <w:sz w:val="18"/>
            <w:u w:val="single"/>
          </w:rPr>
          <w:t>[R058]</w:t>
        </w:r>
      </w:hyperlink>
    </w:p>
    <w:p>
      <w:r>
        <w:t>Правовые неопределённости не превращены в запрет на знакомство с источником: сохраняются ссылки, библиотечные карточки, preview и покупка. Но ни некоммерческий статус проекта, ни исследовательская цель сами по себе не использованы как достаточное основание публичного зеркала.</w:t>
      </w:r>
    </w:p>
    <w:p>
      <w:r>
        <w:br w:type="page"/>
      </w:r>
    </w:p>
    <w:p>
      <w:pPr>
        <w:pStyle w:val="Heading1"/>
      </w:pPr>
      <w:r>
        <w:t>6. Пробелы и дальнейший поиск</w:t>
      </w:r>
    </w:p>
    <w:p>
      <w:r>
        <w:t>Лист gaps содержит 23 конкретные записи. Основные причины — неоткрывшиеся институциональные страницы, антибот/403, слишком большие PDF, непроверенный просмотрщик, недостаточная идентификация версии либо неполный поиск рецепции. Поисковый сниппет не использован как доказательство лицензии или полного цифрового доступа.</w:t>
      </w:r>
    </w:p>
    <w:tbl>
      <w:tblPr>
        <w:tblW w:type="auto" w:w="0"/>
        <w:tblLayout w:type="fixed"/>
        <w:tblLook w:firstColumn="1" w:firstRow="1" w:lastColumn="0" w:lastRow="0" w:noHBand="0" w:noVBand="1" w:val="04A0"/>
      </w:tblPr>
      <w:tblGrid>
        <w:gridCol w:w="2268"/>
        <w:gridCol w:w="7483"/>
      </w:tblGrid>
      <w:tr>
        <w:trPr>
          <w:cantSplit/>
          <w:tblHeader/>
        </w:trPr>
        <w:tc>
          <w:tcPr>
            <w:tcW w:type="dxa" w:w="2268"/>
            <w:vAlign w:val="top"/>
            <w:shd w:fill="17384C"/>
          </w:tcPr>
          <w:p>
            <w:pPr>
              <w:spacing w:before="60" w:after="80" w:line="250" w:lineRule="auto"/>
            </w:pPr>
            <w:r>
              <w:rPr>
                <w:b/>
                <w:color w:val="FFFFFF"/>
                <w:sz w:val="18"/>
              </w:rPr>
              <w:t>Приоритетное направление</w:t>
            </w:r>
          </w:p>
        </w:tc>
        <w:tc>
          <w:tcPr>
            <w:tcW w:type="dxa" w:w="7483"/>
            <w:vAlign w:val="top"/>
            <w:shd w:fill="17384C"/>
          </w:tcPr>
          <w:p>
            <w:pPr>
              <w:spacing w:before="60" w:after="80" w:line="250" w:lineRule="auto"/>
            </w:pPr>
            <w:r>
              <w:rPr>
                <w:b/>
                <w:color w:val="FFFFFF"/>
                <w:sz w:val="18"/>
              </w:rPr>
              <w:t>Адресная задача и связанные gaps</w:t>
            </w:r>
          </w:p>
        </w:tc>
      </w:tr>
      <w:tr>
        <w:trPr>
          <w:cantSplit/>
        </w:trPr>
        <w:tc>
          <w:tcPr>
            <w:tcW w:type="dxa" w:w="2268"/>
            <w:vAlign w:val="top"/>
            <w:shd w:fill="F0F5F6"/>
          </w:tcPr>
          <w:p>
            <w:pPr>
              <w:spacing w:before="60" w:after="80" w:line="250" w:lineRule="auto"/>
            </w:pPr>
            <w:r>
              <w:rPr>
                <w:sz w:val="18"/>
              </w:rPr>
              <w:t>1. Якорные греческие свидетели</w:t>
            </w:r>
          </w:p>
        </w:tc>
        <w:tc>
          <w:tcPr>
            <w:tcW w:type="dxa" w:w="7483"/>
            <w:vAlign w:val="top"/>
            <w:shd w:fill="F0F5F6"/>
          </w:tcPr>
          <w:p>
            <w:pPr>
              <w:spacing w:before="60" w:after="80" w:line="250" w:lineRule="auto"/>
            </w:pPr>
            <w:r>
              <w:rPr>
                <w:sz w:val="18"/>
              </w:rPr>
              <w:t>G002–004, G006: РНБ Greek 73 (1069), BnF Grec 1116 (1123–1124), Marciana gr. Z. 451, Vat. gr. 1703. Повторно открыть официальные item-level карточки, проверить состав, изображения, IIIF и права. Не путать Grec 1116 с Supplément grec 1116.</w:t>
            </w:r>
          </w:p>
        </w:tc>
      </w:tr>
      <w:tr>
        <w:trPr>
          <w:cantSplit/>
        </w:trPr>
        <w:tc>
          <w:tcPr>
            <w:tcW w:type="dxa" w:w="2268"/>
            <w:vAlign w:val="top"/>
            <w:shd w:fill="FFFFFF"/>
          </w:tcPr>
          <w:p>
            <w:pPr>
              <w:spacing w:before="60" w:after="80" w:line="250" w:lineRule="auto"/>
            </w:pPr>
            <w:r>
              <w:rPr>
                <w:sz w:val="18"/>
              </w:rPr>
              <w:t>2. Старый цифровой слой</w:t>
            </w:r>
          </w:p>
        </w:tc>
        <w:tc>
          <w:tcPr>
            <w:tcW w:type="dxa" w:w="7483"/>
            <w:vAlign w:val="top"/>
            <w:shd w:fill="FFFFFF"/>
          </w:tcPr>
          <w:p>
            <w:pPr>
              <w:spacing w:before="60" w:after="80" w:line="250" w:lineRule="auto"/>
            </w:pPr>
            <w:r>
              <w:rPr>
                <w:sz w:val="18"/>
              </w:rPr>
              <w:t>G001 и замечания к R040: установить происхождение сканов PG 90–91 и 94; проверить целостность, титульные листы и компонентные условия. Открытые карточки Commons не подменяют проверку файлов.</w:t>
            </w:r>
          </w:p>
        </w:tc>
      </w:tr>
      <w:tr>
        <w:trPr>
          <w:cantSplit/>
        </w:trPr>
        <w:tc>
          <w:tcPr>
            <w:tcW w:type="dxa" w:w="2268"/>
            <w:vAlign w:val="top"/>
            <w:shd w:fill="F0F5F6"/>
          </w:tcPr>
          <w:p>
            <w:pPr>
              <w:spacing w:before="60" w:after="80" w:line="250" w:lineRule="auto"/>
            </w:pPr>
            <w:r>
              <w:rPr>
                <w:sz w:val="18"/>
              </w:rPr>
              <w:t>3. Недостающие варианты Фотия</w:t>
            </w:r>
          </w:p>
        </w:tc>
        <w:tc>
          <w:tcPr>
            <w:tcW w:type="dxa" w:w="7483"/>
            <w:vAlign w:val="top"/>
            <w:shd w:fill="F0F5F6"/>
          </w:tcPr>
          <w:p>
            <w:pPr>
              <w:spacing w:before="60" w:after="80" w:line="250" w:lineRule="auto"/>
            </w:pPr>
            <w:r>
              <w:rPr>
                <w:sz w:val="18"/>
              </w:rPr>
              <w:t>G005, G007–008, G018: Anemi/Oikonomos 1858 для Amphilochia; Homilies в переводе Mango; письмо Борису; полный актуальный состав Lexicon Theodoridis. Не заявлять Controlled Digital Lending без подтверждения реальной выдачи.</w:t>
            </w:r>
          </w:p>
        </w:tc>
      </w:tr>
      <w:tr>
        <w:trPr>
          <w:cantSplit/>
        </w:trPr>
        <w:tc>
          <w:tcPr>
            <w:tcW w:type="dxa" w:w="2268"/>
            <w:vAlign w:val="top"/>
            <w:shd w:fill="FFFFFF"/>
          </w:tcPr>
          <w:p>
            <w:pPr>
              <w:spacing w:before="60" w:after="80" w:line="250" w:lineRule="auto"/>
            </w:pPr>
            <w:r>
              <w:rPr>
                <w:sz w:val="18"/>
              </w:rPr>
              <w:t>4. Греческий Иоанн и флорилегии</w:t>
            </w:r>
          </w:p>
        </w:tc>
        <w:tc>
          <w:tcPr>
            <w:tcW w:type="dxa" w:w="7483"/>
            <w:vAlign w:val="top"/>
            <w:shd w:fill="FFFFFF"/>
          </w:tcPr>
          <w:p>
            <w:pPr>
              <w:spacing w:before="60" w:after="80" w:line="250" w:lineRule="auto"/>
            </w:pPr>
            <w:r>
              <w:rPr>
                <w:sz w:val="18"/>
              </w:rPr>
              <w:t>G010–011, G015: полное факсимиле Grec 923 и критическая серия Sacra Parallela; отдельные тома Kotter для Dialectica и De haeresibus. Разделить традиционную атрибуцию, редакцию текста и права изображений.</w:t>
            </w:r>
          </w:p>
        </w:tc>
      </w:tr>
      <w:tr>
        <w:trPr>
          <w:cantSplit/>
        </w:trPr>
        <w:tc>
          <w:tcPr>
            <w:tcW w:type="dxa" w:w="2268"/>
            <w:vAlign w:val="top"/>
            <w:shd w:fill="F0F5F6"/>
          </w:tcPr>
          <w:p>
            <w:pPr>
              <w:spacing w:before="60" w:after="80" w:line="250" w:lineRule="auto"/>
            </w:pPr>
            <w:r>
              <w:rPr>
                <w:sz w:val="18"/>
              </w:rPr>
              <w:t>5. Лев и Арефа</w:t>
            </w:r>
          </w:p>
        </w:tc>
        <w:tc>
          <w:tcPr>
            <w:tcW w:type="dxa" w:w="7483"/>
            <w:vAlign w:val="top"/>
            <w:shd w:fill="F0F5F6"/>
          </w:tcPr>
          <w:p>
            <w:pPr>
              <w:spacing w:before="60" w:after="80" w:line="250" w:lineRule="auto"/>
            </w:pPr>
            <w:r>
              <w:rPr>
                <w:sz w:val="18"/>
              </w:rPr>
              <w:t>G016–017: полный текст стихотворения на Иова по Westerink, Illinois Classical Studies 11 (1986), 193–222; логические схолии и проверка нынешнего шифра Moscow Greek 231. Не атрибутировать коллективные пометы автоматически.</w:t>
            </w:r>
          </w:p>
        </w:tc>
      </w:tr>
      <w:tr>
        <w:trPr>
          <w:cantSplit/>
        </w:trPr>
        <w:tc>
          <w:tcPr>
            <w:tcW w:type="dxa" w:w="2268"/>
            <w:vAlign w:val="top"/>
            <w:shd w:fill="FFFFFF"/>
          </w:tcPr>
          <w:p>
            <w:pPr>
              <w:spacing w:before="60" w:after="80" w:line="250" w:lineRule="auto"/>
            </w:pPr>
            <w:r>
              <w:rPr>
                <w:sz w:val="18"/>
              </w:rPr>
              <w:t>6. Межъязыковая передача</w:t>
            </w:r>
          </w:p>
        </w:tc>
        <w:tc>
          <w:tcPr>
            <w:tcW w:type="dxa" w:w="7483"/>
            <w:vAlign w:val="top"/>
            <w:shd w:fill="FFFFFF"/>
          </w:tcPr>
          <w:p>
            <w:pPr>
              <w:spacing w:before="60" w:after="80" w:line="250" w:lineRule="auto"/>
            </w:pPr>
            <w:r>
              <w:rPr>
                <w:sz w:val="18"/>
              </w:rPr>
              <w:t>G012–014, G023: латинские Бургундио/Цербан; арабские версии по Habib Ibrahim с выходом на конкретные HMML/библиотечные записи; грузинские и раннеславянские версии. Для каждого направления нужна конкретная версия, а не общий портал.</w:t>
            </w:r>
          </w:p>
        </w:tc>
      </w:tr>
      <w:tr>
        <w:trPr>
          <w:cantSplit/>
        </w:trPr>
        <w:tc>
          <w:tcPr>
            <w:tcW w:type="dxa" w:w="2268"/>
            <w:vAlign w:val="top"/>
            <w:shd w:fill="F0F5F6"/>
          </w:tcPr>
          <w:p>
            <w:pPr>
              <w:spacing w:before="60" w:after="80" w:line="250" w:lineRule="auto"/>
            </w:pPr>
            <w:r>
              <w:rPr>
                <w:sz w:val="18"/>
              </w:rPr>
              <w:t>7. Дополнительные предшественники</w:t>
            </w:r>
          </w:p>
        </w:tc>
        <w:tc>
          <w:tcPr>
            <w:tcW w:type="dxa" w:w="7483"/>
            <w:vAlign w:val="top"/>
            <w:shd w:fill="F0F5F6"/>
          </w:tcPr>
          <w:p>
            <w:pPr>
              <w:spacing w:before="60" w:after="80" w:line="250" w:lineRule="auto"/>
            </w:pPr>
            <w:r>
              <w:rPr>
                <w:sz w:val="18"/>
              </w:rPr>
              <w:t>G019–020: предметные TEI и издания Elias/David; Немесий, De natura hominis, и Ориген, De principiis. Уточнить конкретные использованные места и доступ; предполагаемую связь не считать уже доказанным прямым заимствованием.</w:t>
            </w:r>
          </w:p>
        </w:tc>
      </w:tr>
      <w:tr>
        <w:trPr>
          <w:cantSplit/>
        </w:trPr>
        <w:tc>
          <w:tcPr>
            <w:tcW w:type="dxa" w:w="2268"/>
            <w:vAlign w:val="top"/>
            <w:shd w:fill="FFFFFF"/>
          </w:tcPr>
          <w:p>
            <w:pPr>
              <w:spacing w:before="60" w:after="80" w:line="250" w:lineRule="auto"/>
            </w:pPr>
            <w:r>
              <w:rPr>
                <w:sz w:val="18"/>
              </w:rPr>
              <w:t>8. Продолжения и рецепция</w:t>
            </w:r>
          </w:p>
        </w:tc>
        <w:tc>
          <w:tcPr>
            <w:tcW w:type="dxa" w:w="7483"/>
            <w:vAlign w:val="top"/>
            <w:shd w:fill="FFFFFF"/>
          </w:tcPr>
          <w:p>
            <w:pPr>
              <w:spacing w:before="60" w:after="80" w:line="250" w:lineRule="auto"/>
            </w:pPr>
            <w:r>
              <w:rPr>
                <w:sz w:val="18"/>
              </w:rPr>
              <w:t>G009, G021–022: избранный Максим Louth (1996); логические сочинения Пселла, Quaestiones quodlibetales Иоанна Итала; Periphyseon II–V. Проверить текстовую преемственность и item-level издания, не расширять поиск на весь поздневизантийский корпус.</w:t>
            </w:r>
          </w:p>
        </w:tc>
      </w:tr>
    </w:tbl>
    <w:p>
      <w:pPr>
        <w:spacing w:after="0"/>
      </w:pPr>
    </w:p>
    <w:p>
      <w:pPr>
        <w:pStyle w:val="Heading2"/>
      </w:pPr>
      <w:r>
        <w:t>Неподтверждённые кандидаты</w:t>
      </w:r>
    </w:p>
    <w:p>
      <w:r>
        <w:t>G014 явно помечен unverified_candidate: навигационные сведения об арабских изданиях, включая имена и несовпадающие годы, не получили достаточного институционального подтверждения. Сомнительная библиографическая подсказка не стала строкой основного registry. Для G017, G020–021 не закрыты идентификация или конкретная связь; они также не должны автоматически превращаться в установленные графовые связи.</w:t>
      </w:r>
    </w:p>
    <w:p>
      <w:r>
        <w:t>Защищённые современные издания, для которых есть рабочая покупка или библиотека, уже сохранены в registry и не названы «ненайденными». Ни регистрация, ни переписка с библиотеками не выполнялись. Неудача доступа в текущем инструменте не означает, что учреждение не располагает цифровым объектом.</w:t>
      </w:r>
    </w:p>
    <w:p>
      <w:r>
        <w:br w:type="page"/>
      </w:r>
    </w:p>
    <w:p>
      <w:pPr>
        <w:pStyle w:val="Heading1"/>
      </w:pPr>
      <w:r>
        <w:t>7. Итоговая оценка</w:t>
      </w:r>
    </w:p>
    <w:p>
      <w:pPr>
        <w:pStyle w:val="Heading2"/>
      </w:pPr>
      <w:r>
        <w:t>Покрытие ядра</w:t>
      </w:r>
    </w:p>
    <w:p>
      <w:r>
        <w:t>Основные произведения, непосредственно выделенные DR, получили предметный издательский, текстовый, библиотечный или рукописный вход; проблемные свидетели отражены в gaps. Особенно хорошо представлены научные издания Максима, составные части «Источника знания», Bibliotheca и логические предшественники. Покрытие широкое, но не исчерпывающее: текущий состав современных серий, периферия авторских корпусов и межъязыковые версии требуют дальнейшей проверки.</w:t>
      </w:r>
    </w:p>
    <w:p>
      <w:pPr>
        <w:pStyle w:val="Heading2"/>
      </w:pPr>
      <w:r>
        <w:t>Оригиналы и переводы</w:t>
      </w:r>
    </w:p>
    <w:p>
      <w:r>
        <w:t>Греческие оригиналы доступны неодинаково: исторические PG и Bekker, современные критические издания и TLG дают разные уровни качества и свободы. У Порфирия и Аммония найден особенно полезный открытый TEI-слой; у Арефы — рукописные изображения Clarke 39 с предметной лицензией. У сирийского Praktikos есть открытая транскрипция свидетеля, но она нуждается в филологической сверке.</w:t>
      </w:r>
      <w:r>
        <w:t xml:space="preserve"> </w:t>
      </w:r>
      <w:hyperlink r:id="rId34">
        <w:r>
          <w:rPr>
            <w:color w:val="176961"/>
            <w:sz w:val="18"/>
            <w:u w:val="single"/>
          </w:rPr>
          <w:t>[R013]</w:t>
        </w:r>
      </w:hyperlink>
      <w:r>
        <w:t xml:space="preserve"> </w:t>
      </w:r>
      <w:hyperlink r:id="rId39">
        <w:r>
          <w:rPr>
            <w:color w:val="176961"/>
            <w:sz w:val="18"/>
            <w:u w:val="single"/>
          </w:rPr>
          <w:t>[R017]</w:t>
        </w:r>
      </w:hyperlink>
      <w:r>
        <w:t xml:space="preserve"> </w:t>
      </w:r>
      <w:hyperlink r:id="rId37">
        <w:r>
          <w:rPr>
            <w:color w:val="176961"/>
            <w:sz w:val="18"/>
            <w:u w:val="single"/>
          </w:rPr>
          <w:t>[R018]</w:t>
        </w:r>
      </w:hyperlink>
      <w:r>
        <w:t xml:space="preserve"> </w:t>
      </w:r>
      <w:hyperlink r:id="rId21">
        <w:r>
          <w:rPr>
            <w:color w:val="176961"/>
            <w:sz w:val="18"/>
            <w:u w:val="single"/>
          </w:rPr>
          <w:t>[R032]</w:t>
        </w:r>
      </w:hyperlink>
      <w:r>
        <w:t xml:space="preserve"> </w:t>
      </w:r>
      <w:hyperlink r:id="rId22">
        <w:r>
          <w:rPr>
            <w:color w:val="176961"/>
            <w:sz w:val="18"/>
            <w:u w:val="single"/>
          </w:rPr>
          <w:t>[R033]</w:t>
        </w:r>
      </w:hyperlink>
      <w:r>
        <w:t xml:space="preserve"> </w:t>
      </w:r>
      <w:hyperlink r:id="rId52">
        <w:r>
          <w:rPr>
            <w:color w:val="176961"/>
            <w:sz w:val="18"/>
            <w:u w:val="single"/>
          </w:rPr>
          <w:t>[R040]</w:t>
        </w:r>
      </w:hyperlink>
      <w:r>
        <w:t xml:space="preserve"> </w:t>
      </w:r>
      <w:hyperlink r:id="rId53">
        <w:r>
          <w:rPr>
            <w:color w:val="176961"/>
            <w:sz w:val="18"/>
            <w:u w:val="single"/>
          </w:rPr>
          <w:t>[R042]</w:t>
        </w:r>
      </w:hyperlink>
      <w:r>
        <w:t xml:space="preserve"> </w:t>
      </w:r>
      <w:hyperlink r:id="rId17">
        <w:r>
          <w:rPr>
            <w:color w:val="176961"/>
            <w:sz w:val="18"/>
            <w:u w:val="single"/>
          </w:rPr>
          <w:t>[R050]</w:t>
        </w:r>
      </w:hyperlink>
      <w:r>
        <w:t xml:space="preserve"> </w:t>
      </w:r>
      <w:hyperlink r:id="rId66">
        <w:r>
          <w:rPr>
            <w:color w:val="176961"/>
            <w:sz w:val="18"/>
            <w:u w:val="single"/>
          </w:rPr>
          <w:t>[R058]</w:t>
        </w:r>
      </w:hyperlink>
    </w:p>
    <w:p>
      <w:r>
        <w:t>Английские переводы представлены сильнее всего: есть как старые бесплатные, так и современные научные маршруты. Французские тома Henry и SC, немецкий BKV, русский preview и библиографическая карточка, славянские свидетели и испанский фрагментарный перевод расширяют доступ, но не уравнивают языковое покрытие. Арабский и грузинский каналы остаются существенными пробелами, а не отсутствующими традициями.</w:t>
      </w:r>
      <w:r>
        <w:t xml:space="preserve"> </w:t>
      </w:r>
      <w:hyperlink r:id="rId38">
        <w:r>
          <w:rPr>
            <w:color w:val="176961"/>
            <w:sz w:val="18"/>
            <w:u w:val="single"/>
          </w:rPr>
          <w:t>[R003]</w:t>
        </w:r>
      </w:hyperlink>
      <w:r>
        <w:t xml:space="preserve"> </w:t>
      </w:r>
      <w:hyperlink r:id="rId45">
        <w:r>
          <w:rPr>
            <w:color w:val="176961"/>
            <w:sz w:val="18"/>
            <w:u w:val="single"/>
          </w:rPr>
          <w:t>[R005]</w:t>
        </w:r>
      </w:hyperlink>
      <w:r>
        <w:t xml:space="preserve"> </w:t>
      </w:r>
      <w:hyperlink r:id="rId54">
        <w:r>
          <w:rPr>
            <w:color w:val="176961"/>
            <w:sz w:val="18"/>
            <w:u w:val="single"/>
          </w:rPr>
          <w:t>[R011]</w:t>
        </w:r>
      </w:hyperlink>
      <w:r>
        <w:t xml:space="preserve"> </w:t>
      </w:r>
      <w:hyperlink r:id="rId50">
        <w:r>
          <w:rPr>
            <w:color w:val="176961"/>
            <w:sz w:val="18"/>
            <w:u w:val="single"/>
          </w:rPr>
          <w:t>[R016]</w:t>
        </w:r>
      </w:hyperlink>
      <w:r>
        <w:t xml:space="preserve"> </w:t>
      </w:r>
      <w:hyperlink r:id="rId56">
        <w:r>
          <w:rPr>
            <w:color w:val="176961"/>
            <w:sz w:val="18"/>
            <w:u w:val="single"/>
          </w:rPr>
          <w:t>[R019]</w:t>
        </w:r>
      </w:hyperlink>
      <w:r>
        <w:t xml:space="preserve"> </w:t>
      </w:r>
      <w:hyperlink r:id="rId30">
        <w:r>
          <w:rPr>
            <w:color w:val="176961"/>
            <w:sz w:val="18"/>
            <w:u w:val="single"/>
          </w:rPr>
          <w:t>[R020]</w:t>
        </w:r>
      </w:hyperlink>
      <w:r>
        <w:t xml:space="preserve"> </w:t>
      </w:r>
      <w:hyperlink r:id="rId49">
        <w:r>
          <w:rPr>
            <w:color w:val="176961"/>
            <w:sz w:val="18"/>
            <w:u w:val="single"/>
          </w:rPr>
          <w:t>[R024]</w:t>
        </w:r>
      </w:hyperlink>
      <w:r>
        <w:t xml:space="preserve"> </w:t>
      </w:r>
      <w:hyperlink r:id="rId42">
        <w:r>
          <w:rPr>
            <w:color w:val="176961"/>
            <w:sz w:val="18"/>
            <w:u w:val="single"/>
          </w:rPr>
          <w:t>[R025]</w:t>
        </w:r>
      </w:hyperlink>
      <w:r>
        <w:t xml:space="preserve"> </w:t>
      </w:r>
      <w:hyperlink r:id="rId20">
        <w:r>
          <w:rPr>
            <w:color w:val="176961"/>
            <w:sz w:val="18"/>
            <w:u w:val="single"/>
          </w:rPr>
          <w:t>[R027]</w:t>
        </w:r>
      </w:hyperlink>
      <w:r>
        <w:t xml:space="preserve"> </w:t>
      </w:r>
      <w:hyperlink r:id="rId48">
        <w:r>
          <w:rPr>
            <w:color w:val="176961"/>
            <w:sz w:val="18"/>
            <w:u w:val="single"/>
          </w:rPr>
          <w:t>[R039]</w:t>
        </w:r>
      </w:hyperlink>
      <w:r>
        <w:t xml:space="preserve"> </w:t>
      </w:r>
      <w:hyperlink r:id="rId14">
        <w:r>
          <w:rPr>
            <w:color w:val="176961"/>
            <w:sz w:val="18"/>
            <w:u w:val="single"/>
          </w:rPr>
          <w:t>[R041]</w:t>
        </w:r>
      </w:hyperlink>
      <w:r>
        <w:t xml:space="preserve"> </w:t>
      </w:r>
      <w:hyperlink r:id="rId63">
        <w:r>
          <w:rPr>
            <w:color w:val="176961"/>
            <w:sz w:val="18"/>
            <w:u w:val="single"/>
          </w:rPr>
          <w:t>[R044]</w:t>
        </w:r>
      </w:hyperlink>
      <w:r>
        <w:t xml:space="preserve"> </w:t>
      </w:r>
      <w:hyperlink r:id="rId16">
        <w:r>
          <w:rPr>
            <w:color w:val="176961"/>
            <w:sz w:val="18"/>
            <w:u w:val="single"/>
          </w:rPr>
          <w:t>[R048]</w:t>
        </w:r>
      </w:hyperlink>
      <w:r>
        <w:t xml:space="preserve"> </w:t>
      </w:r>
      <w:hyperlink r:id="rId33">
        <w:r>
          <w:rPr>
            <w:color w:val="176961"/>
            <w:sz w:val="18"/>
            <w:u w:val="single"/>
          </w:rPr>
          <w:t>[R053]</w:t>
        </w:r>
      </w:hyperlink>
    </w:p>
    <w:p>
      <w:pPr>
        <w:pStyle w:val="Heading2"/>
      </w:pPr>
      <w:r>
        <w:t>Наиболее свободный слой</w:t>
      </w:r>
    </w:p>
    <w:p>
      <w:r>
        <w:t>Для повторного использования наиболее определённы два CC BY-SA 4.0 греческих TEI, CC BY-NC 4.0 изображения Clarke 39, CC BY 4.0 сирийская транскрипция и CC BY 4.0 метаданные INHA. Последний вариант свободен только как метаданные. Собственный перевод рекомендован лишь для четырёх конкретных доступных основ, а не для всех 35 корпусных единиц.</w:t>
      </w:r>
      <w:r>
        <w:t xml:space="preserve"> </w:t>
      </w:r>
      <w:hyperlink r:id="rId67">
        <w:r>
          <w:rPr>
            <w:color w:val="176961"/>
            <w:sz w:val="18"/>
            <w:u w:val="single"/>
          </w:rPr>
          <w:t>[R013]</w:t>
        </w:r>
      </w:hyperlink>
      <w:r>
        <w:t xml:space="preserve"> </w:t>
      </w:r>
      <w:hyperlink r:id="rId21">
        <w:r>
          <w:rPr>
            <w:color w:val="176961"/>
            <w:sz w:val="18"/>
            <w:u w:val="single"/>
          </w:rPr>
          <w:t>[R032]</w:t>
        </w:r>
      </w:hyperlink>
      <w:r>
        <w:t xml:space="preserve"> </w:t>
      </w:r>
      <w:hyperlink r:id="rId22">
        <w:r>
          <w:rPr>
            <w:color w:val="176961"/>
            <w:sz w:val="18"/>
            <w:u w:val="single"/>
          </w:rPr>
          <w:t>[R033]</w:t>
        </w:r>
      </w:hyperlink>
      <w:r>
        <w:t xml:space="preserve"> </w:t>
      </w:r>
      <w:hyperlink r:id="rId68">
        <w:r>
          <w:rPr>
            <w:color w:val="176961"/>
            <w:sz w:val="18"/>
            <w:u w:val="single"/>
          </w:rPr>
          <w:t>[R050]</w:t>
        </w:r>
      </w:hyperlink>
      <w:r>
        <w:t xml:space="preserve"> </w:t>
      </w:r>
      <w:hyperlink r:id="rId18">
        <w:r>
          <w:rPr>
            <w:color w:val="176961"/>
            <w:sz w:val="18"/>
            <w:u w:val="single"/>
          </w:rPr>
          <w:t>[R054]</w:t>
        </w:r>
      </w:hyperlink>
    </w:p>
    <w:p>
      <w:pPr>
        <w:pStyle w:val="Heading2"/>
      </w:pPr>
      <w:r>
        <w:t>Главные ограничения</w:t>
      </w:r>
    </w:p>
    <w:p>
      <w:r>
        <w:t>Ограничения сосредоточены в современных переводах и критических редакциях, смешанных лицензиях цифровых проектов, юрисдикционных пределах старых изданий, непроверенных больших файлах и доступе после библиотечного входа. Общая лицензия репозитория не распространена автоматически на третьих лиц. TLG и HMML сохранены как полезные сервисы чтения, а не разрешение на массовый экспорт.</w:t>
      </w:r>
      <w:r>
        <w:t xml:space="preserve"> </w:t>
      </w:r>
      <w:hyperlink r:id="rId74">
        <w:r>
          <w:rPr>
            <w:color w:val="176961"/>
            <w:sz w:val="18"/>
            <w:u w:val="single"/>
          </w:rPr>
          <w:t>[R051]</w:t>
        </w:r>
      </w:hyperlink>
      <w:r>
        <w:t xml:space="preserve"> </w:t>
      </w:r>
      <w:hyperlink r:id="rId65">
        <w:r>
          <w:rPr>
            <w:color w:val="176961"/>
            <w:sz w:val="18"/>
            <w:u w:val="single"/>
          </w:rPr>
          <w:t>[R057]</w:t>
        </w:r>
      </w:hyperlink>
      <w:r>
        <w:t xml:space="preserve"> </w:t>
      </w:r>
      <w:hyperlink r:id="rId66">
        <w:r>
          <w:rPr>
            <w:color w:val="176961"/>
            <w:sz w:val="18"/>
            <w:u w:val="single"/>
          </w:rPr>
          <w:t>[R058]</w:t>
        </w:r>
      </w:hyperlink>
    </w:p>
    <w:p>
      <w:pPr>
        <w:pStyle w:val="Heading2"/>
      </w:pPr>
      <w:r>
        <w:t>Готовность к передаче Codex</w:t>
      </w:r>
    </w:p>
    <w:p>
      <w:r>
        <w:t>Пакет пригоден как исследовательская карта доступа: 58 уникальных record_id, 32 требуемых поля в registry, отдельный gaps, конкретные ограничения rights_scope и coverage, даты проверки и объяснения неопределённости. Первый столбец — record_id; служебного индекса нет. Нормализация произведений, дедупликация на уровне всего ToS и граф отношений не выполнялись и не подменяют результаты поиска.</w:t>
      </w:r>
    </w:p>
    <w:p>
      <w:r>
        <w:t>Практически безопасный первый слой ToS — библиографические карточки и внешние ссылки. Зеркалирование, OCR, публичный индекс, embeddings и собственные переводы следует запускать только после чтения разрешений конкретной строки; RIGHTS_REVIEW_REQUIRED запрещает автоматически переносить положительный тег за пределы подтверждённого компонента.</w:t>
      </w:r>
    </w:p>
    <w:p>
      <w:r>
        <w:t>Итог: это карта законного знакомства и последующего использования, а не список исключительно свободных файлов. Она сохраняет платные и библиотечные научные варианты, выделяет действительно открытые основы и делает оставшиеся 23 пробела адресными. Поиск назад и вперёд во времени проведён, но хронологическое расширение удержано в пределах конкретных текстовых и рукописных связей.</w:t>
      </w:r>
    </w:p>
    <w:sectPr w:rsidR="00FC693F" w:rsidRPr="0006063C" w:rsidSect="00034616">
      <w:headerReference w:type="default" r:id="rId9"/>
      <w:footerReference w:type="default" r:id="rId10"/>
      <w:pgSz w:w="11906" w:h="16838"/>
      <w:pgMar w:top="992"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T2-02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16575"/>
        <w:sz w:val="16"/>
      </w:rPr>
      <w:t>ДРЕВО СОФИИ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17384C"/>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76961"/>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738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738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20"/>
    </w:pPr>
    <w:rPr>
      <w:rFonts w:asciiTheme="majorHAnsi" w:eastAsiaTheme="majorEastAsia" w:hAnsiTheme="majorHAnsi" w:cstheme="majorBidi" w:ascii="Calibri" w:hAnsi="Calibri"/>
      <w:i/>
      <w:iCs/>
      <w:color w:val="4165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repols.net/products/IS-9782503402314-1" TargetMode="External"/><Relationship Id="rId12" Type="http://schemas.openxmlformats.org/officeDocument/2006/relationships/hyperlink" Target="https://www.brepols.net/products/IS-9782503404011-1" TargetMode="External"/><Relationship Id="rId13" Type="http://schemas.openxmlformats.org/officeDocument/2006/relationships/hyperlink" Target="https://www.brepols.net/products/IS-9782503401010-1" TargetMode="External"/><Relationship Id="rId14" Type="http://schemas.openxmlformats.org/officeDocument/2006/relationships/hyperlink" Target="https://rusneb.ru/catalog/000199_000009_004974515/" TargetMode="External"/><Relationship Id="rId15" Type="http://schemas.openxmlformats.org/officeDocument/2006/relationships/hyperlink" Target="https://www.cuapress.org/9780813240824/the-opuscula-and-the-dispute-with-pyrrhus/" TargetMode="External"/><Relationship Id="rId16" Type="http://schemas.openxmlformats.org/officeDocument/2006/relationships/hyperlink" Target="https://kp.rusneb.ru/item/material/dialektika-ioanna-damaskina" TargetMode="External"/><Relationship Id="rId17" Type="http://schemas.openxmlformats.org/officeDocument/2006/relationships/hyperlink" Target="https://evagriusponticus.net/cpg2430/cpg2430.syr.0700.bl14578.tei.html" TargetMode="External"/><Relationship Id="rId18" Type="http://schemas.openxmlformats.org/officeDocument/2006/relationships/hyperlink" Target="https://fabriques.inha.fr/s/fva-fmv/item/5c590949-f5b3-4544-b2e8-3b436b204acb" TargetMode="External"/><Relationship Id="rId19" Type="http://schemas.openxmlformats.org/officeDocument/2006/relationships/hyperlink" Target="https://domedieval.org/books/on-difficulties-in-the-church-fathers-the-ambigua-volume-i/" TargetMode="External"/><Relationship Id="rId20" Type="http://schemas.openxmlformats.org/officeDocument/2006/relationships/hyperlink" Target="https://www.editionsducerf.fr/librairie/sc-9-centuries-sur-la-charite/" TargetMode="External"/><Relationship Id="rId21" Type="http://schemas.openxmlformats.org/officeDocument/2006/relationships/hyperlink" Target="https://raw.githubusercontent.com/OpenGreekAndLatin/First1KGreek/master/data/tlg2034/tlg006/tlg2034.tlg006.opp-grc1.xml" TargetMode="External"/><Relationship Id="rId22" Type="http://schemas.openxmlformats.org/officeDocument/2006/relationships/hyperlink" Target="https://raw.githubusercontent.com/OpenGreekAndLatin/First1KGreek/master/data/tlg4016/tlg001/tlg4016.tlg001.1st1K-grc1.xml" TargetMode="External"/><Relationship Id="rId23" Type="http://schemas.openxmlformats.org/officeDocument/2006/relationships/hyperlink" Target="https://www.gutenberg.org/ebooks/2412" TargetMode="External"/><Relationship Id="rId24" Type="http://schemas.openxmlformats.org/officeDocument/2006/relationships/hyperlink" Target="https://www.paulistpress.com/Products/2838-1/pseudo-dionysius.aspx" TargetMode="External"/><Relationship Id="rId25" Type="http://schemas.openxmlformats.org/officeDocument/2006/relationships/hyperlink" Target="https://catalogo.fscire.it/detail/3361720/" TargetMode="External"/><Relationship Id="rId26" Type="http://schemas.openxmlformats.org/officeDocument/2006/relationships/hyperlink" Target="https://classics.mit.edu/Aristotle/interpretation.html" TargetMode="External"/><Relationship Id="rId27" Type="http://schemas.openxmlformats.org/officeDocument/2006/relationships/hyperlink" Target="https://ccel.org/ccel/schaff/npnf207.html" TargetMode="External"/><Relationship Id="rId28" Type="http://schemas.openxmlformats.org/officeDocument/2006/relationships/hyperlink" Target="https://www.brepols.net/products/IS-9782503580494-1" TargetMode="External"/><Relationship Id="rId29" Type="http://schemas.openxmlformats.org/officeDocument/2006/relationships/hyperlink" Target="https://www.brepols.net/products/IS-9782503406916-1" TargetMode="External"/><Relationship Id="rId30" Type="http://schemas.openxmlformats.org/officeDocument/2006/relationships/hyperlink" Target="https://www.lesbelleslettres.com/livre/9782251322223/bibliotheque-tome-iii-codices-186-222" TargetMode="External"/><Relationship Id="rId31" Type="http://schemas.openxmlformats.org/officeDocument/2006/relationships/hyperlink" Target="https://www.brepols.net/products/IS-9782503401812-1" TargetMode="External"/><Relationship Id="rId32" Type="http://schemas.openxmlformats.org/officeDocument/2006/relationships/hyperlink" Target="https://www.brepols.net/products/IS-9782503042817-1" TargetMode="External"/><Relationship Id="rId33" Type="http://schemas.openxmlformats.org/officeDocument/2006/relationships/hyperlink" Target="https://www.lesbelleslettres.com/livre/9782251322254/bibliotheque-tome-vi-codices-242-245" TargetMode="External"/><Relationship Id="rId34" Type="http://schemas.openxmlformats.org/officeDocument/2006/relationships/hyperlink" Target="https://digital.bodleian.ox.ac.uk/objects/f57d074b-cff1-4172-8236-797c7b8f0403/" TargetMode="External"/><Relationship Id="rId35" Type="http://schemas.openxmlformats.org/officeDocument/2006/relationships/hyperlink" Target="https://www.claymath.org/online-resources/euclids-elements/" TargetMode="External"/><Relationship Id="rId36" Type="http://schemas.openxmlformats.org/officeDocument/2006/relationships/hyperlink" Target="https://domedieval.org/books/on-difficulties-in-the-church-fathers-the-ambigua-volume-ii/" TargetMode="External"/><Relationship Id="rId37" Type="http://schemas.openxmlformats.org/officeDocument/2006/relationships/hyperlink" Target="https://commons.wikimedia.org/wiki/File:Patrologia_Graeca_Vol._091.pdf" TargetMode="External"/><Relationship Id="rId38" Type="http://schemas.openxmlformats.org/officeDocument/2006/relationships/hyperlink" Target="https://www.cuapress.org/9780813235714/on-difficulties-in-sacred-scripture/" TargetMode="External"/><Relationship Id="rId39" Type="http://schemas.openxmlformats.org/officeDocument/2006/relationships/hyperlink" Target="https://commons.wikimedia.org/wiki/File:Patrologia_Graeca_Vol._090.pdf" TargetMode="External"/><Relationship Id="rId40" Type="http://schemas.openxmlformats.org/officeDocument/2006/relationships/hyperlink" Target="https://academic.oup.com/cornell-scholarship-online/book/43171" TargetMode="External"/><Relationship Id="rId41" Type="http://schemas.openxmlformats.org/officeDocument/2006/relationships/hyperlink" Target="https://www.paulistpress.com/Products/2659-1/maximus-the-confessor.aspx" TargetMode="External"/><Relationship Id="rId42" Type="http://schemas.openxmlformats.org/officeDocument/2006/relationships/hyperlink" Target="https://mybook.ru/author/prepodobnyj-maksim-ispovednik/glavy-o-lyubvi/read/" TargetMode="External"/><Relationship Id="rId43" Type="http://schemas.openxmlformats.org/officeDocument/2006/relationships/hyperlink" Target="https://www.brepols.net/products/IS-9782503403915-1" TargetMode="External"/><Relationship Id="rId44" Type="http://schemas.openxmlformats.org/officeDocument/2006/relationships/hyperlink" Target="https://researchers.mq.edu.au/en/publications/maximus-the-confessor-and-his-companions-documents-from-exile" TargetMode="External"/><Relationship Id="rId45" Type="http://schemas.openxmlformats.org/officeDocument/2006/relationships/hyperlink" Target="https://www.cuapress.org/9780813209685/writings/" TargetMode="External"/><Relationship Id="rId46" Type="http://schemas.openxmlformats.org/officeDocument/2006/relationships/hyperlink" Target="https://www.newadvent.org/fathers/3304.htm" TargetMode="External"/><Relationship Id="rId47" Type="http://schemas.openxmlformats.org/officeDocument/2006/relationships/hyperlink" Target="https://katalog.slub-dresden.de/en/id/0-1071792741" TargetMode="External"/><Relationship Id="rId48" Type="http://schemas.openxmlformats.org/officeDocument/2006/relationships/hyperlink" Target="https://bkv.unifr.ch/de/works/cpg-8043/versions/genaue-darlegung-des-orthodoxen-glaubens-bkv" TargetMode="External"/><Relationship Id="rId49" Type="http://schemas.openxmlformats.org/officeDocument/2006/relationships/hyperlink" Target="https://www.prlib.ru/item/465427" TargetMode="External"/><Relationship Id="rId50" Type="http://schemas.openxmlformats.org/officeDocument/2006/relationships/hyperlink" Target="https://www.gutenberg.org/ebooks/49917" TargetMode="External"/><Relationship Id="rId51" Type="http://schemas.openxmlformats.org/officeDocument/2006/relationships/hyperlink" Target="https://svspress.com/three-treatises-on-the-divine-images-st-john-of-damascus/" TargetMode="External"/><Relationship Id="rId52" Type="http://schemas.openxmlformats.org/officeDocument/2006/relationships/hyperlink" Target="https://commons.wikimedia.org/wiki/File:Patrologia_Graeca_Vol._094.pdf" TargetMode="External"/><Relationship Id="rId53" Type="http://schemas.openxmlformats.org/officeDocument/2006/relationships/hyperlink" Target="https://archive.org/details/bibliothecaexrec00photuoft" TargetMode="External"/><Relationship Id="rId54" Type="http://schemas.openxmlformats.org/officeDocument/2006/relationships/hyperlink" Target="https://www.tertullian.org/fathers/photius_03bibliotheca.htm" TargetMode="External"/><Relationship Id="rId55" Type="http://schemas.openxmlformats.org/officeDocument/2006/relationships/hyperlink" Target="https://www.tertullian.org/fathers/photius_copyright/index.htm" TargetMode="External"/><Relationship Id="rId56" Type="http://schemas.openxmlformats.org/officeDocument/2006/relationships/hyperlink" Target="https://www.lesbelleslettres.com/livre/9782251322209/bibliotheque-tome-i-codices-1-83" TargetMode="External"/><Relationship Id="rId57" Type="http://schemas.openxmlformats.org/officeDocument/2006/relationships/hyperlink" Target="https://store.patristicnectar.org/amphilochia-volume-1-paperback/" TargetMode="External"/><Relationship Id="rId58" Type="http://schemas.openxmlformats.org/officeDocument/2006/relationships/hyperlink" Target="https://libcatiie.eie.gr/bib/80142" TargetMode="External"/><Relationship Id="rId59" Type="http://schemas.openxmlformats.org/officeDocument/2006/relationships/hyperlink" Target="https://archive.org/details/photiipatriarch00nabegoog" TargetMode="External"/><Relationship Id="rId60" Type="http://schemas.openxmlformats.org/officeDocument/2006/relationships/hyperlink" Target="https://archive.org/details/photiipatriarcha02phot" TargetMode="External"/><Relationship Id="rId61" Type="http://schemas.openxmlformats.org/officeDocument/2006/relationships/hyperlink" Target="https://museumbollandianum.be/records/4612" TargetMode="External"/><Relationship Id="rId62" Type="http://schemas.openxmlformats.org/officeDocument/2006/relationships/hyperlink" Target="https://library.aarome.org/bib/4061" TargetMode="External"/><Relationship Id="rId63" Type="http://schemas.openxmlformats.org/officeDocument/2006/relationships/hyperlink" Target="https://byzantion.uchile.cl/index.php/RBNH/article/view/70068" TargetMode="External"/><Relationship Id="rId64" Type="http://schemas.openxmlformats.org/officeDocument/2006/relationships/hyperlink" Target="https://github.com/OpenGreekAndLatin/First1KGreek" TargetMode="External"/><Relationship Id="rId65" Type="http://schemas.openxmlformats.org/officeDocument/2006/relationships/hyperlink" Target="https://www.vhmml.org/readingRoom" TargetMode="External"/><Relationship Id="rId66" Type="http://schemas.openxmlformats.org/officeDocument/2006/relationships/hyperlink" Target="https://stephanus.tlg.uci.edu/" TargetMode="External"/><Relationship Id="rId67" Type="http://schemas.openxmlformats.org/officeDocument/2006/relationships/hyperlink" Target="https://iiif.bodleian.ox.ac.uk/iiif/manifest/f57d074b-cff1-4172-8236-797c7b8f0403.json" TargetMode="External"/><Relationship Id="rId68" Type="http://schemas.openxmlformats.org/officeDocument/2006/relationships/hyperlink" Target="https://raw.githubusercontent.com/Arithmeticus/TAN-Evagrius/master/cpg2430/cpg2430.syr.0700.bl14578.tei.xml" TargetMode="External"/><Relationship Id="rId69" Type="http://schemas.openxmlformats.org/officeDocument/2006/relationships/hyperlink" Target="https://www.ccel.org/about/copyright.html" TargetMode="External"/><Relationship Id="rId70" Type="http://schemas.openxmlformats.org/officeDocument/2006/relationships/hyperlink" Target="https://bkv.unifr.ch/de/about/copyrights" TargetMode="External"/><Relationship Id="rId71" Type="http://schemas.openxmlformats.org/officeDocument/2006/relationships/hyperlink" Target="https://classics.mit.edu/Help/permissions.html" TargetMode="External"/><Relationship Id="rId72" Type="http://schemas.openxmlformats.org/officeDocument/2006/relationships/hyperlink" Target="https://stephanus.tlg.uci.edu/faq.php" TargetMode="External"/><Relationship Id="rId73" Type="http://schemas.openxmlformats.org/officeDocument/2006/relationships/hyperlink" Target="https://ccel.org/ccel/s/schaff/npnf207/cache/npnf207.txt" TargetMode="External"/><Relationship Id="rId74" Type="http://schemas.openxmlformats.org/officeDocument/2006/relationships/hyperlink" Target="https://evagriusponticus.net/cpg2430/cpg2430.grc.1971.guillaumo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T2-02</dc:title>
  <dc:subject>Византийская философия и комментарийная культура ранне-средней фазы</dc:subject>
  <dc:creator>ToS / Древо Софии</dc:creator>
  <cp:keywords>T2-02, корпус, источники, права, доступ</cp:keywords>
  <dc:description>generated by python-docx</dc:description>
  <cp:lastModifiedBy/>
  <cp:revision>1</cp:revision>
  <dcterms:created xsi:type="dcterms:W3CDTF">2013-12-23T23:15:00Z</dcterms:created>
  <dcterms:modified xsi:type="dcterms:W3CDTF">2013-12-23T23:15:00Z</dcterms:modified>
  <cp:category/>
</cp:coreProperties>
</file>