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rPr>
          <w:rFonts w:ascii="DejaVu Sans" w:hAnsi="DejaVu Sans"/>
          <w:b/>
          <w:color w:val="146A83"/>
          <w:sz w:val="24"/>
        </w:rPr>
        <w:t>ToS CORPUS &amp; RIGHTS REGISTRY</w:t>
      </w:r>
    </w:p>
    <w:p>
      <w:pPr>
        <w:pStyle w:val="Title"/>
        <w:jc w:val="center"/>
      </w:pPr>
      <w:r>
        <w:t>A06 — позднеегипетская демотическая</w:t>
        <w:br/>
        <w:t>храмовая учёность и герметический фон</w:t>
      </w:r>
    </w:p>
    <w:p>
      <w:pPr>
        <w:pStyle w:val="Subtitle"/>
        <w:jc w:val="center"/>
      </w:pPr>
      <w:r>
        <w:t>Исследовательский отчёт о корпусе, путях законного доступа и правах использования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6123"/>
      </w:tblGrid>
      <w:tr>
        <w:tc>
          <w:tcPr>
            <w:tcW w:type="dxa" w:w="4819"/>
            <w:shd w:fill="E8F2F5"/>
            <w:tcMar>
              <w:top w:w="130" w:type="dxa"/>
              <w:start w:w="160" w:type="dxa"/>
              <w:bottom w:w="130" w:type="dxa"/>
              <w:end w:w="140" w:type="dxa"/>
            </w:tcMar>
            <w:tcBorders>
              <w:bottom w:sz="4" w:val="single" w:color="D5E2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73A57"/>
              </w:rPr>
              <w:t>Строка ToS</w:t>
            </w:r>
          </w:p>
        </w:tc>
        <w:tc>
          <w:tcPr>
            <w:tcW w:type="dxa" w:w="4819"/>
            <w:shd w:fill="F8FAFB"/>
            <w:tcMar>
              <w:top w:w="130" w:type="dxa"/>
              <w:start w:w="160" w:type="dxa"/>
              <w:bottom w:w="130" w:type="dxa"/>
              <w:end w:w="140" w:type="dxa"/>
            </w:tcMar>
            <w:tcBorders>
              <w:bottom w:sz="4" w:val="single" w:color="D5E2E8"/>
            </w:tcBorders>
            <w:vAlign w:val="center"/>
          </w:tcPr>
          <w:p>
            <w:pPr>
              <w:spacing w:after="0"/>
            </w:pPr>
            <w:r>
              <w:t>A06</w:t>
            </w:r>
          </w:p>
        </w:tc>
      </w:tr>
      <w:tr>
        <w:tc>
          <w:tcPr>
            <w:tcW w:type="dxa" w:w="4819"/>
            <w:shd w:fill="E8F2F5"/>
            <w:tcMar>
              <w:top w:w="130" w:type="dxa"/>
              <w:start w:w="160" w:type="dxa"/>
              <w:bottom w:w="130" w:type="dxa"/>
              <w:end w:w="140" w:type="dxa"/>
            </w:tcMar>
            <w:tcBorders>
              <w:bottom w:sz="4" w:val="single" w:color="D5E2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73A57"/>
              </w:rPr>
              <w:t>Исходный статус</w:t>
            </w:r>
          </w:p>
        </w:tc>
        <w:tc>
          <w:tcPr>
            <w:tcW w:type="dxa" w:w="4819"/>
            <w:shd w:fill="F8FAFB"/>
            <w:tcMar>
              <w:top w:w="130" w:type="dxa"/>
              <w:start w:w="160" w:type="dxa"/>
              <w:bottom w:w="130" w:type="dxa"/>
              <w:end w:w="140" w:type="dxa"/>
            </w:tcMar>
            <w:tcBorders>
              <w:bottom w:sz="4" w:val="single" w:color="D5E2E8"/>
            </w:tcBorders>
            <w:vAlign w:val="center"/>
          </w:tcPr>
          <w:p>
            <w:pPr>
              <w:spacing w:after="0"/>
            </w:pPr>
            <w:r>
              <w:t>B</w:t>
            </w:r>
          </w:p>
        </w:tc>
      </w:tr>
      <w:tr>
        <w:tc>
          <w:tcPr>
            <w:tcW w:type="dxa" w:w="4819"/>
            <w:shd w:fill="E8F2F5"/>
            <w:tcMar>
              <w:top w:w="130" w:type="dxa"/>
              <w:start w:w="160" w:type="dxa"/>
              <w:bottom w:w="130" w:type="dxa"/>
              <w:end w:w="140" w:type="dxa"/>
            </w:tcMar>
            <w:tcBorders>
              <w:bottom w:sz="4" w:val="single" w:color="D5E2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73A57"/>
              </w:rPr>
              <w:t>Дата проверки</w:t>
            </w:r>
          </w:p>
        </w:tc>
        <w:tc>
          <w:tcPr>
            <w:tcW w:type="dxa" w:w="4819"/>
            <w:shd w:fill="F8FAFB"/>
            <w:tcMar>
              <w:top w:w="130" w:type="dxa"/>
              <w:start w:w="160" w:type="dxa"/>
              <w:bottom w:w="130" w:type="dxa"/>
              <w:end w:w="140" w:type="dxa"/>
            </w:tcMar>
            <w:tcBorders>
              <w:bottom w:sz="4" w:val="single" w:color="D5E2E8"/>
            </w:tcBorders>
            <w:vAlign w:val="center"/>
          </w:tcPr>
          <w:p>
            <w:pPr>
              <w:spacing w:after="0"/>
            </w:pPr>
            <w:r>
              <w:t>3 сентября 2026</w:t>
            </w:r>
          </w:p>
        </w:tc>
      </w:tr>
      <w:tr>
        <w:tc>
          <w:tcPr>
            <w:tcW w:type="dxa" w:w="4819"/>
            <w:shd w:fill="E8F2F5"/>
            <w:tcMar>
              <w:top w:w="130" w:type="dxa"/>
              <w:start w:w="160" w:type="dxa"/>
              <w:bottom w:w="130" w:type="dxa"/>
              <w:end w:w="140" w:type="dxa"/>
            </w:tcMar>
            <w:tcBorders>
              <w:bottom w:sz="4" w:val="single" w:color="D5E2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73A57"/>
              </w:rPr>
              <w:t>Исходный документ</w:t>
            </w:r>
          </w:p>
        </w:tc>
        <w:tc>
          <w:tcPr>
            <w:tcW w:type="dxa" w:w="4819"/>
            <w:shd w:fill="F8FAFB"/>
            <w:tcMar>
              <w:top w:w="130" w:type="dxa"/>
              <w:start w:w="160" w:type="dxa"/>
              <w:bottom w:w="130" w:type="dxa"/>
              <w:end w:w="140" w:type="dxa"/>
            </w:tcMar>
            <w:tcBorders>
              <w:bottom w:sz="4" w:val="single" w:color="D5E2E8"/>
            </w:tcBorders>
            <w:vAlign w:val="center"/>
          </w:tcPr>
          <w:p>
            <w:pPr>
              <w:spacing w:after="0"/>
            </w:pPr>
            <w:r>
              <w:t>ToS Deep Research_ A06 — позднеегипетская демотическая храмовая ученость и герметический фон(1).docx</w:t>
            </w:r>
          </w:p>
        </w:tc>
      </w:tr>
      <w:tr>
        <w:tc>
          <w:tcPr>
            <w:tcW w:type="dxa" w:w="4819"/>
            <w:shd w:fill="E8F2F5"/>
            <w:tcMar>
              <w:top w:w="130" w:type="dxa"/>
              <w:start w:w="160" w:type="dxa"/>
              <w:bottom w:w="130" w:type="dxa"/>
              <w:end w:w="140" w:type="dxa"/>
            </w:tcMar>
            <w:tcBorders>
              <w:bottom w:sz="4" w:val="single" w:color="D5E2E8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73A57"/>
              </w:rPr>
              <w:t>Итоговый пакет</w:t>
            </w:r>
          </w:p>
        </w:tc>
        <w:tc>
          <w:tcPr>
            <w:tcW w:type="dxa" w:w="4819"/>
            <w:shd w:fill="F8FAFB"/>
            <w:tcMar>
              <w:top w:w="130" w:type="dxa"/>
              <w:start w:w="160" w:type="dxa"/>
              <w:bottom w:w="130" w:type="dxa"/>
              <w:end w:w="140" w:type="dxa"/>
            </w:tcMar>
            <w:tcBorders>
              <w:bottom w:sz="4" w:val="single" w:color="D5E2E8"/>
            </w:tcBorders>
            <w:vAlign w:val="center"/>
          </w:tcPr>
          <w:p>
            <w:pPr>
              <w:spacing w:after="0"/>
            </w:pPr>
            <w:r>
              <w:t>97 способов доступа · 16 зафиксированных пробелов · отдельный XLSX-реестр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4EF"/>
            <w:tcBorders>
              <w:top w:sz="8" w:val="single" w:color="89B59B"/>
              <w:left w:sz="8" w:val="single" w:color="89B59B"/>
              <w:bottom w:sz="8" w:val="single" w:color="89B59B"/>
              <w:right w:sz="8" w:val="single" w:color="89B59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keepLines/>
              <w:spacing w:after="0"/>
            </w:pPr>
            <w:r>
              <w:t>Этот документ не заменяет XLSX: здесь собрана интерпретация охвата, лучшие маршруты доступа и карта прав. Каждая практически отличимая ссылка, версия, свидетель и rights statement находятся в листе registry; нерешённые item-level задачи — в листе gaps.</w:t>
            </w:r>
          </w:p>
        </w:tc>
      </w:tr>
    </w:tbl>
    <w:p>
      <w:pPr>
        <w:pStyle w:val="AbyssNote"/>
        <w:spacing w:before="520"/>
        <w:jc w:val="center"/>
      </w:pPr>
      <w:r>
        <w:t>Исследовательская оценка, не юридическое заключение. Для публичного зеркалирования и спорных трансграничных случаев нужна повторная проверка применимого права и актуальных условий сайта.</w:t>
      </w:r>
    </w:p>
    <w:p>
      <w:r>
        <w:br w:type="page"/>
      </w:r>
    </w:p>
    <w:p>
      <w:pPr>
        <w:pStyle w:val="Heading1"/>
        <w:keepNext/>
      </w:pPr>
      <w:r>
        <w:t>Содержание</w:t>
      </w:r>
    </w:p>
    <w:p>
      <w:pPr>
        <w:spacing w:after="60"/>
        <w:ind w:left="227"/>
      </w:pPr>
      <w:r>
        <w:t>1. Паспорт</w:t>
      </w:r>
    </w:p>
    <w:p>
      <w:pPr>
        <w:spacing w:after="60"/>
        <w:ind w:left="227"/>
      </w:pPr>
      <w:r>
        <w:t>2. Охват корпуса</w:t>
      </w:r>
    </w:p>
    <w:p>
      <w:pPr>
        <w:spacing w:after="60"/>
        <w:ind w:left="227"/>
      </w:pPr>
      <w:r>
        <w:t>3. Лучшие пути доступа</w:t>
      </w:r>
    </w:p>
    <w:p>
      <w:pPr>
        <w:spacing w:after="60"/>
        <w:ind w:left="227"/>
      </w:pPr>
      <w:r>
        <w:t>4. Карта прав и практического использования</w:t>
      </w:r>
    </w:p>
    <w:p>
      <w:pPr>
        <w:spacing w:after="60"/>
        <w:ind w:left="227"/>
      </w:pPr>
      <w:r>
        <w:t>5. Характерные правовые тонкости</w:t>
      </w:r>
    </w:p>
    <w:p>
      <w:pPr>
        <w:spacing w:after="60"/>
        <w:ind w:left="227"/>
      </w:pPr>
      <w:r>
        <w:t>6. Пробелы и дальнейший поиск</w:t>
      </w:r>
    </w:p>
    <w:p>
      <w:pPr>
        <w:spacing w:after="60"/>
        <w:ind w:left="227"/>
      </w:pPr>
      <w:r>
        <w:t>7. Итоговая оценка</w:t>
      </w:r>
    </w:p>
    <w:p>
      <w:pPr>
        <w:spacing w:after="60"/>
        <w:ind w:left="227"/>
      </w:pPr>
      <w:r>
        <w:t>Приложение. Опорные страницы и rights statements</w:t>
      </w:r>
    </w:p>
    <w:p>
      <w:pPr>
        <w:pStyle w:val="Heading1"/>
        <w:keepNext/>
      </w:pPr>
      <w:r>
        <w:t>1. Паспорт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6236"/>
      </w:tblGrid>
      <w:tr>
        <w:trPr>
          <w:cantSplit/>
        </w:trPr>
        <w:tc>
          <w:tcPr>
            <w:tcW w:type="dxa" w:w="4819"/>
            <w:shd w:fill="E8F2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color w:val="173A57"/>
              </w:rPr>
              <w:t>ID и название</w:t>
            </w:r>
          </w:p>
        </w:tc>
        <w:tc>
          <w:tcPr>
            <w:tcW w:type="dxa" w:w="4819"/>
            <w:shd w:fill="F9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t>A06 — позднеегипетская демотическая храмовая учёность и герметический фон</w:t>
            </w:r>
          </w:p>
        </w:tc>
      </w:tr>
      <w:tr>
        <w:trPr>
          <w:cantSplit/>
        </w:trPr>
        <w:tc>
          <w:tcPr>
            <w:tcW w:type="dxa" w:w="4819"/>
            <w:shd w:fill="E8F2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color w:val="173A57"/>
              </w:rPr>
              <w:t>Статус</w:t>
            </w:r>
          </w:p>
        </w:tc>
        <w:tc>
          <w:tcPr>
            <w:tcW w:type="dxa" w:w="481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t>B. ID, статус и исторические границы мастер-строки не изменялись.</w:t>
            </w:r>
          </w:p>
        </w:tc>
      </w:tr>
      <w:tr>
        <w:trPr>
          <w:cantSplit/>
        </w:trPr>
        <w:tc>
          <w:tcPr>
            <w:tcW w:type="dxa" w:w="4819"/>
            <w:shd w:fill="E8F2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color w:val="173A57"/>
              </w:rPr>
              <w:t>Исходный DR</w:t>
            </w:r>
          </w:p>
        </w:tc>
        <w:tc>
          <w:tcPr>
            <w:tcW w:type="dxa" w:w="4819"/>
            <w:shd w:fill="F9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t>ToS Deep Research_ A06 — позднеегипетская демотическая храмовая ученость и герметический фон(1).docx</w:t>
            </w:r>
          </w:p>
        </w:tc>
      </w:tr>
      <w:tr>
        <w:trPr>
          <w:cantSplit/>
        </w:trPr>
        <w:tc>
          <w:tcPr>
            <w:tcW w:type="dxa" w:w="4819"/>
            <w:shd w:fill="E8F2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color w:val="173A57"/>
              </w:rPr>
              <w:t>Проверено</w:t>
            </w:r>
          </w:p>
        </w:tc>
        <w:tc>
          <w:tcPr>
            <w:tcW w:type="dxa" w:w="481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t>2026-09-03</w:t>
            </w:r>
          </w:p>
        </w:tc>
      </w:tr>
      <w:tr>
        <w:trPr>
          <w:cantSplit/>
        </w:trPr>
        <w:tc>
          <w:tcPr>
            <w:tcW w:type="dxa" w:w="4819"/>
            <w:shd w:fill="E8F2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color w:val="173A57"/>
              </w:rPr>
              <w:t>Языки поиска</w:t>
            </w:r>
          </w:p>
        </w:tc>
        <w:tc>
          <w:tcPr>
            <w:tcW w:type="dxa" w:w="4819"/>
            <w:shd w:fill="F9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t>русский, английский, немецкий, французский, нидерландский, датский; варианты названий на демотическом/египетском, древнегреческом, коптском и латинском.</w:t>
            </w:r>
          </w:p>
        </w:tc>
      </w:tr>
      <w:tr>
        <w:trPr>
          <w:cantSplit/>
        </w:trPr>
        <w:tc>
          <w:tcPr>
            <w:tcW w:type="dxa" w:w="4819"/>
            <w:shd w:fill="E8F2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color w:val="173A57"/>
              </w:rPr>
              <w:t>Ядро</w:t>
            </w:r>
          </w:p>
        </w:tc>
        <w:tc>
          <w:tcPr>
            <w:tcW w:type="dxa" w:w="481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t>Book of Thoth; Instruction of Ankhsheshonqy; Papyrus Insinger; Demotic Chronicle; Book of Nut; тексты и институции храмовой библиотеки Тебтуниса; трёхъязычные жреческие декреты; ближайший герметический горизонт.</w:t>
            </w:r>
          </w:p>
        </w:tc>
      </w:tr>
      <w:tr>
        <w:trPr>
          <w:cantSplit/>
        </w:trPr>
        <w:tc>
          <w:tcPr>
            <w:tcW w:type="dxa" w:w="4819"/>
            <w:shd w:fill="E8F2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color w:val="173A57"/>
              </w:rPr>
              <w:t>Типы объектов</w:t>
            </w:r>
          </w:p>
        </w:tc>
        <w:tc>
          <w:tcPr>
            <w:tcW w:type="dxa" w:w="4819"/>
            <w:shd w:fill="F9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t>произведения и корпуса; физические свидетели; переводы и издания; цифровые тексты и факсимиле; datasets/API; каталоги и исследовательская навигация.</w:t>
            </w:r>
          </w:p>
        </w:tc>
      </w:tr>
      <w:tr>
        <w:trPr>
          <w:cantSplit/>
        </w:trPr>
        <w:tc>
          <w:tcPr>
            <w:tcW w:type="dxa" w:w="4819"/>
            <w:shd w:fill="E8F2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color w:val="173A57"/>
              </w:rPr>
              <w:t>Метод</w:t>
            </w:r>
          </w:p>
        </w:tc>
        <w:tc>
          <w:tcPr>
            <w:tcW w:type="dxa" w:w="481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t>исходный DR использован как карта, затем проведены item-level и rights-level веб-поиски назад и вперёд по времени; тематическое сходство без конкретной линии связи не считалось достаточным.</w:t>
            </w:r>
          </w:p>
        </w:tc>
      </w:tr>
    </w:tbl>
    <w:p>
      <w:pPr>
        <w:keepLines w:val="0"/>
      </w:pPr>
      <w:r>
        <w:t>В реестр включались не только свободные материалы. Сохранены бесплатное чтение и скачивание, библиотечная выдача, preview, покупка, метаданные и временно недоступные официальные сервисы. Для каждого маршрута отдельно оценены права на древнее произведение, современную редакцию или перевод, цифровой объект и условия платформы.</w:t>
      </w:r>
    </w:p>
    <w:p>
      <w:pPr>
        <w:pStyle w:val="Heading1"/>
        <w:keepNext/>
      </w:pPr>
      <w:r>
        <w:t>2. Охват корпуса</w:t>
      </w:r>
    </w:p>
    <w:p>
      <w:pPr>
        <w:pStyle w:val="Heading2"/>
        <w:keepNext/>
      </w:pPr>
      <w:r>
        <w:t>2.1. Ядро, извлечённое из исходного DR</w:t>
      </w:r>
    </w:p>
    <w:p>
      <w:pPr>
        <w:keepLines w:val="0"/>
      </w:pPr>
      <w:r>
        <w:t>Исходный документ задаёт не один текст, а среду позднеегипетской храмовой учёности. Поэтому центральный контур собран вокруг пяти текстовых якорей и одной институциональной экологии: Book of Thoth, Instruction of Ankhsheshonqy, Papyrus Insinger, Demotic Chronicle, Book of Nut и библиотека/«Дом жизни» Тебтуниса. Жреческие декреты и герметический фон включены там, где они показывают конкретные механизмы многоязычия, канонизации, трансляции и сохранения.</w:t>
      </w:r>
    </w:p>
    <w:p>
      <w:pPr>
        <w:pStyle w:val="ListBullet"/>
        <w:keepLines/>
        <w:spacing w:after="40"/>
      </w:pPr>
      <w:r>
        <w:t>Book of Thoth получил маршруты к трём DCLP-свидетелям, одному фрагменту Yale, preview и трём официальным современным изданиям.</w:t>
      </w:r>
    </w:p>
    <w:p>
      <w:pPr>
        <w:pStyle w:val="ListBullet"/>
        <w:keepLines/>
        <w:spacing w:after="40"/>
      </w:pPr>
      <w:r>
        <w:t>Instruction of Ankhsheshonqy связан с полным бесплатным SAOC 45, главным папирусным свидетелем British Museum и защищённым переводом Лихтхайм.</w:t>
      </w:r>
    </w:p>
    <w:p>
      <w:pPr>
        <w:pStyle w:val="ListBullet"/>
        <w:keepLines/>
        <w:spacing w:after="40"/>
      </w:pPr>
      <w:r>
        <w:t>Papyrus Insinger представлен основной лейденской рукописью RMO, фрагментами Penn, старым изданием Лексы, современным переводом и навигационной статьёй.</w:t>
      </w:r>
    </w:p>
    <w:p>
      <w:pPr>
        <w:pStyle w:val="ListBullet"/>
        <w:keepLines/>
        <w:spacing w:after="40"/>
      </w:pPr>
      <w:r>
        <w:t>Demotic Chronicle покрыт TLA, открытым DCLP/TEI, факсимиле Gallica, старым изданием Шпигельберга и библиотечным каталогом.</w:t>
      </w:r>
    </w:p>
    <w:p>
      <w:pPr>
        <w:pStyle w:val="ListBullet"/>
        <w:keepLines/>
        <w:spacing w:after="40"/>
      </w:pPr>
      <w:r>
        <w:t>Book of Nut и Тебтунис получили надёжную инвентарную и библиотечную рамку, но не полное открытое item-level факсимиле — это главный слабый участок ядра.</w:t>
      </w:r>
    </w:p>
    <w:p>
      <w:pPr>
        <w:pStyle w:val="Heading2"/>
        <w:keepNext/>
      </w:pPr>
      <w:r>
        <w:t>2.2. Расширение внутри той же храмовой и текстовой традиции</w:t>
      </w:r>
    </w:p>
    <w:p>
      <w:pPr>
        <w:keepLines w:val="0"/>
      </w:pPr>
      <w:r>
        <w:t>Веб-поиск добавил объекты, прямо принадлежащие той же библиотечной, жанровой или институциональной системе: Book of the Faiyum, Book/Manual of the Temple, Great Tebtunis Onomasticon, руководство жреческого знания, ежедневный ритуал Сокнебтуниса, список книжных заглавий, P. Carlsberg 651 с мемфисской религией и архаизирующей астрономией, цикл Петесе, Myth of the Sun’s Eye, Setne/Khaemwaset, поздний мудростный P. Brooklyn 47.218.135 и Demotic Magical Papyrus London–Leiden.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3EEF7"/>
            <w:tcBorders>
              <w:top w:sz="8" w:val="single" w:color="B6A0C7"/>
              <w:left w:sz="8" w:val="single" w:color="B6A0C7"/>
              <w:bottom w:sz="8" w:val="single" w:color="B6A0C7"/>
              <w:right w:sz="8" w:val="single" w:color="B6A0C7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keepLines/>
              <w:spacing w:after="0"/>
            </w:pPr>
            <w:r>
              <w:t>Принцип включения: каждый объект либо принадлежит тому же тебтунисскому библиотечному массиву, либо является прямым членом демотической мудростной/ритуальной семьи, либо сохраняет материал через перевод, фрагмент, компиляцию или канонический список.</w:t>
            </w:r>
          </w:p>
        </w:tc>
      </w:tr>
    </w:tbl>
    <w:p>
      <w:pPr>
        <w:pStyle w:val="Heading2"/>
        <w:keepNext/>
      </w:pPr>
      <w:r>
        <w:t>2.3. Поиск назад: antecedent-слой</w:t>
      </w:r>
    </w:p>
    <w:p>
      <w:pPr>
        <w:pStyle w:val="ListBullet"/>
        <w:keepLines/>
        <w:spacing w:after="40"/>
      </w:pPr>
      <w:r>
        <w:t>Instruction of Ptahhotep и Instruction of Kagemni — ранняя sebayt-линия, представленная Papyrus Prisse, IIIF и публичнодоменным переводом Ганна.</w:t>
      </w:r>
    </w:p>
    <w:p>
      <w:pPr>
        <w:pStyle w:val="ListBullet"/>
        <w:keepLines/>
        <w:spacing w:after="40"/>
      </w:pPr>
      <w:r>
        <w:t>Instruction of Amenemope — прямой сравнительный мудростный предшественник поздних инструкций.</w:t>
      </w:r>
    </w:p>
    <w:p>
      <w:pPr>
        <w:pStyle w:val="ListBullet"/>
        <w:keepLines/>
        <w:spacing w:after="40"/>
      </w:pPr>
      <w:r>
        <w:t>Teaching for King Merykara — ранняя этико-политическая форма наставления; добавлены UCL-текст и свидетель P. Carlsberg 6.</w:t>
      </w:r>
    </w:p>
    <w:p>
      <w:pPr>
        <w:pStyle w:val="ListBullet"/>
        <w:keepLines/>
        <w:spacing w:after="40"/>
      </w:pPr>
      <w:r>
        <w:t>Onomasticon of Amenemipet — конкретный предшественник поздних храмовых ономастиконов и классифицирующих списков.</w:t>
      </w:r>
    </w:p>
    <w:p>
      <w:pPr>
        <w:pStyle w:val="ListBullet"/>
        <w:keepLines/>
        <w:spacing w:after="40"/>
      </w:pPr>
      <w:r>
        <w:t>TLA Earlier Egyptian dataset — открытый, машиночитаемый CC BY-SA слой раннеегипетских предложений, пригодный для сопоставительного поиска.</w:t>
      </w:r>
    </w:p>
    <w:p>
      <w:pPr>
        <w:pStyle w:val="Heading2"/>
        <w:keepNext/>
      </w:pPr>
      <w:r>
        <w:t>2.4. Поиск вперёд: continuation, reception и preservation</w:t>
      </w:r>
    </w:p>
    <w:p>
      <w:pPr>
        <w:pStyle w:val="ListBullet"/>
        <w:keepLines/>
        <w:spacing w:after="40"/>
      </w:pPr>
      <w:r>
        <w:t>Corpus Hermeticum и Latin Asclepius — новая греко-латинская фаза Hermetica, связанная с египетским жреческим знанием не просто темой, а авторитетом Гермеса/Тота и книжной традицией.</w:t>
      </w:r>
    </w:p>
    <w:p>
      <w:pPr>
        <w:pStyle w:val="ListBullet"/>
        <w:keepLines/>
        <w:spacing w:after="40"/>
      </w:pPr>
      <w:r>
        <w:t>Стобеевы Hermetica — линия сохранения фрагментов, поэтому тома III–IV Nock–Festugière классифицированы как transmission_or_preservation.</w:t>
      </w:r>
    </w:p>
    <w:p>
      <w:pPr>
        <w:pStyle w:val="ListBullet"/>
        <w:keepLines/>
        <w:spacing w:after="40"/>
      </w:pPr>
      <w:r>
        <w:t>Nag Hammadi Codex VI,6–8 — коптская передача Discourse on the Eighth and Ninth, Prayer of Thanksgiving и фрагмента Asclepius; зарегистрированы facsimile-view, каталог и современные переводы.</w:t>
      </w:r>
    </w:p>
    <w:p>
      <w:pPr>
        <w:pStyle w:val="ListBullet"/>
        <w:keepLines/>
        <w:spacing w:after="40"/>
      </w:pPr>
      <w:r>
        <w:t>Clement, Stromata VI — testimonium о египетских книгах Гермеса и жреческом книжном каноне.</w:t>
      </w:r>
    </w:p>
    <w:p>
      <w:pPr>
        <w:pStyle w:val="ListBullet"/>
        <w:keepLines/>
        <w:spacing w:after="40"/>
      </w:pPr>
      <w:r>
        <w:t>Greek Magical Papyri и Demotic Magical Papyrus — пограничная ритуально-магическая линия, показывающая продолжение храмовых техник в многоязычном римско-египетском поле.</w:t>
      </w:r>
    </w:p>
    <w:p>
      <w:pPr>
        <w:pStyle w:val="ListBullet"/>
        <w:keepLines/>
        <w:spacing w:after="40"/>
      </w:pPr>
      <w:r>
        <w:t>Раннее печатное издание 1554 года и Mead 1906 добавлены как поздние, но практически важные слои сохранения и доступа.</w:t>
      </w:r>
    </w:p>
    <w:p>
      <w:pPr>
        <w:pStyle w:val="Heading2"/>
        <w:keepNext/>
      </w:pPr>
      <w:r>
        <w:t>2.5. Количественная сводка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shd w:fill="173A57"/>
            <w:tcMar>
              <w:top w:w="15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36"/>
              </w:rPr>
              <w:t>97</w:t>
            </w:r>
          </w:p>
        </w:tc>
        <w:tc>
          <w:tcPr>
            <w:tcW w:type="dxa" w:w="2409"/>
            <w:shd w:fill="173A57"/>
            <w:tcMar>
              <w:top w:w="15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36"/>
              </w:rPr>
              <w:t>≈35</w:t>
            </w:r>
          </w:p>
        </w:tc>
        <w:tc>
          <w:tcPr>
            <w:tcW w:type="dxa" w:w="2409"/>
            <w:shd w:fill="173A57"/>
            <w:tcMar>
              <w:top w:w="15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36"/>
              </w:rPr>
              <w:t>12</w:t>
            </w:r>
          </w:p>
        </w:tc>
        <w:tc>
          <w:tcPr>
            <w:tcW w:type="dxa" w:w="2409"/>
            <w:shd w:fill="173A57"/>
            <w:tcMar>
              <w:top w:w="15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36"/>
              </w:rPr>
              <w:t>16</w:t>
            </w:r>
          </w:p>
        </w:tc>
      </w:tr>
      <w:tr>
        <w:trPr>
          <w:cantSplit/>
        </w:trPr>
        <w:tc>
          <w:tcPr>
            <w:tcW w:type="dxa" w:w="2409"/>
            <w:shd w:fill="E8F2F5"/>
            <w:tcMar>
              <w:top w:w="80" w:type="dxa"/>
              <w:start w:w="90" w:type="dxa"/>
              <w:bottom w:w="15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color w:val="173A57"/>
                <w:sz w:val="17"/>
              </w:rPr>
              <w:t>практически различимых способов доступа</w:t>
            </w:r>
          </w:p>
        </w:tc>
        <w:tc>
          <w:tcPr>
            <w:tcW w:type="dxa" w:w="2409"/>
            <w:shd w:fill="E8F2F5"/>
            <w:tcMar>
              <w:top w:w="80" w:type="dxa"/>
              <w:start w:w="90" w:type="dxa"/>
              <w:bottom w:w="15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color w:val="173A57"/>
                <w:sz w:val="17"/>
              </w:rPr>
              <w:t>произведений и корпусных комплексов</w:t>
            </w:r>
          </w:p>
        </w:tc>
        <w:tc>
          <w:tcPr>
            <w:tcW w:type="dxa" w:w="2409"/>
            <w:shd w:fill="E8F2F5"/>
            <w:tcMar>
              <w:top w:w="80" w:type="dxa"/>
              <w:start w:w="90" w:type="dxa"/>
              <w:bottom w:w="15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color w:val="173A57"/>
                <w:sz w:val="17"/>
              </w:rPr>
              <w:t>инфраструктурных/навигационных слоёв</w:t>
            </w:r>
          </w:p>
        </w:tc>
        <w:tc>
          <w:tcPr>
            <w:tcW w:type="dxa" w:w="2409"/>
            <w:shd w:fill="E8F2F5"/>
            <w:tcMar>
              <w:top w:w="80" w:type="dxa"/>
              <w:start w:w="90" w:type="dxa"/>
              <w:bottom w:w="15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color w:val="173A57"/>
                <w:sz w:val="17"/>
              </w:rPr>
              <w:t>целевых пробелов на листе gaps</w:t>
            </w:r>
          </w:p>
        </w:tc>
      </w:tr>
    </w:tbl>
    <w:p>
      <w:pPr>
        <w:keepLines w:val="0"/>
      </w:pPr>
      <w:r>
        <w:t>Это не означает 97 разных произведений: одна строка реестра соответствует одному практически отличимому маршруту. Например, Demotic Chronicle имеет раздельные строки для TLA, DCLP, сырого TEI, Gallica, исторического издания и каталожного доступа. Такой уровень детализации нужен именно для прав и машинной обработки.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173A57"/>
          </w:tcPr>
          <w:p>
            <w:pPr>
              <w:spacing w:after="0"/>
            </w:pPr>
            <w:r>
              <w:rPr>
                <w:b/>
                <w:color w:val="FFFFFF"/>
              </w:rPr>
              <w:t>Роль</w:t>
            </w:r>
          </w:p>
        </w:tc>
        <w:tc>
          <w:tcPr>
            <w:tcW w:type="dxa" w:w="3213"/>
            <w:shd w:fill="173A57"/>
          </w:tcPr>
          <w:p>
            <w:pPr>
              <w:spacing w:after="0"/>
            </w:pPr>
            <w:r>
              <w:rPr>
                <w:b/>
                <w:color w:val="FFFFFF"/>
              </w:rPr>
              <w:t>Записей</w:t>
            </w:r>
          </w:p>
        </w:tc>
        <w:tc>
          <w:tcPr>
            <w:tcW w:type="dxa" w:w="3213"/>
            <w:shd w:fill="173A57"/>
          </w:tcPr>
          <w:p>
            <w:pPr>
              <w:spacing w:after="0"/>
            </w:pPr>
            <w:r>
              <w:rPr>
                <w:b/>
                <w:color w:val="FFFFFF"/>
              </w:rPr>
              <w:t>Смысл в A06</w:t>
            </w:r>
          </w:p>
        </w:tc>
      </w:tr>
      <w:tr>
        <w:trPr>
          <w:cantSplit/>
        </w:trP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ядро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20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прямой доступ к якорным текстам/свидетелям</w:t>
            </w:r>
          </w:p>
        </w:tc>
      </w:tr>
      <w:tr>
        <w:trPr>
          <w:cantSplit/>
        </w:trP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тот же корпус/традиция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18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тебтунисская, демотическая и храмовая семья</w:t>
            </w:r>
          </w:p>
        </w:tc>
      </w:tr>
      <w:tr>
        <w:trPr>
          <w:cantSplit/>
        </w:trP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предшественники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9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ранние sebayt, ономастика и языковой слой</w:t>
            </w:r>
          </w:p>
        </w:tc>
      </w:tr>
      <w:tr>
        <w:trPr>
          <w:cantSplit/>
        </w:trP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продолжение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греко-латинская фаза Hermetica</w:t>
            </w:r>
          </w:p>
        </w:tc>
      </w:tr>
      <w:tr>
        <w:trPr>
          <w:cantSplit/>
        </w:trP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комментарий/рецепция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современное переизложение/рецепция ядра</w:t>
            </w:r>
          </w:p>
        </w:tc>
      </w:tr>
      <w:tr>
        <w:trPr>
          <w:cantSplit/>
        </w:trP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передача/сохранение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21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переводы, старопечатные издания, Stobaeus, Nag Hammadi</w:t>
            </w:r>
          </w:p>
        </w:tc>
      </w:tr>
      <w:tr>
        <w:trPr>
          <w:cantSplit/>
        </w:trP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вспомогательные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декреты и сравнительные объекты</w:t>
            </w:r>
          </w:p>
        </w:tc>
      </w:tr>
      <w:tr>
        <w:trPr>
          <w:cantSplit/>
        </w:trP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пограничные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ритуально-магическая линия</w:t>
            </w:r>
          </w:p>
        </w:tc>
      </w:tr>
      <w:tr>
        <w:trPr>
          <w:cantSplit/>
        </w:trP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инфраструктура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12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корпусы, API, каталоги, datasets</w:t>
            </w:r>
          </w:p>
        </w:tc>
      </w:tr>
      <w:tr>
        <w:trPr>
          <w:cantSplit/>
        </w:trP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вторичная навигация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идентификация и библиография</w:t>
            </w:r>
          </w:p>
        </w:tc>
      </w:tr>
    </w:tbl>
    <w:p>
      <w:pPr>
        <w:pStyle w:val="Heading1"/>
        <w:keepNext/>
      </w:pPr>
      <w:r>
        <w:t>3. Лучшие пути доступа</w:t>
      </w:r>
    </w:p>
    <w:p>
      <w:pPr>
        <w:keepLines w:val="0"/>
      </w:pPr>
      <w:r>
        <w:t>Ниже перечислены не все ссылки, а лучшие практические маршруты. Под «лучшим» понимается сочетание полноты, научного качества, законности, машиночитаемости и прозрачности прав. Там, где полного бесплатного доступа нет, это прямо отмечено.</w:t>
      </w:r>
    </w:p>
    <w:p>
      <w:pPr>
        <w:pStyle w:val="Heading2"/>
        <w:keepNext/>
      </w:pPr>
      <w:r>
        <w:t>3.1. The Ancient Egyptian Book of Thoth</w:t>
      </w:r>
    </w:p>
    <w:p>
      <w:pPr>
        <w:pStyle w:val="ListBullet"/>
        <w:keepLines/>
        <w:spacing w:after="40"/>
      </w:pPr>
      <w:r>
        <w:t>Лучший бесплатный первичный цифровой слой: DCLP-свидетели 56015, 69412 и 69434 — HTML, TEI XML и RDF под CC BY 3.0. Это фрагменты, а не полный корпус.</w:t>
      </w:r>
    </w:p>
    <w:p>
      <w:pPr>
        <w:pStyle w:val="ListBullet"/>
        <w:keepLines/>
        <w:spacing w:after="40"/>
      </w:pPr>
      <w:r>
        <w:t>Лучший современный научный вариант: Jasnow–Zauzich, editio princeps и Book of Thoth II у Harrassowitz; том II добавляет 89 фрагментов и пересмотренную транслитерацию/перевод.</w:t>
      </w:r>
    </w:p>
    <w:p>
      <w:pPr>
        <w:pStyle w:val="ListBullet"/>
        <w:keepLines/>
        <w:spacing w:after="40"/>
      </w:pPr>
      <w:r>
        <w:t>Лучшее читательское современное введение: Conversations in the House of Life (2022), только покупка.</w:t>
      </w:r>
    </w:p>
    <w:p>
      <w:pPr>
        <w:pStyle w:val="ListBullet"/>
        <w:keepLines/>
        <w:spacing w:after="40"/>
      </w:pPr>
      <w:r>
        <w:t>Лучшее частичное ознакомление: Google Books preview; объём preview нестабилен.</w:t>
      </w:r>
    </w:p>
    <w:p>
      <w:pPr>
        <w:pStyle w:val="ListBullet"/>
        <w:keepLines/>
        <w:spacing w:after="40"/>
      </w:pPr>
      <w:r>
        <w:t>Главный пробел: полного открытого item-level набора всех фрагментов и их изображений не найдено.</w:t>
      </w:r>
    </w:p>
    <w:p>
      <w:pPr>
        <w:pStyle w:val="Heading2"/>
        <w:keepNext/>
      </w:pPr>
      <w:r>
        <w:t>3.2. Instruction of Ankhsheshonqy</w:t>
      </w:r>
    </w:p>
    <w:p>
      <w:pPr>
        <w:pStyle w:val="ListBullet"/>
        <w:keepLines/>
        <w:spacing w:after="40"/>
      </w:pPr>
      <w:r>
        <w:t>Лучший бесплатный полный научный маршрут: SAOC 45 на сайте ISAC — чтение и PDF без оплаты.</w:t>
      </w:r>
    </w:p>
    <w:p>
      <w:pPr>
        <w:pStyle w:val="ListBullet"/>
        <w:keepLines/>
        <w:spacing w:after="40"/>
      </w:pPr>
      <w:r>
        <w:t>Ограничение SAOC 45: файл можно скачать для личного некоммерческого использования, но ISAC требует распространять его только со своего сайта; ToS следует давать ссылку, а не зеркало.</w:t>
      </w:r>
    </w:p>
    <w:p>
      <w:pPr>
        <w:pStyle w:val="ListBullet"/>
        <w:keepLines/>
        <w:spacing w:after="40"/>
      </w:pPr>
      <w:r>
        <w:t>Лучший первичный свидетель: British Museum EA10508; доступен каталог/изображение, но item-level reuse rights требуют ручной проверки.</w:t>
      </w:r>
    </w:p>
    <w:p>
      <w:pPr>
        <w:pStyle w:val="ListBullet"/>
        <w:keepLines/>
        <w:spacing w:after="40"/>
      </w:pPr>
      <w:r>
        <w:t>Лучший современный английский перевод для чтения: Miriam Lichtheim, Ancient Egyptian Literature III — покупка/библиотека/preview.</w:t>
      </w:r>
    </w:p>
    <w:p>
      <w:pPr>
        <w:pStyle w:val="Heading2"/>
        <w:keepNext/>
      </w:pPr>
      <w:r>
        <w:t>3.3. Papyrus Insinger</w:t>
      </w:r>
    </w:p>
    <w:p>
      <w:pPr>
        <w:pStyle w:val="ListBullet"/>
        <w:keepLines/>
        <w:spacing w:after="40"/>
      </w:pPr>
      <w:r>
        <w:t>Лучший оригинал и наиболее свободный объект: RMO F 95/5.1. Музейные изображения и метаданные RMO объявлены CC0; это главный кандидат на OCR, локальную индексацию, embeddings и зеркалирование.</w:t>
      </w:r>
    </w:p>
    <w:p>
      <w:pPr>
        <w:pStyle w:val="ListBullet"/>
        <w:keepLines/>
        <w:spacing w:after="40"/>
      </w:pPr>
      <w:r>
        <w:t>Дополнительные физические фрагменты: Penn E16333A. Метаданные CC BY 4.0, но изображения имеют отдельные некоммерческие исследовательские условия.</w:t>
      </w:r>
    </w:p>
    <w:p>
      <w:pPr>
        <w:pStyle w:val="ListBullet"/>
        <w:keepLines/>
        <w:spacing w:after="40"/>
      </w:pPr>
      <w:r>
        <w:t>Лучшее старое издание: François Lexa (1926) через Open Library/Internet Archive; публичнодоменность по дате является выводом и требует проверки юрисдикции.</w:t>
      </w:r>
    </w:p>
    <w:p>
      <w:pPr>
        <w:pStyle w:val="ListBullet"/>
        <w:keepLines/>
        <w:spacing w:after="40"/>
      </w:pPr>
      <w:r>
        <w:t>Лучший современный английский перевод: Lichtheim III — защищённый, доступ через покупку/библиотеку.</w:t>
      </w:r>
    </w:p>
    <w:p>
      <w:pPr>
        <w:pStyle w:val="Heading2"/>
        <w:keepNext/>
      </w:pPr>
      <w:r>
        <w:t>3.4. Demotic Chronicle</w:t>
      </w:r>
    </w:p>
    <w:p>
      <w:pPr>
        <w:pStyle w:val="ListBullet"/>
        <w:keepLines/>
        <w:spacing w:after="40"/>
      </w:pPr>
      <w:r>
        <w:t>Лучший машиночитаемый вариант: DCLP 48875 и raw EpiDoc TEI XML под CC BY 3.0.</w:t>
      </w:r>
    </w:p>
    <w:p>
      <w:pPr>
        <w:pStyle w:val="ListBullet"/>
        <w:keepLines/>
        <w:spacing w:after="40"/>
      </w:pPr>
      <w:r>
        <w:t>Лучшее факсимиле: BnF/Gallica, Papyrus Égyptien 215; бесплатное чтение/скачивание, некоммерческое повторное использование с формулой атрибуции Gallica/BnF.</w:t>
      </w:r>
    </w:p>
    <w:p>
      <w:pPr>
        <w:pStyle w:val="ListBullet"/>
        <w:keepLines/>
        <w:spacing w:after="40"/>
      </w:pPr>
      <w:r>
        <w:t>Лучший лингвистический web-access: две текстовые единицы TLA; удобны для исследования, но web-корпус нельзя массово копировать по общим условиям.</w:t>
      </w:r>
    </w:p>
    <w:p>
      <w:pPr>
        <w:pStyle w:val="ListBullet"/>
        <w:keepLines/>
        <w:spacing w:after="40"/>
      </w:pPr>
      <w:r>
        <w:t>Лучшее историческое издание: Spiegelberg 1914 на Internet Archive; полезно для OCR и сопоставления, но научно устарело.</w:t>
      </w:r>
    </w:p>
    <w:p>
      <w:pPr>
        <w:pStyle w:val="Heading2"/>
        <w:keepNext/>
      </w:pPr>
      <w:r>
        <w:t>3.5. Book of Nut и библиотека Тебтуниса</w:t>
      </w:r>
    </w:p>
    <w:p>
      <w:pPr>
        <w:pStyle w:val="ListBullet"/>
        <w:keepLines/>
        <w:spacing w:after="40"/>
      </w:pPr>
      <w:r>
        <w:t>Лучший установленный первичный вход: inventory Papyrus Carlsberg для P. Carlsberg 1/1a; факсимиле или открытая транскрипция не найдены.</w:t>
      </w:r>
    </w:p>
    <w:p>
      <w:pPr>
        <w:pStyle w:val="ListBullet"/>
        <w:keepLines/>
        <w:spacing w:after="40"/>
      </w:pPr>
      <w:r>
        <w:t>Лучший современный научный вариант: Alexandra von Lieven, Grundriss des Laufes der Sterne — защищённое критическое издание, preview/покупка/библиотека.</w:t>
      </w:r>
    </w:p>
    <w:p>
      <w:pPr>
        <w:pStyle w:val="ListBullet"/>
        <w:keepLines/>
        <w:spacing w:after="40"/>
      </w:pPr>
      <w:r>
        <w:t>Лучшие навигационные слои: Carlsberg Demotic/Hieratic inventories, UCL overview и Berkeley Tebtunis resources.</w:t>
      </w:r>
    </w:p>
    <w:p>
      <w:pPr>
        <w:pStyle w:val="ListBullet"/>
        <w:keepLines/>
        <w:spacing w:after="40"/>
      </w:pPr>
      <w:r>
        <w:t>Самый важный следующий шаг: получить item-level изображения/IIIF и права на P. Carlsberg 1/1a, Book of the Faiyum, Temple Manual и Tebtunis Onomasticon.</w:t>
      </w:r>
    </w:p>
    <w:p>
      <w:pPr>
        <w:pStyle w:val="Heading2"/>
        <w:keepNext/>
      </w:pPr>
      <w:r>
        <w:t>3.6. Жреческие декреты и открытые изображения</w:t>
      </w:r>
    </w:p>
    <w:p>
      <w:pPr>
        <w:pStyle w:val="ListBullet"/>
        <w:keepLines/>
        <w:spacing w:after="40"/>
      </w:pPr>
      <w:r>
        <w:t>Rosetta Stone: официальный объект British Museum для идентификации; открытая фотография Wikimedia Commons под CC BY-SA 3.0 для законного повторного использования.</w:t>
      </w:r>
    </w:p>
    <w:p>
      <w:pPr>
        <w:pStyle w:val="ListBullet"/>
        <w:keepLines/>
        <w:spacing w:after="40"/>
      </w:pPr>
      <w:r>
        <w:t>Canopus Decree: British Museum даёт запись о гипсовом слепке, а не об оригинале; Commons-фотография верхней части — CC BY 2.0 и имеет только fragment coverage.</w:t>
      </w:r>
    </w:p>
    <w:p>
      <w:pPr>
        <w:pStyle w:val="ListBullet"/>
        <w:keepLines/>
        <w:spacing w:after="40"/>
      </w:pPr>
      <w:r>
        <w:t>Эти декреты включены как supporting: они показывают институциональное многоязычие жреческой учёности и переводческий режим, но не заменяют центральные тексты.</w:t>
      </w:r>
    </w:p>
    <w:p>
      <w:pPr>
        <w:pStyle w:val="Heading2"/>
        <w:keepNext/>
      </w:pPr>
      <w:r>
        <w:t>3.7. Hermetica, Nag Hammadi и магические папирусы</w:t>
      </w:r>
    </w:p>
    <w:p>
      <w:pPr>
        <w:pStyle w:val="ListBullet"/>
        <w:keepLines/>
        <w:spacing w:after="40"/>
      </w:pPr>
      <w:r>
        <w:t>Лучший свободный оригинальноязычный исторический слой Corpus Hermeticum: Greek–Latin editio princeps 1554 в BSB/MDZ. Качество чтений раннее; права на цифровой объект требуют проверки.</w:t>
      </w:r>
    </w:p>
    <w:p>
      <w:pPr>
        <w:pStyle w:val="ListBullet"/>
        <w:keepLines/>
        <w:spacing w:after="40"/>
      </w:pPr>
      <w:r>
        <w:t>Лучший старый английский перевод: Mead, Thrice-Greatest Hermes (1906), три тома на Internet Archive; публичнодоменность по дате, но не современная филология.</w:t>
      </w:r>
    </w:p>
    <w:p>
      <w:pPr>
        <w:pStyle w:val="ListBullet"/>
        <w:keepLines/>
        <w:spacing w:after="40"/>
      </w:pPr>
      <w:r>
        <w:t>Лучший современный английский вариант: Copenhaver, Hermetica, Cambridge — purchase/institutional/library.</w:t>
      </w:r>
    </w:p>
    <w:p>
      <w:pPr>
        <w:pStyle w:val="ListBullet"/>
        <w:keepLines/>
        <w:spacing w:after="40"/>
      </w:pPr>
      <w:r>
        <w:t>Лучший полный критический ряд: Nock–Festugière, Corpus Hermeticum I–IV, включая Stobaean fragments; защищённые тома Les Belles Lettres.</w:t>
      </w:r>
    </w:p>
    <w:p>
      <w:pPr>
        <w:pStyle w:val="ListBullet"/>
        <w:keepLines/>
        <w:spacing w:after="40"/>
      </w:pPr>
      <w:r>
        <w:t>Nag Hammadi Codex VI: лучший первичный визуальный доступ — Claremont Nag Hammadi Archive; изображения read-only/permission. Лучшие бесплатные переводы — Gnostic Society, но они защищены и link-only.</w:t>
      </w:r>
    </w:p>
    <w:p>
      <w:pPr>
        <w:pStyle w:val="ListBullet"/>
        <w:keepLines/>
        <w:spacing w:after="40"/>
      </w:pPr>
      <w:r>
        <w:t>Greek Magical Papyri: Betz остаётся главным современным переводом; открытого авторизованного полного Greek/Demotic dataset не подтверждено.</w:t>
      </w:r>
    </w:p>
    <w:p>
      <w:pPr>
        <w:pStyle w:val="ListBullet"/>
        <w:keepLines/>
        <w:spacing w:after="40"/>
      </w:pPr>
      <w:r>
        <w:t>Demotic Magical Papyrus London–Leiden: RMO-половина CC0; BM-половина требует отдельной проверки; Griffith–Thompson 1904 даёт публичнодоменный по дате исторический полный текст.</w:t>
      </w:r>
    </w:p>
    <w:p>
      <w:pPr>
        <w:pStyle w:val="Heading1"/>
        <w:keepNext/>
      </w:pPr>
      <w:r>
        <w:t>4. Карта прав и практического использования</w:t>
      </w:r>
    </w:p>
    <w:p>
      <w:pPr>
        <w:keepLines w:val="0"/>
      </w:pPr>
      <w:r>
        <w:t>Карта ниже основана на конкретном rights_scope каждой записи. Положительный тег не распространяется автоматически на соседний компонент страницы, на весь корпус или на изображение, если лицензия относится только к метаданным.</w:t>
      </w:r>
    </w:p>
    <w:p>
      <w:pPr>
        <w:pStyle w:val="Heading2"/>
        <w:keepNext/>
      </w:pPr>
      <w:r>
        <w:t>4.1. Наиболее пригодные для зеркалирования и машинной обработки слои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175"/>
        <w:gridCol w:w="3969"/>
      </w:tblGrid>
      <w:tr>
        <w:trPr>
          <w:tblHeader w:val="true"/>
        </w:trPr>
        <w:tc>
          <w:tcPr>
            <w:tcW w:type="dxa" w:w="3213"/>
            <w:shd w:fill="173A57"/>
          </w:tcPr>
          <w:p>
            <w:pPr>
              <w:spacing w:after="0"/>
            </w:pPr>
            <w:r>
              <w:rPr>
                <w:b/>
                <w:color w:val="FFFFFF"/>
              </w:rPr>
              <w:t>Слой</w:t>
            </w:r>
          </w:p>
        </w:tc>
        <w:tc>
          <w:tcPr>
            <w:tcW w:type="dxa" w:w="3213"/>
            <w:shd w:fill="173A57"/>
          </w:tcPr>
          <w:p>
            <w:pPr>
              <w:spacing w:after="0"/>
            </w:pPr>
            <w:r>
              <w:rPr>
                <w:b/>
                <w:color w:val="FFFFFF"/>
              </w:rPr>
              <w:t>Правовая опора</w:t>
            </w:r>
          </w:p>
        </w:tc>
        <w:tc>
          <w:tcPr>
            <w:tcW w:type="dxa" w:w="3213"/>
            <w:shd w:fill="173A57"/>
          </w:tcPr>
          <w:p>
            <w:pPr>
              <w:spacing w:after="0"/>
            </w:pPr>
            <w:r>
              <w:rPr>
                <w:b/>
                <w:color w:val="FFFFFF"/>
              </w:rPr>
              <w:t>Практический вывод для ToS</w:t>
            </w:r>
          </w:p>
        </w:tc>
      </w:tr>
      <w:tr>
        <w:trPr>
          <w:cantSplit/>
        </w:trPr>
        <w:tc>
          <w:tcPr>
            <w:tcW w:type="dxa" w:w="2154"/>
            <w:shd w:fill="F8FAFB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t>RMO Leiden</w:t>
            </w:r>
          </w:p>
        </w:tc>
        <w:tc>
          <w:tcPr>
            <w:tcW w:type="dxa" w:w="3175"/>
            <w:shd w:fill="F8FAFB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t>CC0: музейные метаданные и изображения, созданные RMO</w:t>
            </w:r>
          </w:p>
        </w:tc>
        <w:tc>
          <w:tcPr>
            <w:tcW w:type="dxa" w:w="3969"/>
            <w:shd w:fill="F8FAFB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t>MIRROR_OK, OCR_OK, FULLTEXT_INDEX_OK, EMBEDDINGS_OK; проверить сторонние материалы.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t>DCLP / Papyri.info</w:t>
            </w:r>
          </w:p>
        </w:tc>
        <w:tc>
          <w:tcPr>
            <w:tcW w:type="dxa" w:w="3175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t>CC BY 3.0: транскрипция, EpiDoc XML и метаданные DCLP</w:t>
            </w:r>
          </w:p>
        </w:tc>
        <w:tc>
          <w:tcPr>
            <w:tcW w:type="dxa" w:w="3969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t>Зеркало с атрибуцией; права не переходят на изображения репозитория.</w:t>
            </w:r>
          </w:p>
        </w:tc>
      </w:tr>
      <w:tr>
        <w:trPr>
          <w:cantSplit/>
        </w:trPr>
        <w:tc>
          <w:tcPr>
            <w:tcW w:type="dxa" w:w="2154"/>
            <w:shd w:fill="F8FAFB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t>TLA Hugging Face</w:t>
            </w:r>
          </w:p>
        </w:tc>
        <w:tc>
          <w:tcPr>
            <w:tcW w:type="dxa" w:w="3175"/>
            <w:shd w:fill="F8FAFB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t>CC BY-SA 4.0: выбранные демотические и раннеегипетские предложения</w:t>
            </w:r>
          </w:p>
        </w:tc>
        <w:tc>
          <w:tcPr>
            <w:tcW w:type="dxa" w:w="3969"/>
            <w:shd w:fill="F8FAFB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t>Зеркало/индекс/embeddings с атрибуцией и ShareAlike; coverage ограничен dataset release.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t>Penn collections data</w:t>
            </w:r>
          </w:p>
        </w:tc>
        <w:tc>
          <w:tcPr>
            <w:tcW w:type="dxa" w:w="3175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t>CC BY 4.0: скачанный metadata dataset</w:t>
            </w:r>
          </w:p>
        </w:tc>
        <w:tc>
          <w:tcPr>
            <w:tcW w:type="dxa" w:w="3969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t>Можно хранить и переиспользовать метаданные; изображения исключены.</w:t>
            </w:r>
          </w:p>
        </w:tc>
      </w:tr>
      <w:tr>
        <w:trPr>
          <w:cantSplit/>
        </w:trPr>
        <w:tc>
          <w:tcPr>
            <w:tcW w:type="dxa" w:w="2154"/>
            <w:shd w:fill="F8FAFB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t>Wikimedia Commons</w:t>
            </w:r>
          </w:p>
        </w:tc>
        <w:tc>
          <w:tcPr>
            <w:tcW w:type="dxa" w:w="3175"/>
            <w:shd w:fill="F8FAFB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t>Файловые CC BY/CC BY-SA лицензии</w:t>
            </w:r>
          </w:p>
        </w:tc>
        <w:tc>
          <w:tcPr>
            <w:tcW w:type="dxa" w:w="3969"/>
            <w:shd w:fill="F8FAFB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t>Зеркало с точной атрибуцией; ShareAlike там, где указан.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t>Gallica/BnF</w:t>
            </w:r>
          </w:p>
        </w:tc>
        <w:tc>
          <w:tcPr>
            <w:tcW w:type="dxa" w:w="3175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t>Публичнодоменное произведение; свободное некоммерческое повторное использование с source credit</w:t>
            </w:r>
          </w:p>
        </w:tc>
        <w:tc>
          <w:tcPr>
            <w:tcW w:type="dxa" w:w="3969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t>MIRROR_NONCOMMERCIAL; коммерческая переработка требует отдельной проверки.</w:t>
            </w:r>
          </w:p>
        </w:tc>
      </w:tr>
      <w:tr>
        <w:trPr>
          <w:cantSplit/>
        </w:trPr>
        <w:tc>
          <w:tcPr>
            <w:tcW w:type="dxa" w:w="2154"/>
            <w:shd w:fill="F8FAFB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t>Berkeley Tebtunis pages</w:t>
            </w:r>
          </w:p>
        </w:tc>
        <w:tc>
          <w:tcPr>
            <w:tcW w:type="dxa" w:w="3175"/>
            <w:shd w:fill="F8FAFB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t>CC BY-NC 4.0 except where noted</w:t>
            </w:r>
          </w:p>
        </w:tc>
        <w:tc>
          <w:tcPr>
            <w:tcW w:type="dxa" w:w="3969"/>
            <w:shd w:fill="F8FAFB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t>Только явно лицензированный page-level контент, не все изображения коллекции.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t>Trismegistos table dump</w:t>
            </w:r>
          </w:p>
        </w:tc>
        <w:tc>
          <w:tcPr>
            <w:tcW w:type="dxa" w:w="3175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t>CC BY-SA для идентифицированного компонента</w:t>
            </w:r>
          </w:p>
        </w:tc>
        <w:tc>
          <w:tcPr>
            <w:tcW w:type="dxa" w:w="3969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t>Использовать только проверенный dump; весь портал не считать открытым.</w:t>
            </w:r>
          </w:p>
        </w:tc>
      </w:tr>
    </w:tbl>
    <w:p>
      <w:pPr>
        <w:pStyle w:val="Heading2"/>
        <w:keepNext/>
      </w:pPr>
      <w:r>
        <w:t>4.2. Бесплатно читать или скачивать, но не зеркалировать</w:t>
      </w:r>
    </w:p>
    <w:p>
      <w:pPr>
        <w:pStyle w:val="ListBullet"/>
        <w:keepLines/>
        <w:spacing w:after="40"/>
      </w:pPr>
      <w:r>
        <w:t>ISAC EPI: SAOC 45 и SAOC 52 можно читать и скачивать, однако университет сохраняет copyright и требует распространять файлы только со своего сайта. Для ToS — LINK_OK, FREE_DOWNLOAD, LOCAL_RESEARCH_COPY, но LINK_ONLY для публичной выдачи.</w:t>
      </w:r>
    </w:p>
    <w:p>
      <w:pPr>
        <w:pStyle w:val="ListBullet"/>
        <w:keepLines/>
        <w:spacing w:after="40"/>
      </w:pPr>
      <w:r>
        <w:t>British Museum: доступ к карточкам и изображениям бесплатный, однако captured item-level licence недостаточна для зеркала. Свидетели можно индексировать как метаданные и связывать внешне.</w:t>
      </w:r>
    </w:p>
    <w:p>
      <w:pPr>
        <w:pStyle w:val="ListBullet"/>
        <w:keepLines/>
        <w:spacing w:after="40"/>
      </w:pPr>
      <w:r>
        <w:t>Claremont Nag Hammadi Archive: рукописные изображения открыты для просмотра, но copyright/physical rights retained; публичное копирование требует разрешения.</w:t>
      </w:r>
    </w:p>
    <w:p>
      <w:pPr>
        <w:pStyle w:val="ListBullet"/>
        <w:keepLines/>
        <w:spacing w:after="40"/>
      </w:pPr>
      <w:r>
        <w:t>Gnostic Society Library: современные переводы NHC VI доступны полностью, но отсутствие открытой лицензии оставляет их link-only.</w:t>
      </w:r>
    </w:p>
    <w:p>
      <w:pPr>
        <w:pStyle w:val="ListBullet"/>
        <w:keepLines/>
        <w:spacing w:after="40"/>
      </w:pPr>
      <w:r>
        <w:t>Sacred Texts и New Advent: underlying старые переводы могут быть публичнодоменными, но права на цифровую транскрипцию/форматирование сайта не установлены.</w:t>
      </w:r>
    </w:p>
    <w:p>
      <w:pPr>
        <w:pStyle w:val="Heading2"/>
        <w:keepNext/>
      </w:pPr>
      <w:r>
        <w:t>4.3. Некоммерческие, ShareAlike и иные условные маршруты</w:t>
      </w:r>
    </w:p>
    <w:p>
      <w:pPr>
        <w:pStyle w:val="ListBullet"/>
        <w:keepLines/>
        <w:spacing w:after="40"/>
      </w:pPr>
      <w:r>
        <w:t>CC BY-NC и Gallica noncommercial полезны для текущего публичного некоммерческого ToS, но они не дают разрешения на будущую коммерческую интеграцию.</w:t>
      </w:r>
    </w:p>
    <w:p>
      <w:pPr>
        <w:pStyle w:val="ListBullet"/>
        <w:keepLines/>
        <w:spacing w:after="40"/>
      </w:pPr>
      <w:r>
        <w:t>CC BY-SA требует не только атрибуции, но и распространения адаптированного материала на совместимых условиях. Для embeddings и derived datasets граница «адаптации» может зависеть от юрисдикции и технической формы.</w:t>
      </w:r>
    </w:p>
    <w:p>
      <w:pPr>
        <w:pStyle w:val="ListBullet"/>
        <w:keepLines/>
        <w:spacing w:after="40"/>
      </w:pPr>
      <w:r>
        <w:t>Penn images допускают некоммерческое исследование, образование и личное использование, однако это не универсальная лицензия на публичный хостинг; high-resolution и публикационные применения исключены.</w:t>
      </w:r>
    </w:p>
    <w:p>
      <w:pPr>
        <w:pStyle w:val="ListBullet"/>
        <w:keepLines/>
        <w:spacing w:after="40"/>
      </w:pPr>
      <w:r>
        <w:t>Некоторые старые издания свободны по дате в США, но статус за пределами США и права на конкретный scan могут отличаться.</w:t>
      </w:r>
    </w:p>
    <w:p>
      <w:pPr>
        <w:pStyle w:val="Heading2"/>
        <w:keepNext/>
      </w:pPr>
      <w:r>
        <w:t>4.4. OCR, полнотекстовый индекс и embeddings — три разные операции</w:t>
      </w:r>
    </w:p>
    <w:p>
      <w:pPr>
        <w:keepLines w:val="0"/>
      </w:pPr>
      <w:r>
        <w:t>В реестре они оценены раздельно. OCR_OK означает возможность распознавать указанный цифровой объект в доказанном scope; FULLTEXT_INDEX_OK — хранить/искать текстовый слой; EMBEDDINGS_OK — строить векторные представления. Например, Penn допускает локальный исследовательский OCR изображения, но это не означает право публично выдавать саму фотографию. DCLP XML, напротив, имеет прямую CC BY-лицензию на машинное переиспользование текста.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5D6"/>
            <w:tcBorders>
              <w:top w:sz="8" w:val="single" w:color="E0B75A"/>
              <w:left w:sz="8" w:val="single" w:color="E0B75A"/>
              <w:bottom w:sz="8" w:val="single" w:color="E0B75A"/>
              <w:right w:sz="8" w:val="single" w:color="E0B75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keepLines/>
              <w:spacing w:after="0"/>
            </w:pPr>
            <w:r>
              <w:t>Практический безопасный режим: хранить ограниченные или read-only изображения в локальной исследовательской зоне; публично показывать только ссылку и допустимые метаданные; производные индексы публиковать лишь там, где лицензия и rights_scope это позволяют.</w:t>
            </w:r>
          </w:p>
        </w:tc>
      </w:tr>
    </w:tbl>
    <w:p>
      <w:pPr>
        <w:pStyle w:val="Heading2"/>
        <w:keepNext/>
      </w:pPr>
      <w:r>
        <w:t>4.5. Где возможен собственный перевод 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146A83"/>
          </w:tcPr>
          <w:p>
            <w:pPr>
              <w:spacing w:after="0"/>
            </w:pPr>
            <w:r>
              <w:rPr>
                <w:b/>
                <w:color w:val="FFFFFF"/>
              </w:rPr>
              <w:t>Чистая основа</w:t>
            </w:r>
          </w:p>
        </w:tc>
        <w:tc>
          <w:tcPr>
            <w:tcW w:type="dxa" w:w="4819"/>
            <w:shd w:fill="146A83"/>
          </w:tcPr>
          <w:p>
            <w:pPr>
              <w:spacing w:after="0"/>
            </w:pPr>
            <w:r>
              <w:rPr>
                <w:b/>
                <w:color w:val="FFFFFF"/>
              </w:rPr>
              <w:t>Граница разрешения</w:t>
            </w:r>
          </w:p>
        </w:tc>
      </w:tr>
      <w:tr>
        <w:trPr>
          <w:cantSplit/>
        </w:trPr>
        <w:tc>
          <w:tcPr>
            <w:tcW w:type="dxa" w:w="4819"/>
            <w:shd w:fill="F7FAFB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t>DCLP / TEI</w:t>
            </w:r>
          </w:p>
        </w:tc>
        <w:tc>
          <w:tcPr>
            <w:tcW w:type="dxa" w:w="4819"/>
            <w:shd w:fill="F7FAFB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t>Открытая original-language транскрипция CC BY 3.0; только конкретный фрагмент/свидетель.</w:t>
            </w:r>
          </w:p>
        </w:tc>
      </w:tr>
      <w:tr>
        <w:trPr>
          <w:cantSplit/>
        </w:trPr>
        <w:tc>
          <w:tcPr>
            <w:tcW w:type="dxa" w:w="4819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t>RMO CC0</w:t>
            </w:r>
          </w:p>
        </w:tc>
        <w:tc>
          <w:tcPr>
            <w:tcW w:type="dxa" w:w="4819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t>Факсимиле Papyrus Insinger и Leiden I 383; перевод возможен в объёме читаемого изображения.</w:t>
            </w:r>
          </w:p>
        </w:tc>
      </w:tr>
      <w:tr>
        <w:trPr>
          <w:cantSplit/>
        </w:trPr>
        <w:tc>
          <w:tcPr>
            <w:tcW w:type="dxa" w:w="4819"/>
            <w:shd w:fill="F7FAFB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t>Gallica</w:t>
            </w:r>
          </w:p>
        </w:tc>
        <w:tc>
          <w:tcPr>
            <w:tcW w:type="dxa" w:w="4819"/>
            <w:shd w:fill="F7FAFB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t>Papyrus 215 и Papyrus Prisse; факсимиле как основа, но повторное использование изображения — в некоммерческом режиме с credit.</w:t>
            </w:r>
          </w:p>
        </w:tc>
      </w:tr>
      <w:tr>
        <w:trPr>
          <w:cantSplit/>
        </w:trPr>
        <w:tc>
          <w:tcPr>
            <w:tcW w:type="dxa" w:w="4819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t>Wikimedia Commons</w:t>
            </w:r>
          </w:p>
        </w:tc>
        <w:tc>
          <w:tcPr>
            <w:tcW w:type="dxa" w:w="4819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t>Открытые фотографии Rosetta, Canopus fragment и Papyrus Prisse fragment; coverage ограничен кадром.</w:t>
            </w:r>
          </w:p>
        </w:tc>
      </w:tr>
      <w:tr>
        <w:trPr>
          <w:cantSplit/>
        </w:trPr>
        <w:tc>
          <w:tcPr>
            <w:tcW w:type="dxa" w:w="4819"/>
            <w:shd w:fill="F7FAFB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t>TLA HF datasets</w:t>
            </w:r>
          </w:p>
        </w:tc>
        <w:tc>
          <w:tcPr>
            <w:tcW w:type="dxa" w:w="4819"/>
            <w:shd w:fill="F7FAFB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t>CC BY-SA original-language sentence layer; перевод только включённых предложений.</w:t>
            </w:r>
          </w:p>
        </w:tc>
      </w:tr>
      <w:tr>
        <w:trPr>
          <w:cantSplit/>
        </w:trPr>
        <w:tc>
          <w:tcPr>
            <w:tcW w:type="dxa" w:w="4819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t>BSB 1554 Hermetica</w:t>
            </w:r>
          </w:p>
        </w:tc>
        <w:tc>
          <w:tcPr>
            <w:tcW w:type="dxa" w:w="4819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t>Публичнодоменный греко-латинский печатный текст; цифровой-object reuse требует review, а филология ранняя.</w:t>
            </w:r>
          </w:p>
        </w:tc>
      </w:tr>
    </w:tbl>
    <w:p>
      <w:pPr>
        <w:keepLines w:val="0"/>
      </w:pPr>
      <w:r>
        <w:t>Безусловный OWN_TRANSLATION_POSSIBLE не поставлен для современных защищённых критических реконструкций Jasnow–Zauzich, von Lieven, Nock–Festugière, Copenhaver, Lichtheim и Betz. Их можно использовать как научный контроль и объект цитирования, но не как единственную «чистую» основу для свободно распространяемого нового перевода.</w:t>
      </w:r>
    </w:p>
    <w:p>
      <w:pPr>
        <w:pStyle w:val="Heading1"/>
        <w:keepNext/>
      </w:pPr>
      <w:r>
        <w:t>5. Характерные правовые тонкости</w:t>
      </w:r>
    </w:p>
    <w:p>
      <w:pPr>
        <w:keepLines/>
      </w:pPr>
      <w:r>
        <w:rPr>
          <w:b/>
          <w:color w:val="173A57"/>
        </w:rPr>
        <w:t xml:space="preserve">Древний текст ≠ свободная современная версия. </w:t>
      </w:r>
      <w:r>
        <w:t>Book of Thoth, Book of Nut, Copenhaver, Lichtheim, Nock–Festugière и Betz показывают главный паттерн A06: исходный work_rights свободен по возрасту, но реконструкция, перевод, комментарий, plates и издательский PDF защищены.</w:t>
      </w:r>
    </w:p>
    <w:p>
      <w:pPr>
        <w:keepLines/>
      </w:pPr>
      <w:r>
        <w:rPr>
          <w:b/>
          <w:color w:val="173A57"/>
        </w:rPr>
        <w:t xml:space="preserve">Скачивание ≠ право повторного размещения. </w:t>
      </w:r>
      <w:r>
        <w:t>ISAC прямо разрешает персональную копию, но требует, чтобы файлы распространялись только с ISAC. Wellcome-скан старой книги может быть бесплатно скачиваемым и одновременно маркироваться In Copyright.</w:t>
      </w:r>
    </w:p>
    <w:p>
      <w:pPr>
        <w:keepLines/>
      </w:pPr>
      <w:r>
        <w:rPr>
          <w:b/>
          <w:color w:val="173A57"/>
        </w:rPr>
        <w:t xml:space="preserve">Открытые метаданные ≠ открытые изображения. </w:t>
      </w:r>
      <w:r>
        <w:t>Penn metadata CC BY 4.0; изображения регулируются отдельными некоммерческими условиями. Аналогично DCLP CC BY распространяется на транскрипцию/XML, а не на факсимиле библиотек.</w:t>
      </w:r>
    </w:p>
    <w:p>
      <w:pPr>
        <w:keepLines/>
      </w:pPr>
      <w:r>
        <w:rPr>
          <w:b/>
          <w:color w:val="173A57"/>
        </w:rPr>
        <w:t xml:space="preserve">Общая политика не заменяет item-level доказательство. </w:t>
      </w:r>
      <w:r>
        <w:t>Для British Museum и части Carlsberg-объектов официальный каталог найден, но лицензия конкретного изображения не подтверждена. Поэтому LINK_OK и RIGHTS_REVIEW_REQUIRED, а не MIRROR_OK.</w:t>
      </w:r>
    </w:p>
    <w:p>
      <w:pPr>
        <w:keepLines/>
      </w:pPr>
      <w:r>
        <w:rPr>
          <w:b/>
          <w:color w:val="173A57"/>
        </w:rPr>
        <w:t xml:space="preserve">Открытая фотография имеет собственный coverage. </w:t>
      </w:r>
      <w:r>
        <w:t>Commons-фото Canopus показывает верхнюю часть; CC BY не превращает fragment в complete_work_or_corpus. Rosetta/Prisse также оцениваются на уровне конкретного файла.</w:t>
      </w:r>
    </w:p>
    <w:p>
      <w:pPr>
        <w:keepLines/>
      </w:pPr>
      <w:r>
        <w:rPr>
          <w:b/>
          <w:color w:val="173A57"/>
        </w:rPr>
        <w:t xml:space="preserve">Public domain по дате — правовой вывод, не лицензия. </w:t>
      </w:r>
      <w:r>
        <w:t>Lexa 1926, Spiegelberg 1914, Griffith–Thompson 1904 и Mead 1906 выглядят публичнодоменными в США, но реестр сохраняет юрисдикционную оговорку и не называет Public Domain Mark лицензией.</w:t>
      </w:r>
    </w:p>
    <w:p>
      <w:pPr>
        <w:keepLines/>
      </w:pPr>
      <w:r>
        <w:rPr>
          <w:b/>
          <w:color w:val="173A57"/>
        </w:rPr>
        <w:t xml:space="preserve">ShareAlike и NC должны пережить производный пайплайн. </w:t>
      </w:r>
      <w:r>
        <w:t>Если ToS публикует переработанную транскрипцию или dataset из CC BY-SA/CC BY-NC материала, условия должны быть отражены в метаданных, provenance и политике выгрузки.</w:t>
      </w:r>
    </w:p>
    <w:p>
      <w:pPr>
        <w:keepLines/>
      </w:pPr>
      <w:r>
        <w:rPr>
          <w:b/>
          <w:color w:val="173A57"/>
        </w:rPr>
        <w:t xml:space="preserve">Фрагмент не равен корпусу. </w:t>
      </w:r>
      <w:r>
        <w:t>DCLP может быть полностью доступен как XML, но это только один fragment. Положительные теги действуют в пределах coverage и не обещают доступ ко всему Book of Thoth или Myth of the Sun’s Eye.</w:t>
      </w:r>
    </w:p>
    <w:p>
      <w:pPr>
        <w:pStyle w:val="Heading1"/>
        <w:keepNext/>
      </w:pPr>
      <w:r>
        <w:t>6. Пробелы и дальнейший поиск</w:t>
      </w:r>
    </w:p>
    <w:p>
      <w:pPr>
        <w:keepLines w:val="0"/>
      </w:pPr>
      <w:r>
        <w:t>Лист gaps содержит 16 конкретных задач. Ниже вынесены те, которые сильнее всего влияют на полноту ядра и на возможность построить воспроизводимый машинный корпус.</w:t>
      </w:r>
    </w:p>
    <w:p>
      <w:pPr>
        <w:pStyle w:val="Heading2"/>
        <w:keepNext/>
      </w:pPr>
      <w:r>
        <w:t>6.1. Критические пробелы</w:t>
      </w:r>
    </w:p>
    <w:p>
      <w:pPr>
        <w:pStyle w:val="ListNumber"/>
        <w:keepLines/>
        <w:spacing w:after="60"/>
      </w:pPr>
      <w:r>
        <w:t>Полная карта всех фрагментов Book of Thoth: извлечь shelfmarks из двух томов Jasnow–Zauzich, сопоставить с DCLP/TM и музейными каталогами, найти item-level изображения и права.</w:t>
      </w:r>
    </w:p>
    <w:p>
      <w:pPr>
        <w:pStyle w:val="ListNumber"/>
        <w:keepLines/>
        <w:spacing w:after="60"/>
      </w:pPr>
      <w:r>
        <w:t>Book of Nut P. Carlsberg 1/1a: получить стабильные изображения/IIIF, техническую последовательность листов и официальные reproduction terms.</w:t>
      </w:r>
    </w:p>
    <w:p>
      <w:pPr>
        <w:pStyle w:val="ListNumber"/>
        <w:keepLines/>
        <w:spacing w:after="60"/>
      </w:pPr>
      <w:r>
        <w:t>Book/Manual of the Temple и Book of the Faiyum: перейти от inventory metadata к полному списку фрагментов, изданий и законных facsimile routes.</w:t>
      </w:r>
    </w:p>
    <w:p>
      <w:pPr>
        <w:pStyle w:val="ListNumber"/>
        <w:keepLines/>
        <w:spacing w:after="60"/>
      </w:pPr>
      <w:r>
        <w:t>Instruction of Ankhsheshonqy: вручную проверить полный набор листов BM EA10508 и зафиксировать item-level image rights.</w:t>
      </w:r>
    </w:p>
    <w:p>
      <w:pPr>
        <w:pStyle w:val="ListNumber"/>
        <w:keepLines/>
        <w:spacing w:after="60"/>
      </w:pPr>
      <w:r>
        <w:t>Myth of the Sun’s Eye: найти точную RMO-карточку Demotic witness Leiden I 384, проверить, входит ли фотография в музейный CC0 scope.</w:t>
      </w:r>
    </w:p>
    <w:p>
      <w:pPr>
        <w:pStyle w:val="ListNumber"/>
        <w:keepLines/>
        <w:spacing w:after="60"/>
      </w:pPr>
      <w:r>
        <w:t>Setne/Khaemwaset: разрешить точные Cairo/BM inventory numbers и найти официальные item pages.</w:t>
      </w:r>
    </w:p>
    <w:p>
      <w:pPr>
        <w:pStyle w:val="ListNumber"/>
        <w:keepLines/>
        <w:spacing w:after="60"/>
      </w:pPr>
      <w:r>
        <w:t>Nag Hammadi VI,6–8: подтвердить открытый Coptic transcription/TEI или зафиксировать, что доступен только read-only facsimile и защищённые переводы.</w:t>
      </w:r>
    </w:p>
    <w:p>
      <w:pPr>
        <w:pStyle w:val="ListNumber"/>
        <w:keepLines/>
        <w:spacing w:after="60"/>
      </w:pPr>
      <w:r>
        <w:t>Demotic Chronicle: получить и проверить отдельный IIIF manifest Gallica для Papyrus 215 и item-level rights badge.</w:t>
      </w:r>
    </w:p>
    <w:p>
      <w:pPr>
        <w:pStyle w:val="Heading2"/>
        <w:keepNext/>
      </w:pPr>
      <w:r>
        <w:t>6.2. Объекты с доступом только через покупку, библиотеку или preview</w:t>
      </w:r>
    </w:p>
    <w:p>
      <w:pPr>
        <w:keepLines w:val="0"/>
      </w:pPr>
      <w:r>
        <w:t>К этой группе относятся обе основные серии Book of Thoth у Harrassowitz, von Lieven по Book of Nut, Copenhaver, четыре тома Nock–Festugière, современные тома Nag Hammadi у Les Belles Lettres, Petese Stories и Betz PGM. Они сохранены в реестре как лучшие научные варианты, хотя ToS не может размещать их тексты.</w:t>
      </w:r>
    </w:p>
    <w:p>
      <w:pPr>
        <w:pStyle w:val="Heading2"/>
        <w:keepNext/>
      </w:pPr>
      <w:r>
        <w:t>6.3. Неясные или технически проблемные ссылки</w:t>
      </w:r>
    </w:p>
    <w:p>
      <w:pPr>
        <w:pStyle w:val="ListBullet"/>
        <w:keepLines/>
        <w:spacing w:after="40"/>
      </w:pPr>
      <w:r>
        <w:t>British Museum item pages возвращали 403 при автоматической проверке; URL и object IDs подтверждены поиском, но требуют ручного браузерного просмотра.</w:t>
      </w:r>
    </w:p>
    <w:p>
      <w:pPr>
        <w:pStyle w:val="ListBullet"/>
        <w:keepLines/>
        <w:spacing w:after="40"/>
      </w:pPr>
      <w:r>
        <w:t>Trismegistos table-dump endpoint временно отвечал 502; лицензия записана только для идентифицированного компонента, не для всего портала.</w:t>
      </w:r>
    </w:p>
    <w:p>
      <w:pPr>
        <w:pStyle w:val="ListBullet"/>
        <w:keepLines/>
        <w:spacing w:after="40"/>
      </w:pPr>
      <w:r>
        <w:t>BSB/MDZ viewer старого Poemander открылся как JavaScript-ошибка в автоматическом режиме; каталожная запись и stable identifier сохранены.</w:t>
      </w:r>
    </w:p>
    <w:p>
      <w:pPr>
        <w:pStyle w:val="ListBullet"/>
        <w:keepLines/>
        <w:spacing w:after="40"/>
      </w:pPr>
      <w:r>
        <w:t>Две item-level страницы Claremont доступны как официальные URL, но точное соответствие page image конкретному трактату NHC VI следует проверить вручную.</w:t>
      </w:r>
    </w:p>
    <w:p>
      <w:pPr>
        <w:pStyle w:val="Heading2"/>
        <w:keepNext/>
      </w:pPr>
      <w:r>
        <w:t>6.4. Целевые направления следующего прохода</w:t>
      </w:r>
    </w:p>
    <w:p>
      <w:pPr>
        <w:pStyle w:val="ListBullet"/>
        <w:keepLines/>
        <w:spacing w:after="40"/>
      </w:pPr>
      <w:r>
        <w:t>Провести shelfmark mining из защищённых справочных изданий, не копируя защищённый текст: извлечь только библиографические идентификаторы и разыскать официальные объекты.</w:t>
      </w:r>
    </w:p>
    <w:p>
      <w:pPr>
        <w:pStyle w:val="ListBullet"/>
        <w:keepLines/>
        <w:spacing w:after="40"/>
      </w:pPr>
      <w:r>
        <w:t>Запросить у Papyrus Carlsberg Collection список публичных image endpoints, IIIF и политику использования для научного некоммерческого проекта.</w:t>
      </w:r>
    </w:p>
    <w:p>
      <w:pPr>
        <w:pStyle w:val="ListBullet"/>
        <w:keepLines/>
        <w:spacing w:after="40"/>
      </w:pPr>
      <w:r>
        <w:t>Собрать item-level RMO API/OAI выдачу по Insinger, Leiden I 383 и Leiden I 384 и сохранить технические идентификаторы изображений.</w:t>
      </w:r>
    </w:p>
    <w:p>
      <w:pPr>
        <w:pStyle w:val="ListBullet"/>
        <w:keepLines/>
        <w:spacing w:after="40"/>
      </w:pPr>
      <w:r>
        <w:t>Проверить corpus manifests Coptic SCRIPTORIUM и GitHub-релизы на наличие NHC VI,6–8 и точную лицензию текстовых данных.</w:t>
      </w:r>
    </w:p>
    <w:p>
      <w:pPr>
        <w:pStyle w:val="ListBullet"/>
        <w:keepLines/>
        <w:spacing w:after="40"/>
      </w:pPr>
      <w:r>
        <w:t>Найти открытые или публичнодоменные original-language издания PGM и Setne через Heidelberg, Gallica, IA и национальные библиотеки.</w:t>
      </w:r>
    </w:p>
    <w:p>
      <w:pPr>
        <w:pStyle w:val="ListBullet"/>
        <w:keepLines/>
        <w:spacing w:after="40"/>
      </w:pPr>
      <w:r>
        <w:t>Разрешить все TM/DCLP IDs для Petese, Book of Faiyum, Temple Manual и Tebtunis onomastica; не ограничиваться портальной страницей.</w:t>
      </w:r>
    </w:p>
    <w:p>
      <w:pPr>
        <w:pStyle w:val="ListBullet"/>
        <w:keepLines/>
        <w:spacing w:after="40"/>
      </w:pPr>
      <w:r>
        <w:t>Проверить юрисдикцию и item rights у каждого IA/Open Library scan до зеркалирования; отделить публичнодоменный текст от scan-layer.</w:t>
      </w:r>
    </w:p>
    <w:p>
      <w:pPr>
        <w:pStyle w:val="ListBullet"/>
        <w:keepLines/>
        <w:spacing w:after="40"/>
      </w:pPr>
      <w:r>
        <w:t>Получить письменное permission или стабильный rights statement там, где ToS планирует публичную выдачу изображений, а не только ссылку.</w:t>
      </w:r>
    </w:p>
    <w:p>
      <w:pPr>
        <w:pStyle w:val="Heading1"/>
        <w:keepNext/>
      </w:pPr>
      <w:r>
        <w:t>7. Итоговая оценка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17"/>
      </w:tblGrid>
      <w:tr>
        <w:trPr>
          <w:tblHeader w:val="true"/>
        </w:trPr>
        <w:tc>
          <w:tcPr>
            <w:tcW w:type="dxa" w:w="4819"/>
            <w:shd w:fill="173A57"/>
          </w:tcPr>
          <w:p>
            <w:pPr>
              <w:spacing w:after="0"/>
            </w:pPr>
            <w:r>
              <w:rPr>
                <w:b/>
                <w:color w:val="FFFFFF"/>
              </w:rPr>
              <w:t>Измерение</w:t>
            </w:r>
          </w:p>
        </w:tc>
        <w:tc>
          <w:tcPr>
            <w:tcW w:type="dxa" w:w="4819"/>
            <w:shd w:fill="173A57"/>
          </w:tcPr>
          <w:p>
            <w:pPr>
              <w:spacing w:after="0"/>
            </w:pPr>
            <w:r>
              <w:rPr>
                <w:b/>
                <w:color w:val="FFFFFF"/>
              </w:rPr>
              <w:t>Оценка</w:t>
            </w:r>
          </w:p>
        </w:tc>
      </w:tr>
      <w:tr>
        <w:trPr>
          <w:cantSplit/>
        </w:trPr>
        <w:tc>
          <w:tcPr>
            <w:tcW w:type="dxa" w:w="2381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3A57"/>
              </w:rPr>
              <w:t>Покрытие корпуса</w:t>
            </w:r>
          </w:p>
        </w:tc>
        <w:tc>
          <w:tcPr>
            <w:tcW w:type="dxa" w:w="6917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Высокое для центральных произведений и основных линий передачи; среднее для полного witness-level состава Tebtunis/Carlsberg и Book of Thoth.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3A57"/>
              </w:rPr>
              <w:t>Оригиналы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Лучше всего доступны Papyrus Insinger, Demotic Chronicle, открытые фото декретов и часть DCLP; слабее всего — полный Book of Nut и комплекс храмовых мануалов.</w:t>
            </w:r>
          </w:p>
        </w:tc>
      </w:tr>
      <w:tr>
        <w:trPr>
          <w:cantSplit/>
        </w:trPr>
        <w:tc>
          <w:tcPr>
            <w:tcW w:type="dxa" w:w="2381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3A57"/>
              </w:rPr>
              <w:t>Переводы</w:t>
            </w:r>
          </w:p>
        </w:tc>
        <w:tc>
          <w:tcPr>
            <w:tcW w:type="dxa" w:w="6917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Современные английские и французские варианты хорошо идентифицированы, но в основном защищены; публичнодоменные переводы доступны для ранней мудрости и Mead Hermetica.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3A57"/>
              </w:rPr>
              <w:t>Самый свободный слой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RMO CC0, DCLP CC BY 3.0, TLA Hugging Face CC BY-SA 4.0, Penn metadata CC BY 4.0, Wikimedia CC, Gallica noncommercial.</w:t>
            </w:r>
          </w:p>
        </w:tc>
      </w:tr>
      <w:tr>
        <w:trPr>
          <w:cantSplit/>
        </w:trPr>
        <w:tc>
          <w:tcPr>
            <w:tcW w:type="dxa" w:w="2381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3A57"/>
              </w:rPr>
              <w:t>Главные ограничения</w:t>
            </w:r>
          </w:p>
        </w:tc>
        <w:tc>
          <w:tcPr>
            <w:tcW w:type="dxa" w:w="6917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Защищённые критические реконструкции/переводы; недостаток item-level facsimiles Carlsberg; смешанные права на музейные изображения; юрисдикция старых scan-изданий.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3A57"/>
              </w:rPr>
              <w:t>Готовность к Codex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Да. XLSX имеет плоскую, нормализуемую структуру, 32 заданных поля, стабильные record_id, отдельный gaps-лист и rights_scope для каждого позитивного tos_use-тега.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4EF"/>
            <w:tcBorders>
              <w:top w:sz="8" w:val="single" w:color="89B59B"/>
              <w:left w:sz="8" w:val="single" w:color="89B59B"/>
              <w:bottom w:sz="8" w:val="single" w:color="89B59B"/>
              <w:right w:sz="8" w:val="single" w:color="89B59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keepLines/>
              <w:spacing w:after="0"/>
            </w:pPr>
            <w:r>
              <w:t>Вывод: пакет пригоден как исследовательская передача в Codex. Он не сводит доступность к «свободно/несвободно», а сохраняет полный спектр — mirrorable, noncommercial, read/download, borrow, preview, purchase и metadata-only. Главное последующее усилие следует направить не на новые общие порталы, а на item-level разрешение фрагментов Book of Thoth, Book of Nut и тебтунисских храмовых мануалов.</w:t>
            </w:r>
          </w:p>
        </w:tc>
      </w:tr>
    </w:tbl>
    <w:p>
      <w:pPr>
        <w:pStyle w:val="AbyssNote"/>
      </w:pPr>
      <w:r>
        <w:t>Правовая оговорка. Оценки основаны на публичных statements и доступе на дату проверки. Условия сайтов меняются; перед зеркалированием, массовой публикацией данных или коммерческой сменой модели ToS следует повторно проверить права и применимую юрисдикцию.</w:t>
      </w:r>
    </w:p>
    <w:p>
      <w:r>
        <w:br w:type="page"/>
      </w:r>
    </w:p>
    <w:p>
      <w:pPr>
        <w:pStyle w:val="Heading1"/>
        <w:keepNext/>
      </w:pPr>
      <w:r>
        <w:t>Приложение. Опорные страницы и rights statements</w:t>
      </w:r>
    </w:p>
    <w:p>
      <w:pPr>
        <w:keepLines w:val="0"/>
      </w:pPr>
      <w:r>
        <w:t>Ниже — выборка ключевых официальных входов, достаточная для воспроизведения основных правовых выводов. Полный набор landing_url, direct_download_url и rights_evidence_url находится в XLSX.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4139"/>
        <w:gridCol w:w="2665"/>
      </w:tblGrid>
      <w:tr>
        <w:trPr>
          <w:tblHeader w:val="true"/>
        </w:trPr>
        <w:tc>
          <w:tcPr>
            <w:tcW w:type="dxa" w:w="3213"/>
            <w:shd w:fill="173A57"/>
          </w:tcPr>
          <w:p>
            <w:pPr>
              <w:spacing w:after="0"/>
            </w:pPr>
            <w:r>
              <w:rPr>
                <w:b/>
                <w:color w:val="FFFFFF"/>
              </w:rPr>
              <w:t>Опора</w:t>
            </w:r>
          </w:p>
        </w:tc>
        <w:tc>
          <w:tcPr>
            <w:tcW w:type="dxa" w:w="3213"/>
            <w:shd w:fill="173A57"/>
          </w:tcPr>
          <w:p>
            <w:pPr>
              <w:spacing w:after="0"/>
            </w:pPr>
            <w:r>
              <w:rPr>
                <w:b/>
                <w:color w:val="FFFFFF"/>
              </w:rPr>
              <w:t>Для чего использована</w:t>
            </w:r>
          </w:p>
        </w:tc>
        <w:tc>
          <w:tcPr>
            <w:tcW w:type="dxa" w:w="3213"/>
            <w:shd w:fill="173A57"/>
          </w:tcPr>
          <w:p>
            <w:pPr>
              <w:spacing w:after="0"/>
            </w:pPr>
            <w:r>
              <w:rPr>
                <w:b/>
                <w:color w:val="FFFFFF"/>
              </w:rPr>
              <w:t>Ссылки</w:t>
            </w:r>
          </w:p>
        </w:tc>
      </w:tr>
      <w:tr>
        <w:trPr>
          <w:cantSplit/>
        </w:trPr>
        <w:tc>
          <w:tcPr>
            <w:tcW w:type="dxa" w:w="2494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73A57"/>
              </w:rPr>
              <w:t>TLA web corpus</w:t>
            </w:r>
          </w:p>
        </w:tc>
        <w:tc>
          <w:tcPr>
            <w:tcW w:type="dxa" w:w="413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t>корпус и поиск</w:t>
            </w:r>
          </w:p>
        </w:tc>
        <w:tc>
          <w:tcPr>
            <w:tcW w:type="dxa" w:w="2665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hyperlink r:id="rId11">
              <w:r>
                <w:rPr>
                  <w:color w:val="146A83"/>
                  <w:u w:val="single"/>
                </w:rPr>
                <w:t>доступ</w:t>
              </w:r>
            </w:hyperlink>
            <w:r>
              <w:t xml:space="preserve"> · </w:t>
            </w:r>
            <w:hyperlink r:id="rId12">
              <w:r>
                <w:rPr>
                  <w:color w:val="146A83"/>
                  <w:u w:val="single"/>
                </w:rPr>
                <w:t>права</w:t>
              </w:r>
            </w:hyperlink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73A57"/>
              </w:rPr>
              <w:t>TLA Demotic v18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t>CC BY-SA dataset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hyperlink r:id="rId13">
              <w:r>
                <w:rPr>
                  <w:color w:val="146A83"/>
                  <w:u w:val="single"/>
                </w:rPr>
                <w:t>доступ</w:t>
              </w:r>
            </w:hyperlink>
            <w:r>
              <w:t xml:space="preserve"> · </w:t>
            </w:r>
            <w:hyperlink r:id="rId13">
              <w:r>
                <w:rPr>
                  <w:color w:val="146A83"/>
                  <w:u w:val="single"/>
                </w:rPr>
                <w:t>права</w:t>
              </w:r>
            </w:hyperlink>
          </w:p>
        </w:tc>
      </w:tr>
      <w:tr>
        <w:trPr>
          <w:cantSplit/>
        </w:trPr>
        <w:tc>
          <w:tcPr>
            <w:tcW w:type="dxa" w:w="2494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73A57"/>
              </w:rPr>
              <w:t>Papyri.info / DCLP</w:t>
            </w:r>
          </w:p>
        </w:tc>
        <w:tc>
          <w:tcPr>
            <w:tcW w:type="dxa" w:w="413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t>TEI/XML и CC BY</w:t>
            </w:r>
          </w:p>
        </w:tc>
        <w:tc>
          <w:tcPr>
            <w:tcW w:type="dxa" w:w="2665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hyperlink r:id="rId14">
              <w:r>
                <w:rPr>
                  <w:color w:val="146A83"/>
                  <w:u w:val="single"/>
                </w:rPr>
                <w:t>доступ</w:t>
              </w:r>
            </w:hyperlink>
            <w:r>
              <w:t xml:space="preserve"> · </w:t>
            </w:r>
            <w:hyperlink r:id="rId15">
              <w:r>
                <w:rPr>
                  <w:color w:val="146A83"/>
                  <w:u w:val="single"/>
                </w:rPr>
                <w:t>права</w:t>
              </w:r>
            </w:hyperlink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73A57"/>
              </w:rPr>
              <w:t>RMO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t>CC0 images/metadata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hyperlink r:id="rId16">
              <w:r>
                <w:rPr>
                  <w:color w:val="146A83"/>
                  <w:u w:val="single"/>
                </w:rPr>
                <w:t>доступ</w:t>
              </w:r>
            </w:hyperlink>
            <w:r>
              <w:t xml:space="preserve"> · </w:t>
            </w:r>
            <w:hyperlink r:id="rId17">
              <w:r>
                <w:rPr>
                  <w:color w:val="146A83"/>
                  <w:u w:val="single"/>
                </w:rPr>
                <w:t>права</w:t>
              </w:r>
            </w:hyperlink>
          </w:p>
        </w:tc>
      </w:tr>
      <w:tr>
        <w:trPr>
          <w:cantSplit/>
        </w:trPr>
        <w:tc>
          <w:tcPr>
            <w:tcW w:type="dxa" w:w="2494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73A57"/>
              </w:rPr>
              <w:t>Penn Museum</w:t>
            </w:r>
          </w:p>
        </w:tc>
        <w:tc>
          <w:tcPr>
            <w:tcW w:type="dxa" w:w="413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t>Insinger fragment + split rights</w:t>
            </w:r>
          </w:p>
        </w:tc>
        <w:tc>
          <w:tcPr>
            <w:tcW w:type="dxa" w:w="2665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hyperlink r:id="rId18">
              <w:r>
                <w:rPr>
                  <w:color w:val="146A83"/>
                  <w:u w:val="single"/>
                </w:rPr>
                <w:t>доступ</w:t>
              </w:r>
            </w:hyperlink>
            <w:r>
              <w:t xml:space="preserve"> · </w:t>
            </w:r>
            <w:hyperlink r:id="rId19">
              <w:r>
                <w:rPr>
                  <w:color w:val="146A83"/>
                  <w:u w:val="single"/>
                </w:rPr>
                <w:t>права</w:t>
              </w:r>
            </w:hyperlink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73A57"/>
              </w:rPr>
              <w:t>Gallica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t>Demotic Chronicle facsimile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hyperlink r:id="rId20">
              <w:r>
                <w:rPr>
                  <w:color w:val="146A83"/>
                  <w:u w:val="single"/>
                </w:rPr>
                <w:t>доступ</w:t>
              </w:r>
            </w:hyperlink>
            <w:r>
              <w:t xml:space="preserve"> · </w:t>
            </w:r>
            <w:hyperlink r:id="rId21">
              <w:r>
                <w:rPr>
                  <w:color w:val="146A83"/>
                  <w:u w:val="single"/>
                </w:rPr>
                <w:t>права</w:t>
              </w:r>
            </w:hyperlink>
          </w:p>
        </w:tc>
      </w:tr>
      <w:tr>
        <w:trPr>
          <w:cantSplit/>
        </w:trPr>
        <w:tc>
          <w:tcPr>
            <w:tcW w:type="dxa" w:w="2494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73A57"/>
              </w:rPr>
              <w:t>ISAC SAOC 45</w:t>
            </w:r>
          </w:p>
        </w:tc>
        <w:tc>
          <w:tcPr>
            <w:tcW w:type="dxa" w:w="413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t>Ankhsheshonqy PDF</w:t>
            </w:r>
          </w:p>
        </w:tc>
        <w:tc>
          <w:tcPr>
            <w:tcW w:type="dxa" w:w="2665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hyperlink r:id="rId22">
              <w:r>
                <w:rPr>
                  <w:color w:val="146A83"/>
                  <w:u w:val="single"/>
                </w:rPr>
                <w:t>доступ</w:t>
              </w:r>
            </w:hyperlink>
            <w:r>
              <w:t xml:space="preserve"> · </w:t>
            </w:r>
            <w:hyperlink r:id="rId23">
              <w:r>
                <w:rPr>
                  <w:color w:val="146A83"/>
                  <w:u w:val="single"/>
                </w:rPr>
                <w:t>права</w:t>
              </w:r>
            </w:hyperlink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73A57"/>
              </w:rPr>
              <w:t>Papyrus Carlsberg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t>Tebtunis inventory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hyperlink r:id="rId24">
              <w:r>
                <w:rPr>
                  <w:color w:val="146A83"/>
                  <w:u w:val="single"/>
                </w:rPr>
                <w:t>доступ</w:t>
              </w:r>
            </w:hyperlink>
            <w:r>
              <w:t xml:space="preserve"> · </w:t>
            </w:r>
            <w:hyperlink r:id="rId25">
              <w:r>
                <w:rPr>
                  <w:color w:val="146A83"/>
                  <w:u w:val="single"/>
                </w:rPr>
                <w:t>права</w:t>
              </w:r>
            </w:hyperlink>
          </w:p>
        </w:tc>
      </w:tr>
      <w:tr>
        <w:trPr>
          <w:cantSplit/>
        </w:trPr>
        <w:tc>
          <w:tcPr>
            <w:tcW w:type="dxa" w:w="2494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73A57"/>
              </w:rPr>
              <w:t>Berkeley Tebtunis</w:t>
            </w:r>
          </w:p>
        </w:tc>
        <w:tc>
          <w:tcPr>
            <w:tcW w:type="dxa" w:w="413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t>collection and CC BY-NC page</w:t>
            </w:r>
          </w:p>
        </w:tc>
        <w:tc>
          <w:tcPr>
            <w:tcW w:type="dxa" w:w="2665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hyperlink r:id="rId26">
              <w:r>
                <w:rPr>
                  <w:color w:val="146A83"/>
                  <w:u w:val="single"/>
                </w:rPr>
                <w:t>доступ</w:t>
              </w:r>
            </w:hyperlink>
            <w:r>
              <w:t xml:space="preserve"> · </w:t>
            </w:r>
            <w:hyperlink r:id="rId26">
              <w:r>
                <w:rPr>
                  <w:color w:val="146A83"/>
                  <w:u w:val="single"/>
                </w:rPr>
                <w:t>права</w:t>
              </w:r>
            </w:hyperlink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73A57"/>
              </w:rPr>
              <w:t>Book of Thoth I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t>official critical edition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hyperlink r:id="rId27">
              <w:r>
                <w:rPr>
                  <w:color w:val="146A83"/>
                  <w:u w:val="single"/>
                </w:rPr>
                <w:t>доступ</w:t>
              </w:r>
            </w:hyperlink>
            <w:r>
              <w:t xml:space="preserve"> · </w:t>
            </w:r>
            <w:hyperlink r:id="rId27">
              <w:r>
                <w:rPr>
                  <w:color w:val="146A83"/>
                  <w:u w:val="single"/>
                </w:rPr>
                <w:t>права</w:t>
              </w:r>
            </w:hyperlink>
          </w:p>
        </w:tc>
      </w:tr>
      <w:tr>
        <w:trPr>
          <w:cantSplit/>
        </w:trPr>
        <w:tc>
          <w:tcPr>
            <w:tcW w:type="dxa" w:w="2494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73A57"/>
              </w:rPr>
              <w:t>Book of Thoth II</w:t>
            </w:r>
          </w:p>
        </w:tc>
        <w:tc>
          <w:tcPr>
            <w:tcW w:type="dxa" w:w="413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t>89 additional fragments</w:t>
            </w:r>
          </w:p>
        </w:tc>
        <w:tc>
          <w:tcPr>
            <w:tcW w:type="dxa" w:w="2665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hyperlink r:id="rId28">
              <w:r>
                <w:rPr>
                  <w:color w:val="146A83"/>
                  <w:u w:val="single"/>
                </w:rPr>
                <w:t>доступ</w:t>
              </w:r>
            </w:hyperlink>
            <w:r>
              <w:t xml:space="preserve"> · </w:t>
            </w:r>
            <w:hyperlink r:id="rId28">
              <w:r>
                <w:rPr>
                  <w:color w:val="146A83"/>
                  <w:u w:val="single"/>
                </w:rPr>
                <w:t>права</w:t>
              </w:r>
            </w:hyperlink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73A57"/>
              </w:rPr>
              <w:t>Copenhaver Hermetica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t>modern English scholarship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hyperlink r:id="rId29">
              <w:r>
                <w:rPr>
                  <w:color w:val="146A83"/>
                  <w:u w:val="single"/>
                </w:rPr>
                <w:t>доступ</w:t>
              </w:r>
            </w:hyperlink>
            <w:r>
              <w:t xml:space="preserve"> · </w:t>
            </w:r>
            <w:hyperlink r:id="rId29">
              <w:r>
                <w:rPr>
                  <w:color w:val="146A83"/>
                  <w:u w:val="single"/>
                </w:rPr>
                <w:t>права</w:t>
              </w:r>
            </w:hyperlink>
          </w:p>
        </w:tc>
      </w:tr>
      <w:tr>
        <w:trPr>
          <w:cantSplit/>
        </w:trPr>
        <w:tc>
          <w:tcPr>
            <w:tcW w:type="dxa" w:w="2494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73A57"/>
              </w:rPr>
              <w:t>BSB Poemander 1554</w:t>
            </w:r>
          </w:p>
        </w:tc>
        <w:tc>
          <w:tcPr>
            <w:tcW w:type="dxa" w:w="413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t>Greek–Latin facsimile</w:t>
            </w:r>
          </w:p>
        </w:tc>
        <w:tc>
          <w:tcPr>
            <w:tcW w:type="dxa" w:w="2665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hyperlink r:id="rId30">
              <w:r>
                <w:rPr>
                  <w:color w:val="146A83"/>
                  <w:u w:val="single"/>
                </w:rPr>
                <w:t>доступ</w:t>
              </w:r>
            </w:hyperlink>
            <w:r>
              <w:t xml:space="preserve"> · </w:t>
            </w:r>
            <w:hyperlink r:id="rId30">
              <w:r>
                <w:rPr>
                  <w:color w:val="146A83"/>
                  <w:u w:val="single"/>
                </w:rPr>
                <w:t>права</w:t>
              </w:r>
            </w:hyperlink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73A57"/>
              </w:rPr>
              <w:t>Claremont Nag Hammadi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t>Codex VI facsimiles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hyperlink r:id="rId31">
              <w:r>
                <w:rPr>
                  <w:color w:val="146A83"/>
                  <w:u w:val="single"/>
                </w:rPr>
                <w:t>доступ</w:t>
              </w:r>
            </w:hyperlink>
            <w:r>
              <w:t xml:space="preserve"> · </w:t>
            </w:r>
            <w:hyperlink r:id="rId31">
              <w:r>
                <w:rPr>
                  <w:color w:val="146A83"/>
                  <w:u w:val="single"/>
                </w:rPr>
                <w:t>права</w:t>
              </w:r>
            </w:hyperlink>
          </w:p>
        </w:tc>
      </w:tr>
      <w:tr>
        <w:trPr>
          <w:cantSplit/>
        </w:trPr>
        <w:tc>
          <w:tcPr>
            <w:tcW w:type="dxa" w:w="2494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73A57"/>
              </w:rPr>
              <w:t>Gnostic Society</w:t>
            </w:r>
          </w:p>
        </w:tc>
        <w:tc>
          <w:tcPr>
            <w:tcW w:type="dxa" w:w="413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t>free protected translations</w:t>
            </w:r>
          </w:p>
        </w:tc>
        <w:tc>
          <w:tcPr>
            <w:tcW w:type="dxa" w:w="2665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hyperlink r:id="rId32">
              <w:r>
                <w:rPr>
                  <w:color w:val="146A83"/>
                  <w:u w:val="single"/>
                </w:rPr>
                <w:t>доступ</w:t>
              </w:r>
            </w:hyperlink>
            <w:r>
              <w:t xml:space="preserve"> · </w:t>
            </w:r>
            <w:hyperlink r:id="rId32">
              <w:r>
                <w:rPr>
                  <w:color w:val="146A83"/>
                  <w:u w:val="single"/>
                </w:rPr>
                <w:t>права</w:t>
              </w:r>
            </w:hyperlink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73A57"/>
              </w:rPr>
              <w:t>Wikimedia Rosetta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t>CC BY-SA photograph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hyperlink r:id="rId33">
              <w:r>
                <w:rPr>
                  <w:color w:val="146A83"/>
                  <w:u w:val="single"/>
                </w:rPr>
                <w:t>доступ</w:t>
              </w:r>
            </w:hyperlink>
            <w:r>
              <w:t xml:space="preserve"> · </w:t>
            </w:r>
            <w:hyperlink r:id="rId33">
              <w:r>
                <w:rPr>
                  <w:color w:val="146A83"/>
                  <w:u w:val="single"/>
                </w:rPr>
                <w:t>права</w:t>
              </w:r>
            </w:hyperlink>
          </w:p>
        </w:tc>
      </w:tr>
      <w:tr>
        <w:trPr>
          <w:cantSplit/>
        </w:trPr>
        <w:tc>
          <w:tcPr>
            <w:tcW w:type="dxa" w:w="2494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73A57"/>
              </w:rPr>
              <w:t>Wikimedia Canopus</w:t>
            </w:r>
          </w:p>
        </w:tc>
        <w:tc>
          <w:tcPr>
            <w:tcW w:type="dxa" w:w="413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t>CC BY fragment photograph</w:t>
            </w:r>
          </w:p>
        </w:tc>
        <w:tc>
          <w:tcPr>
            <w:tcW w:type="dxa" w:w="2665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hyperlink r:id="rId34">
              <w:r>
                <w:rPr>
                  <w:color w:val="146A83"/>
                  <w:u w:val="single"/>
                </w:rPr>
                <w:t>доступ</w:t>
              </w:r>
            </w:hyperlink>
            <w:r>
              <w:t xml:space="preserve"> · </w:t>
            </w:r>
            <w:hyperlink r:id="rId34">
              <w:r>
                <w:rPr>
                  <w:color w:val="146A83"/>
                  <w:u w:val="single"/>
                </w:rPr>
                <w:t>права</w:t>
              </w:r>
            </w:hyperlink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73A57"/>
              </w:rPr>
              <w:t>Project Gutenberg 30508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t>public-domain Ptahhotep/Kagemni translation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hyperlink r:id="rId35">
              <w:r>
                <w:rPr>
                  <w:color w:val="146A83"/>
                  <w:u w:val="single"/>
                </w:rPr>
                <w:t>доступ</w:t>
              </w:r>
            </w:hyperlink>
            <w:r>
              <w:t xml:space="preserve"> · </w:t>
            </w:r>
            <w:hyperlink r:id="rId35">
              <w:r>
                <w:rPr>
                  <w:color w:val="146A83"/>
                  <w:u w:val="single"/>
                </w:rPr>
                <w:t>права</w:t>
              </w:r>
            </w:hyperlink>
          </w:p>
        </w:tc>
      </w:tr>
      <w:tr>
        <w:trPr>
          <w:cantSplit/>
        </w:trPr>
        <w:tc>
          <w:tcPr>
            <w:tcW w:type="dxa" w:w="2494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73A57"/>
              </w:rPr>
              <w:t>Trismegistos</w:t>
            </w:r>
          </w:p>
        </w:tc>
        <w:tc>
          <w:tcPr>
            <w:tcW w:type="dxa" w:w="413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t>identifiers and terms</w:t>
            </w:r>
          </w:p>
        </w:tc>
        <w:tc>
          <w:tcPr>
            <w:tcW w:type="dxa" w:w="2665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hyperlink r:id="rId36">
              <w:r>
                <w:rPr>
                  <w:color w:val="146A83"/>
                  <w:u w:val="single"/>
                </w:rPr>
                <w:t>доступ</w:t>
              </w:r>
            </w:hyperlink>
            <w:r>
              <w:t xml:space="preserve"> · </w:t>
            </w:r>
            <w:hyperlink r:id="rId37">
              <w:r>
                <w:rPr>
                  <w:color w:val="146A83"/>
                  <w:u w:val="single"/>
                </w:rPr>
                <w:t>права</w:t>
              </w:r>
            </w:hyperlink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73A57"/>
              </w:rPr>
              <w:t>UChicago PGM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t>Betz modern translation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hyperlink r:id="rId38">
              <w:r>
                <w:rPr>
                  <w:color w:val="146A83"/>
                  <w:u w:val="single"/>
                </w:rPr>
                <w:t>доступ</w:t>
              </w:r>
            </w:hyperlink>
            <w:r>
              <w:t xml:space="preserve"> · </w:t>
            </w:r>
            <w:hyperlink r:id="rId38">
              <w:r>
                <w:rPr>
                  <w:color w:val="146A83"/>
                  <w:u w:val="single"/>
                </w:rPr>
                <w:t>права</w:t>
              </w:r>
            </w:hyperlink>
          </w:p>
        </w:tc>
      </w:tr>
    </w:tbl>
    <w:p>
      <w:pPr>
        <w:pStyle w:val="AbyssNote"/>
        <w:spacing w:before="120"/>
      </w:pPr>
      <w:r>
        <w:t>Проверено 2026-09-03. Полные URL и component-level примечания — в ToS_Corpus_Rights_A06_registry.xlsx.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color w:val="5F7079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/>
        <w:color w:val="5F7079"/>
        <w:sz w:val="16"/>
      </w:rPr>
      <w:t>ToS / Древо Софии  ·  Corpus &amp; Rights Registry  ·  A06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9" w:lineRule="auto"/>
    </w:pPr>
    <w:rPr>
      <w:rFonts w:ascii="DejaVu Sans" w:hAnsi="DejaVu Sans" w:eastAsia="DejaVu Sans"/>
      <w:color w:val="2532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73A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146A8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5B3F7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DejaVu Sans" w:hAnsi="DejaVu Sans" w:eastAsia="DejaVu Sans"/>
      <w:b/>
      <w:color w:val="173A5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DejaVu Sans" w:hAnsi="DejaVu Sans" w:eastAsia="DejaVu Sans"/>
      <w:b/>
      <w:i/>
      <w:iCs/>
      <w:color w:val="3E65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2" w:lineRule="auto"/>
      <w:contextualSpacing/>
    </w:pPr>
    <w:rPr>
      <w:rFonts w:ascii="DejaVu Sans" w:hAnsi="DejaVu Sans" w:eastAsia="DejaVu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52" w:lineRule="auto"/>
      <w:contextualSpacing/>
    </w:pPr>
    <w:rPr>
      <w:rFonts w:ascii="DejaVu Sans" w:hAnsi="DejaVu Sans" w:eastAsia="DejaVu San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52" w:lineRule="auto"/>
      <w:contextualSpacing/>
    </w:pPr>
    <w:rPr>
      <w:rFonts w:ascii="DejaVu Sans" w:hAnsi="DejaVu Sans" w:eastAsia="DejaVu San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40" w:line="252" w:lineRule="auto"/>
      <w:contextualSpacing/>
    </w:pPr>
    <w:rPr>
      <w:rFonts w:ascii="DejaVu Sans" w:hAnsi="DejaVu Sans" w:eastAsia="DejaVu Sans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byssNote">
    <w:name w:val="Abyss Note"/>
    <w:pPr>
      <w:spacing w:after="60" w:line="240" w:lineRule="auto"/>
    </w:pPr>
    <w:rPr>
      <w:rFonts w:ascii="DejaVu Sans" w:hAnsi="DejaVu Sans" w:eastAsia="DejaVu Sans"/>
      <w:color w:val="52606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thesaurus-linguae-aegyptiae.de/" TargetMode="External"/><Relationship Id="rId12" Type="http://schemas.openxmlformats.org/officeDocument/2006/relationships/hyperlink" Target="https://tla.digital/info/licenses" TargetMode="External"/><Relationship Id="rId13" Type="http://schemas.openxmlformats.org/officeDocument/2006/relationships/hyperlink" Target="https://huggingface.co/datasets/thesaurus-linguae-aegyptiae/tla-demotic-v18-premium" TargetMode="External"/><Relationship Id="rId14" Type="http://schemas.openxmlformats.org/officeDocument/2006/relationships/hyperlink" Target="https://papyri.info/" TargetMode="External"/><Relationship Id="rId15" Type="http://schemas.openxmlformats.org/officeDocument/2006/relationships/hyperlink" Target="https://papyri.info/dclp/59908" TargetMode="External"/><Relationship Id="rId16" Type="http://schemas.openxmlformats.org/officeDocument/2006/relationships/hyperlink" Target="https://www.rmo.nl/collectie/topstukken/papyrus-insinger-met-wijsheidsleer/" TargetMode="External"/><Relationship Id="rId17" Type="http://schemas.openxmlformats.org/officeDocument/2006/relationships/hyperlink" Target="https://www.rmo.nl/en/research/photo-service/" TargetMode="External"/><Relationship Id="rId18" Type="http://schemas.openxmlformats.org/officeDocument/2006/relationships/hyperlink" Target="https://collections.penn.museum/collections/object/253437" TargetMode="External"/><Relationship Id="rId19" Type="http://schemas.openxmlformats.org/officeDocument/2006/relationships/hyperlink" Target="https://www.penn.museum/about/statements-and-policies/terms-and-conditions" TargetMode="External"/><Relationship Id="rId20" Type="http://schemas.openxmlformats.org/officeDocument/2006/relationships/hyperlink" Target="https://gallica.bnf.fr/ark:/12148/btv1b8304631p.image" TargetMode="External"/><Relationship Id="rId21" Type="http://schemas.openxmlformats.org/officeDocument/2006/relationships/hyperlink" Target="https://gallica.bnf.fr/accueil/fr/html/a-propos" TargetMode="External"/><Relationship Id="rId22" Type="http://schemas.openxmlformats.org/officeDocument/2006/relationships/hyperlink" Target="https://isac.uchicago.edu/research/publications/saoc/saoc-45-thus-wrote-onchsheshonqy-introductory-grammar-demotic" TargetMode="External"/><Relationship Id="rId23" Type="http://schemas.openxmlformats.org/officeDocument/2006/relationships/hyperlink" Target="https://isac.uchicago.edu/research/electronic-publications-initiative-institute-study-ancient-cultures" TargetMode="External"/><Relationship Id="rId24" Type="http://schemas.openxmlformats.org/officeDocument/2006/relationships/hyperlink" Target="https://pcarlsberg.ku.dk/publishedtexts/" TargetMode="External"/><Relationship Id="rId25" Type="http://schemas.openxmlformats.org/officeDocument/2006/relationships/hyperlink" Target="https://pcarlsberg.ku.dk/" TargetMode="External"/><Relationship Id="rId26" Type="http://schemas.openxmlformats.org/officeDocument/2006/relationships/hyperlink" Target="https://www.lib.berkeley.edu/visit/bancroft/tebtunis-papyri/collection" TargetMode="External"/><Relationship Id="rId27" Type="http://schemas.openxmlformats.org/officeDocument/2006/relationships/hyperlink" Target="https://www.harrassowitz-verlag.de/title_6533.ahtml" TargetMode="External"/><Relationship Id="rId28" Type="http://schemas.openxmlformats.org/officeDocument/2006/relationships/hyperlink" Target="https://www.harrassowitz-verlag.de/title_6934.ahtml" TargetMode="External"/><Relationship Id="rId29" Type="http://schemas.openxmlformats.org/officeDocument/2006/relationships/hyperlink" Target="https://www.cambridge.org/core/books/hermetica/A2779DE70B173114CC8669BEB3CF507D" TargetMode="External"/><Relationship Id="rId30" Type="http://schemas.openxmlformats.org/officeDocument/2006/relationships/hyperlink" Target="https://www.digitale-sammlungen.de/en/view/bsb10150774?page=5" TargetMode="External"/><Relationship Id="rId31" Type="http://schemas.openxmlformats.org/officeDocument/2006/relationships/hyperlink" Target="https://ccdl.claremont.edu/digital/collection/nha" TargetMode="External"/><Relationship Id="rId32" Type="http://schemas.openxmlformats.org/officeDocument/2006/relationships/hyperlink" Target="https://www.gnosis.org/naghamm/discorse.html" TargetMode="External"/><Relationship Id="rId33" Type="http://schemas.openxmlformats.org/officeDocument/2006/relationships/hyperlink" Target="https://commons.wikimedia.org/wiki/File:Rosetta_Stone.JPG" TargetMode="External"/><Relationship Id="rId34" Type="http://schemas.openxmlformats.org/officeDocument/2006/relationships/hyperlink" Target="https://commons.wikimedia.org/wiki/File:Decree_of_Canopus-top.jpg" TargetMode="External"/><Relationship Id="rId35" Type="http://schemas.openxmlformats.org/officeDocument/2006/relationships/hyperlink" Target="https://www.gutenberg.org/ebooks/30508" TargetMode="External"/><Relationship Id="rId36" Type="http://schemas.openxmlformats.org/officeDocument/2006/relationships/hyperlink" Target="https://www.trismegistos.org/" TargetMode="External"/><Relationship Id="rId37" Type="http://schemas.openxmlformats.org/officeDocument/2006/relationships/hyperlink" Target="https://www.trismegistos.org/terms-of-use.html" TargetMode="External"/><Relationship Id="rId38" Type="http://schemas.openxmlformats.org/officeDocument/2006/relationships/hyperlink" Target="https://press.uchicago.edu/ucp/books/book/chicago/G/bo368415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A06</dc:title>
  <dc:subject>Позднеегипетская демотическая храмовая учёность и герметический фон</dc:subject>
  <dc:creator>ToS / Древо Софии</dc:creator>
  <cp:keywords>A06; Demotic; Book of Thoth; Papyrus Insinger; Demotic Chronicle; Hermetica; rights</cp:keywords>
  <dc:description>Research-first registry report, checked 2026-09-03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