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ToS Corpus &amp; Rights Registry</w:t>
      </w:r>
    </w:p>
    <w:p>
      <w:pPr>
        <w:pStyle w:val="Subtitle"/>
      </w:pPr>
      <w:r>
        <w:t>A41 — Центральноазиатский текстовый коридор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353"/>
            <w:shd w:fill="123B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FD7DF"/>
                <w:sz w:val="16"/>
              </w:rPr>
              <w:t>ID</w:t>
              <w:br/>
            </w:r>
            <w:r>
              <w:rPr>
                <w:b/>
                <w:color w:val="FFFFFF"/>
                <w:sz w:val="22"/>
              </w:rPr>
              <w:t>A41</w:t>
            </w:r>
          </w:p>
        </w:tc>
        <w:tc>
          <w:tcPr>
            <w:tcW w:type="dxa" w:w="2353"/>
            <w:shd w:fill="285A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FD7DF"/>
                <w:sz w:val="16"/>
              </w:rPr>
              <w:t>СТАТУС</w:t>
              <w:br/>
            </w:r>
            <w:r>
              <w:rPr>
                <w:b/>
                <w:color w:val="FFFFFF"/>
                <w:sz w:val="22"/>
              </w:rPr>
              <w:t>B</w:t>
            </w:r>
          </w:p>
        </w:tc>
        <w:tc>
          <w:tcPr>
            <w:tcW w:type="dxa" w:w="2353"/>
            <w:shd w:fill="123B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FD7DF"/>
                <w:sz w:val="16"/>
              </w:rPr>
              <w:t>ЯДРО</w:t>
              <w:br/>
            </w:r>
            <w:r>
              <w:rPr>
                <w:b/>
                <w:color w:val="FFFFFF"/>
                <w:sz w:val="22"/>
              </w:rPr>
              <w:t>c. 200 BCE–600 CE</w:t>
            </w:r>
          </w:p>
        </w:tc>
        <w:tc>
          <w:tcPr>
            <w:tcW w:type="dxa" w:w="2353"/>
            <w:shd w:fill="285A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FD7DF"/>
                <w:sz w:val="16"/>
              </w:rPr>
              <w:t>ПРОВЕРКА</w:t>
              <w:br/>
            </w:r>
            <w:r>
              <w:rPr>
                <w:b/>
                <w:color w:val="FFFFFF"/>
                <w:sz w:val="22"/>
              </w:rPr>
              <w:t>03.09.2026</w:t>
            </w:r>
          </w:p>
        </w:tc>
      </w:tr>
    </w:tbl>
    <w:p/>
    <w:p>
      <w:pPr>
        <w:spacing w:after="160"/>
      </w:pPr>
      <w:r>
        <w:rPr>
          <w:color w:val="172A32"/>
          <w:sz w:val="24"/>
        </w:rPr>
        <w:t>Исследовательский пакет законных путей доступа к первичным текстам, рукописям, надписям, монетам, переводам, изданиям, каталогам и машиночитаемым ресурсам, образующим письменную ткань между Гандхарой, Бактрией, Согдом, Хотаном, Кучей, Турфаном, Дуньхуаном и соседними зонами передачи.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D6"/>
            <w:tcBorders>
              <w:top w:sz="2" w:val="single" w:color="FFF3D6" w:space="0"/>
              <w:left w:sz="14" w:val="single" w:color="285A68" w:space="0"/>
              <w:bottom w:sz="2" w:val="single" w:color="FFF3D6" w:space="0"/>
              <w:right w:sz="2" w:val="single" w:color="FFF3D6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Результат. </w:t>
            </w:r>
            <w:r>
              <w:t>Реестр содержит 155 практически отличимых способов доступа, сведённых к 143 группам произведений, корпусов, свидетелей и инфраструктурных объектов. Из них 96 групп относятся к первичным текстам, физическим свидетелям или конкретным изданиям; 20 важных недостающих входов вынесены на лист gaps.</w:t>
            </w:r>
          </w:p>
        </w:tc>
      </w:tr>
    </w:tbl>
    <w:p>
      <w:pPr>
        <w:spacing w:after="0"/>
      </w:pPr>
    </w:p>
    <w:p>
      <w:pPr>
        <w:pStyle w:val="ToSSmall"/>
      </w:pPr>
      <w:r>
        <w:t>Этот документ — исследовательская карта доступа и прав, а не юридическое заключение. Любое зеркалирование, массовая выгрузка или публикация производного текста требует проверки актуальных условий конкретного компонента.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ID и название строки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A41 — Центральноазиатский текстовый коридор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Исходный статус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B; статус не изменён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Пусковой приоритет / уверенность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launch order 28; confidence 3/5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Историческое ядро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c. 200 BCE–600 CE; более ранние и поздние объекты включались только при конкретной связи с узлом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Использованный исходный документ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ToS Deep Research_ A41 — Центральноазиатский текстовый коридор.docx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Дата живой проверки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3 сентября 2026 года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Языки поиска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русский, английский, немецкий, французский, китайский, японский; латинизированные формы санскрита, гандхари, бактрийского, согдийского, хотаносакского, тохарского и тибетского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Формат поставки</w:t>
            </w:r>
          </w:p>
        </w:tc>
        <w:tc>
          <w:tcPr>
            <w:tcW w:type="dxa" w:w="68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XLSX-реестр с листами registry и gaps + настоящий DOCX-отчёт</w:t>
            </w:r>
          </w:p>
        </w:tc>
      </w:tr>
    </w:tbl>
    <w:p>
      <w:pPr>
        <w:pStyle w:val="Heading2"/>
      </w:pPr>
      <w:r>
        <w:t>Рабочее определение ядра</w:t>
      </w:r>
    </w:p>
    <w:p>
      <w:r>
        <w:t>Исходный DR задаёт не единую философскую школу, а многослойную транзитно-письменную инфраструктуру. Её ядро образуют пять больших слоёв: гандхарские буддийские рукописи и хароштхийская эпиграфика; бактрийские монеты, надписи, печати и документы; согдийская торговая, буддийская, зороастрийская, манихейская и христианская письменность; хотанские буддийские переводы и локальные сочинения; тохарские рукописи религиозного, учебного, медицинского и иного научно-практического содержания. Объединяет их не доктрина, а повторяющаяся структура: перевод, многоязычие, смена письма, мобильность людей и текстов, оазисные и имперские институты, неравномерная сохранность и современная цифровая реинтеграция.</w:t>
      </w:r>
    </w:p>
    <w:p>
      <w:pPr>
        <w:pStyle w:val="Heading2"/>
      </w:pPr>
      <w:r>
        <w:t>Какие типы объектов искались</w:t>
      </w:r>
    </w:p>
    <w:p>
      <w:pPr>
        <w:pStyle w:val="ToSBullet"/>
      </w:pPr>
      <w:r>
        <w:t xml:space="preserve">• </w:t>
      </w:r>
      <w:r>
        <w:t>отдельные произведения, корпусные семьи, канонические и параканонические тексты;</w:t>
      </w:r>
    </w:p>
    <w:p>
      <w:pPr>
        <w:pStyle w:val="ToSBullet"/>
      </w:pPr>
      <w:r>
        <w:t xml:space="preserve">• </w:t>
      </w:r>
      <w:r>
        <w:t>конкретные рукописи, берестяные свитки, надписи, монеты, печати, листы и фрагменты;</w:t>
      </w:r>
    </w:p>
    <w:p>
      <w:pPr>
        <w:pStyle w:val="ToSBullet"/>
      </w:pPr>
      <w:r>
        <w:t xml:space="preserve">• </w:t>
      </w:r>
      <w:r>
        <w:t>старые публичнодоменные и современные критические издания, переводы и комментарии;</w:t>
      </w:r>
    </w:p>
    <w:p>
      <w:pPr>
        <w:pStyle w:val="ToSBullet"/>
      </w:pPr>
      <w:r>
        <w:t xml:space="preserve">• </w:t>
      </w:r>
      <w:r>
        <w:t>официальные музейные и библиотечные карточки, факсимиле, IIIF-манифесты и изображения;</w:t>
      </w:r>
    </w:p>
    <w:p>
      <w:pPr>
        <w:pStyle w:val="ToSBullet"/>
      </w:pPr>
      <w:r>
        <w:t xml:space="preserve">• </w:t>
      </w:r>
      <w:r>
        <w:t>поисковые корпуса, словари, каталоги, TEI/EpiDoc, API и открытые метаданные;</w:t>
      </w:r>
    </w:p>
    <w:p>
      <w:pPr>
        <w:pStyle w:val="ToSBullet"/>
      </w:pPr>
      <w:r>
        <w:t xml:space="preserve">• </w:t>
      </w:r>
      <w:r>
        <w:t>библиотечная выдача, институциональный доступ, preview и официальные страницы покупки;</w:t>
      </w:r>
    </w:p>
    <w:p>
      <w:pPr>
        <w:pStyle w:val="Heading2"/>
      </w:pPr>
      <w:r>
        <w:t>Метод правовой фиксации</w:t>
      </w:r>
    </w:p>
    <w:p>
      <w:r>
        <w:t>Для каждой записи раздельно оценивались права на древнее произведение или исторический объект, права на современную редакцию, перевод и научный аппарат, права на цифровой скан или фотографию, а также условия платформы. Отсутствие явной лицензии не исключало полезный законный доступ: такая запись сохранялась как чтение, скачивание, библиотека, preview, покупка или метаданные, но не получала автоматической рекомендации по зеркалированию.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BE9E7"/>
            <w:tcBorders>
              <w:top w:sz="2" w:val="single" w:color="FBE9E7" w:space="0"/>
              <w:left w:sz="14" w:val="single" w:color="285A68" w:space="0"/>
              <w:bottom w:sz="2" w:val="single" w:color="FBE9E7" w:space="0"/>
              <w:right w:sz="2" w:val="single" w:color="FBE9E7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Ключевое ограничение. </w:t>
            </w:r>
            <w:r>
              <w:t>Старая дата произведения не освобождает современный перевод, реконструкцию, комментарий, цифровую транскрипцию или музейную фотографию. Бесплатное скачивание также не означает право повторного размещения.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2. Охват корпуса</w:t>
      </w:r>
    </w:p>
    <w:p>
      <w:r>
        <w:t>Исходный DR был использован как карта области, а не как закрытый список. После извлечения названных в нём якорей поиск расширялся концентрическими кругами: сначала внутри пяти языково-корпусных слоёв, затем назад к входящим эпиграфическим и буддийским традициям и вперёд к поздним переводам, комментариям, каноническим версиям, цифровым корпусам и рецепциям. В итоговом реестре одна строка соответствует одному практически отличимому способу доступа, поэтому число ссылок не приравнивается к числу произведений.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1304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Строк доступа</w:t>
            </w:r>
          </w:p>
        </w:tc>
        <w:tc>
          <w:tcPr>
            <w:tcW w:type="dxa" w:w="5896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покрыто</w:t>
            </w:r>
          </w:p>
        </w:tc>
      </w:tr>
      <w:tr>
        <w:tc>
          <w:tcPr>
            <w:tcW w:type="dxa" w:w="238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Гандхари / хароштхи</w:t>
            </w:r>
          </w:p>
        </w:tc>
        <w:tc>
          <w:tcPr>
            <w:tcW w:type="dxa" w:w="1304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30</w:t>
            </w:r>
          </w:p>
        </w:tc>
        <w:tc>
          <w:tcPr>
            <w:tcW w:type="dxa" w:w="5896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Берестяные рукописи, Dharmapada, ранние сутры, реликварные и донативные надписи, Gandhari.org и JGBT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Бактрийский / кушанский</w:t>
            </w:r>
          </w:p>
        </w:tc>
        <w:tc>
          <w:tcPr>
            <w:tcW w:type="dxa" w:w="13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24</w:t>
            </w:r>
          </w:p>
        </w:tc>
        <w:tc>
          <w:tcPr>
            <w:tcW w:type="dxa" w:w="58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Монеты, Сурх-Котал, Рабатак, правовые и хозяйственные документы, Achaemenid-Aramaic antecedent</w:t>
            </w:r>
          </w:p>
        </w:tc>
      </w:tr>
      <w:tr>
        <w:tc>
          <w:tcPr>
            <w:tcW w:type="dxa" w:w="238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Согдийский</w:t>
            </w:r>
          </w:p>
        </w:tc>
        <w:tc>
          <w:tcPr>
            <w:tcW w:type="dxa" w:w="1304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31</w:t>
            </w:r>
          </w:p>
        </w:tc>
        <w:tc>
          <w:tcPr>
            <w:tcW w:type="dxa" w:w="5896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Ancient Letters, буддийские, зороастрийские, манихейские и христианские фрагменты, Rustam, торговая мобильность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Хотаносакский</w:t>
            </w:r>
          </w:p>
        </w:tc>
        <w:tc>
          <w:tcPr>
            <w:tcW w:type="dxa" w:w="13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31</w:t>
            </w:r>
          </w:p>
        </w:tc>
        <w:tc>
          <w:tcPr>
            <w:tcW w:type="dxa" w:w="58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Golden Light, Saṅghāṭa, Book of Zambasta, ритуальные и билингвальные рукописи, Khotan catalogues</w:t>
            </w:r>
          </w:p>
        </w:tc>
      </w:tr>
      <w:tr>
        <w:tc>
          <w:tcPr>
            <w:tcW w:type="dxa" w:w="238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Тохарский A/B</w:t>
            </w:r>
          </w:p>
        </w:tc>
        <w:tc>
          <w:tcPr>
            <w:tcW w:type="dxa" w:w="1304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29</w:t>
            </w:r>
          </w:p>
        </w:tc>
        <w:tc>
          <w:tcPr>
            <w:tcW w:type="dxa" w:w="5896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CEToM, Udānavarga, doctrinal lists, medicine/magic, bilingual Sanskrit-Tocharian witnesses, later Old Uyghur handoff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Межкорпусная передача</w:t>
            </w:r>
          </w:p>
        </w:tc>
        <w:tc>
          <w:tcPr>
            <w:tcW w:type="dxa" w:w="13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589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CBETA, SAT, BDK, IDP rights infrastructure, 84000 and Chinese/Tibetan preservation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2F5"/>
            <w:tcBorders>
              <w:top w:sz="2" w:val="single" w:color="E8F2F5" w:space="0"/>
              <w:left w:sz="14" w:val="single" w:color="285A68" w:space="0"/>
              <w:bottom w:sz="2" w:val="single" w:color="E8F2F5" w:space="0"/>
              <w:right w:sz="2" w:val="single" w:color="E8F2F5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Количественный итог. </w:t>
            </w:r>
            <w:r>
              <w:t>Всего: 155 строк доступа; 96 дедуплицированных первичных текстовых, корпусных, свидетельских и издательских групп; 43 инфраструктурных, навигационных и вспомогательных групп. Хронологический ореол включает 31 групп более ранних источников, поздних продолжений, рецепций и линий сохранения.</w:t>
            </w:r>
          </w:p>
        </w:tc>
      </w:tr>
    </w:tbl>
    <w:p>
      <w:pPr>
        <w:spacing w:after="0"/>
      </w:pPr>
    </w:p>
    <w:p>
      <w:pPr>
        <w:pStyle w:val="Heading2"/>
      </w:pPr>
      <w:r>
        <w:t>2.1. Центральные произведения и корпусы из исходного DR</w:t>
      </w:r>
    </w:p>
    <w:p>
      <w:pPr>
        <w:pStyle w:val="Heading3"/>
      </w:pPr>
      <w:r>
        <w:t>Гандхари и хароштхи</w:t>
      </w:r>
    </w:p>
    <w:p>
      <w:r>
        <w:t>Гандхарский слой получил наиболее детальную item-level разбивку. Помимо общего корпуса Gandhari.org в реестр вошли отдельные цифровые издания JGBT: Anavatapta-gāthā, Aṇatvalakṣaṇa-sūtra, Suhadukha-sūtra, Mahāparaḍāha-sūtra, Dārukadhoama-sūtra и Gośṛṅga-sūtra, а также семь эпиграфических объектов, включая Budhanada, Ajidaseṇa-mata, Kopsakasa, Theodotus, Urasaka, Shah-ji-ki-Dheri и Dharmanandin. Это позволяет не свести «гандхарские берестяные рукописи» к одной абстрактной карточке: в реестре различены рукопись, научная транскрипция, перевод, фотография и репозиторий.</w:t>
      </w:r>
    </w:p>
    <w:p>
      <w:r>
        <w:t>Отдельно зафиксированы два современных открытых монографических издания University of Washington Press: A Gāndhārī Abhidharma Text и Three Early Mahāyāna Treatises from Gandhāra. Они существенно расширяют доступ к абхидхармическому и раннемахаянскому слоям, но их современный аппарат и перевод нельзя объявлять свободными только из-за древности рукописей.</w:t>
      </w:r>
    </w:p>
    <w:p>
      <w:r>
        <w:t>Dharmapada представлен как текстовая семья, а не как один URL: SuttaCentral даёт сегментированный гандхарский текст и параллели; Ancient Buddhist Texts — открыто лицензированное сравнительное издание; Brough 1962 остаётся центральной критической редакцией с preview/library/purchase; издание фрагментов British Library 16+25 фиксирует иной рукописный слой. Корпус Robert Senior и проект LMU добавлены как прямые члены той же рукописной культуры.</w:t>
      </w:r>
    </w:p>
    <w:p>
      <w:pPr>
        <w:pStyle w:val="Heading3"/>
      </w:pPr>
      <w:r>
        <w:t>Бактрийский и кушанский слой</w:t>
      </w:r>
    </w:p>
    <w:p>
      <w:r>
        <w:t>В бактрийском сегменте разведены три режима письма. Первый — имперский и публичный: монетные легенды, Сурх-Котал и Рабатак. Второй — документальный: правовые, хозяйственные, эпистолярные и буддийские тексты северного Афганистана. Третий — современный доступ: платные критические тома Nicholas Sims-Williams, открытые item-level страницы Invisible East и отдельные музейные изображения.</w:t>
      </w:r>
    </w:p>
    <w:p>
      <w:r>
        <w:t>Особенно полезной оказалась серия Invisible East: в реестр внесены DOC 8, DOC 114, MS 4581, документ an, DOC 117, MS 4580, DOC 115 и буддийский текст zd. Большинство этих объектов выходит за 600 год, но они не являются произвольной поздней добавкой: это прямое продолжение бактрийской документальности, позволяющее увидеть переход от кушанской государственной эпиграфики к поздней правовой и хозяйственной письменности.</w:t>
      </w:r>
    </w:p>
    <w:p>
      <w:r>
        <w:t>Для кушанской монетной многоязычности найден чистый по правам образец: золотая монета Канишки I в The Metropolitan Museum of Art. Её изображение отмечено как Public Domain, а структурированные метаданные доступны через CC0 API. Напротив, современные каталоги кушанских монет и критические чтения надписей остаются защищёнными.</w:t>
      </w:r>
    </w:p>
    <w:p>
      <w:pPr>
        <w:pStyle w:val="Heading3"/>
      </w:pPr>
      <w:r>
        <w:t>Согдийский слой</w:t>
      </w:r>
    </w:p>
    <w:p>
      <w:r>
        <w:t>Sogdian Ancient Letters представлены семью отдельными рукописными карточками IDP и отдельным путём к полным английским переводам Nicholas Sims-Williams на университетском сайте Silk Road Seattle. Такой разнос важен: IDP даёт физический свидетель и изображения, а переводной сайт — содержание; права на эти компоненты различаются.</w:t>
      </w:r>
    </w:p>
    <w:p>
      <w:r>
        <w:t>Конфессиональное многоязычие расширено конкретными предметами: Ašəm vohū в согдийском письме, буддийский фрагмент Vessantara Jātaka, манихейские листы из Дуньхуана и Караходжи, христианские письма и христианский согдийский текст в сирийском письме. Rustam fragment представлен двумя физическими частями — лондонской Or.8212/81 и парижской Pelliot Sogdien 13 — и отдельным Gallica/IIIF маршрутом.</w:t>
      </w:r>
    </w:p>
    <w:p>
      <w:r>
        <w:t>Таким образом, согдийский корпус в реестре не сводится к «торговым письмам» или одной религии. Он показывает письмо как инфраструктуру диаспоры, перевода и смены конфессиональных режимов.</w:t>
      </w:r>
    </w:p>
    <w:p>
      <w:pPr>
        <w:pStyle w:val="Heading3"/>
      </w:pPr>
      <w:r>
        <w:t>Хотаносакский слой</w:t>
      </w:r>
    </w:p>
    <w:p>
      <w:r>
        <w:t>Хотанский поиск был расширен дальше двух якорей исходного DR. Для Suvarṇabhāsottamasūtra найден агрегат Or.9609 и отдельные листы; для Saṅghāṭa-sūtra — конкретный фрагмент Or.12452D(14); добавлен Bhaiṣajyaguruvaiḍūryaprabharāja. Кроме переводных сутр в реестр включён Book of Zambasta — крупнейшее собственно хотанское буддийское сочинение — через три отдельных листа разъятой рукописи и через современные издания Emmerick и Sims-Williams.</w:t>
      </w:r>
    </w:p>
    <w:p>
      <w:r>
        <w:t>Поздние, но прямо связанные продолжения представлены Aparimitāyurjñāna, Vajracchedikā и сино-хотанским свитком с китайским текстом на обороте. Они показывают не только перевод, но и материальную жизнь рукописи в Дуньхуане.</w:t>
      </w:r>
    </w:p>
    <w:p>
      <w:r>
        <w:t>Инфраструктурный контур включает IDP, TITUS, Khotanese.org и новый Electronic Khotanese Archive. Последний особенно перспективен для ToS, однако заявленную открытость нельзя пока преобразовать в безусловное разрешение на bulk-download или зеркалирование: точная лицензия и экспортный слой требуют проверки.</w:t>
      </w:r>
    </w:p>
    <w:p>
      <w:pPr>
        <w:pStyle w:val="Heading3"/>
      </w:pPr>
      <w:r>
        <w:t>Тохарский слой</w:t>
      </w:r>
    </w:p>
    <w:p>
      <w:r>
        <w:t>CEToM был развернут из одного портала в набор конкретных текстовых входов. В реестр включены тохарские фрагменты Udānavarga, билингвальные санскритско-тохарские свидетели, Udānālaṅkāra, Pratītyasamutpāda, список буддийских терминов, несколько медицинских и магических текстов, а также рукопись, где тохарский текст вписан после санскритского донативного текста.</w:t>
      </w:r>
    </w:p>
    <w:p>
      <w:r>
        <w:t>Это расширение необходимо для исходной формулы DR о scholastic/scientific layer: тохарская письменность была не только средством перевода сутр, но и носителем технической, медицинской, учебной и лексикографической работы. HisTochText, Digital Turfan Archive, TITUS и старое издание Tocharische Sprachreste создают дополнительные режимы доступа с разными правами.</w:t>
      </w:r>
    </w:p>
    <w:p>
      <w:pPr>
        <w:pStyle w:val="Heading2"/>
      </w:pPr>
      <w:r>
        <w:t>2.2. Объекты, добавленные веб-исследованием</w:t>
      </w:r>
    </w:p>
    <w:p>
      <w:pPr>
        <w:pStyle w:val="ToSBullet"/>
      </w:pPr>
      <w:r>
        <w:t xml:space="preserve">• </w:t>
      </w:r>
      <w:r>
        <w:t>A Gāndhārī Abhidharma Text и Three Early Mahāyāna Treatises from Gandhāra как современные свободно читаемые научные монографии;</w:t>
      </w:r>
    </w:p>
    <w:p>
      <w:pPr>
        <w:pStyle w:val="ToSBullet"/>
      </w:pPr>
      <w:r>
        <w:t xml:space="preserve">• </w:t>
      </w:r>
      <w:r>
        <w:t>Robert Senior Collection и отдельные JGBT-издания как item-level разложение гандхарского рукописного массива;</w:t>
      </w:r>
    </w:p>
    <w:p>
      <w:pPr>
        <w:pStyle w:val="ToSBullet"/>
      </w:pPr>
      <w:r>
        <w:t xml:space="preserve">• </w:t>
      </w:r>
      <w:r>
        <w:t>официально-арамейские документы Бактрии IV века до н. э. как административный предшественник;</w:t>
      </w:r>
    </w:p>
    <w:p>
      <w:pPr>
        <w:pStyle w:val="ToSBullet"/>
      </w:pPr>
      <w:r>
        <w:t xml:space="preserve">• </w:t>
      </w:r>
      <w:r>
        <w:t>восемь конкретных поздних бактрийских документов Invisible East, продолжающих раннюю государственную письменность;</w:t>
      </w:r>
    </w:p>
    <w:p>
      <w:pPr>
        <w:pStyle w:val="ToSBullet"/>
      </w:pPr>
      <w:r>
        <w:t xml:space="preserve">• </w:t>
      </w:r>
      <w:r>
        <w:t>буддийские, манихейские и христианские согдийские предметы, не названные в исходном DR по shelfmark;</w:t>
      </w:r>
    </w:p>
    <w:p>
      <w:pPr>
        <w:pStyle w:val="ToSBullet"/>
      </w:pPr>
      <w:r>
        <w:t xml:space="preserve">• </w:t>
      </w:r>
      <w:r>
        <w:t>Book of Zambasta как собственное хотанское сочинение, а не переводная сутра;</w:t>
      </w:r>
    </w:p>
    <w:p>
      <w:pPr>
        <w:pStyle w:val="ToSBullet"/>
      </w:pPr>
      <w:r>
        <w:t xml:space="preserve">• </w:t>
      </w:r>
      <w:r>
        <w:t>тохарские Udānavarga, Pratītyasamutpāda, билингвальные терминологические и медицинские тексты;</w:t>
      </w:r>
    </w:p>
    <w:p>
      <w:pPr>
        <w:pStyle w:val="ToSBullet"/>
      </w:pPr>
      <w:r>
        <w:t xml:space="preserve">• </w:t>
      </w:r>
      <w:r>
        <w:t>CBETA T0418 и T0224, SAT и BDK как позднейшие цифровые пути к китайскому слою раннебуддийской передачи;</w:t>
      </w:r>
    </w:p>
    <w:p>
      <w:pPr>
        <w:pStyle w:val="ToSBullet"/>
      </w:pPr>
      <w:r>
        <w:t xml:space="preserve">• </w:t>
      </w:r>
      <w:r>
        <w:t>84000 как лицензированный доступ к тибетским продолжениям Golden Light и Aparimitāyurjñāna;</w:t>
      </w:r>
    </w:p>
    <w:p>
      <w:pPr>
        <w:pStyle w:val="Heading2"/>
      </w:pPr>
      <w:r>
        <w:t>2.3. Поиск назад во времени: antecedent-объекты</w:t>
      </w:r>
    </w:p>
    <w:p>
      <w:r>
        <w:t>Ранние источники включались только при ясной функции в формировании коридора. Шахбазгархийские и мансехрские версии указов Ашоки в хароштхи были включены как непосредственный предшественник гандхарской административно-этической эпиграфики. Theodotus stupa inscription служит пограничным ранним буддийским реликварным свидетельством. Официально-арамейские документы Бактрии IV века до н. э. показывают дорогу от ахеменидской канцелярской практики к более поздней бактрийской документальности.</w:t>
      </w:r>
    </w:p>
    <w:p>
      <w:r>
        <w:t>Санскритский Suvarṇaprabhāsa включён как текстовый antecedent для хотанского Golden Light, но с правовой оговоркой: свободное чтение GRETIL не превращает современную электронную редакцию в свободно зеркалируемый источник. Аналогично ранние индийские буддийские текстовые семьи фиксировались через конкретные параллели, а не через обобщённый список всего буддийского канона.</w:t>
      </w:r>
    </w:p>
    <w:p>
      <w:pPr>
        <w:pStyle w:val="Heading2"/>
      </w:pPr>
      <w:r>
        <w:t>2.4. Поиск вперёд: продолжения, сохранение и рецепция</w:t>
      </w:r>
    </w:p>
    <w:p>
      <w:r>
        <w:t>Поздние бактрийские документы VII–VIII веков маркированы как continuation, потому что сохраняют тот же язык, графическую традицию и документальный режим. Поздние согдийские христианские и манихейские тексты показывают развитие посреднической письменности за пределами формального ядра A41. Хотанские рукописи VIII–X веков и тохарско-древнеуйгурская линия включены как продолжение и передача, а не как изменение хронологических границ мастер-строки.</w:t>
      </w:r>
    </w:p>
    <w:p>
      <w:r>
        <w:t>Chinese CBETA records и тексты Lokakṣema включены как transmission_or_preservation: они важны для понимания выхода раннебуддийского материала к Лояну, однако реестр не утверждает прямую зависимость каждого китайского текста от конкретной сохранившейся гандхарской рукописи. Тибетские переводы 84000 показывают иной поздний путь сохранения тех же сутровых семей.</w:t>
      </w:r>
    </w:p>
    <w:p>
      <w:r>
        <w:t>Rustam fragment получил два типа forward-связи. Во-первых, это материальная передача иранского эпического материала в согдийском коридоре. Во-вторых, для ориентации добавлены публичнодоменные английские версии Shahnameh: они являются рецепцией того же эпического цикла, но не заменяют согдийский оригинал и не служат основанием для его перевода.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3EA"/>
            <w:tcBorders>
              <w:top w:sz="2" w:val="single" w:color="E7F3EA" w:space="0"/>
              <w:left w:sz="14" w:val="single" w:color="285A68" w:space="0"/>
              <w:bottom w:sz="2" w:val="single" w:color="E7F3EA" w:space="0"/>
              <w:right w:sz="2" w:val="single" w:color="E7F3EA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Хронологический принцип. </w:t>
            </w:r>
            <w:r>
              <w:t>Ни один внепериодный объект не изменяет датировку A41. Он включён только как источник, прямое продолжение, перевод, сохранение, комментарий, рецепция или цифровая инфраструктура, без которой центральный корпус нельзя увидеть.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3. Лучшие пути доступа</w:t>
      </w:r>
    </w:p>
    <w:p>
      <w:r>
        <w:t>Ниже названы наиболее практичные входы по крупным корпусам. Они не отменяют 155 строк реестра: здесь выбран «первый маршрут» для разных задач — чтения, скачивания, просмотра оригинала, научной работы, машинной обработки и максимально свободного повторного использования.</w:t>
      </w:r>
    </w:p>
    <w:p>
      <w:pPr>
        <w:pStyle w:val="Heading2"/>
      </w:pPr>
      <w:r>
        <w:t>3.1. Гандхари и хароштхи</w:t>
      </w:r>
    </w:p>
    <w:p>
      <w:pPr>
        <w:spacing w:after="80"/>
      </w:pPr>
      <w:r>
        <w:rPr>
          <w:b/>
          <w:color w:val="123B4A"/>
        </w:rPr>
        <w:t xml:space="preserve">Лучшее бесплатное чтение. </w:t>
      </w:r>
      <w:r>
        <w:t>Gandhari.org — основной сводный вход: каталог, корпус, словарь, библиография и поиск по типам источников. Для уже изданных отдельных рукописей JGBT удобнее, потому что на одной странице совмещены фотография, дипломатическое чтение, реконструкция, перевод и комментарий.</w:t>
      </w:r>
    </w:p>
    <w:p>
      <w:pPr>
        <w:spacing w:after="80"/>
      </w:pPr>
      <w:r>
        <w:rPr>
          <w:b/>
          <w:color w:val="123B4A"/>
        </w:rPr>
        <w:t xml:space="preserve">Лучшее скачивание. </w:t>
      </w:r>
      <w:r>
        <w:t>A Gāndhārī Abhidharma Text доступен как полноценная цифровая монография по CC BY-NC-ND; Three Early Mahāyāna Treatises from Gandhāra можно читать и скачивать через Manifold/OAPEN, но лицензия на повторное размещение требует отдельной проверки.</w:t>
      </w:r>
    </w:p>
    <w:p>
      <w:pPr>
        <w:spacing w:after="80"/>
      </w:pPr>
      <w:r>
        <w:rPr>
          <w:b/>
          <w:color w:val="123B4A"/>
        </w:rPr>
        <w:t xml:space="preserve">Лучший оригинал или факсимиле. </w:t>
      </w:r>
      <w:r>
        <w:t>JGBT item pages дают наиболее плотную связку изображения и научной разметки для Senior Scrolls и эпиграфических объектов. Для Dharmapada и других рукописей нужно переходить к конкретным коллекциям и изданиям, а не ограничиваться общей страницей проекта.</w:t>
      </w:r>
    </w:p>
    <w:p>
      <w:pPr>
        <w:spacing w:after="80"/>
      </w:pPr>
      <w:r>
        <w:rPr>
          <w:b/>
          <w:color w:val="123B4A"/>
        </w:rPr>
        <w:t xml:space="preserve">Лучший старый публичнодоменный слой. </w:t>
      </w:r>
      <w:r>
        <w:t>Sten Konow, Kharoṣṭhī Inscriptions (1929), и Eugen Hultzsch, Inscriptions of Aśoka (1925), дают сканы, транслитерации, переводы и таблицы, пригодные для OCR, локального полнотекстового индекса и собственного перевода в пределах реально опубликованных свидетельств.</w:t>
      </w:r>
    </w:p>
    <w:p>
      <w:pPr>
        <w:spacing w:after="80"/>
      </w:pPr>
      <w:r>
        <w:rPr>
          <w:b/>
          <w:color w:val="123B4A"/>
        </w:rPr>
        <w:t xml:space="preserve">Лучший современный научный вариант. </w:t>
      </w:r>
      <w:r>
        <w:t>JGBT и серия Gandhāran Buddhist Texts остаются предпочтительнее старых изданий для чтения конкретной рукописи. Для Gāndhārī Dharmapada центральным остаётся Brough 1962, дополненный новыми фрагментами British Library и цифровыми параллелями.</w:t>
      </w:r>
    </w:p>
    <w:p>
      <w:pPr>
        <w:spacing w:after="80"/>
      </w:pPr>
      <w:r>
        <w:rPr>
          <w:b/>
          <w:color w:val="123B4A"/>
        </w:rPr>
        <w:t xml:space="preserve">Лучший машиночитаемый вариант. </w:t>
      </w:r>
      <w:r>
        <w:t>Gandhari.org даёт крупнейшую поисковую среду; JGBT использует TEI/EpiDoc. Однако отсутствие ясной корпусной лицензии означает, что публичный bulk mirror нельзя рекомендовать без согласования.</w:t>
      </w:r>
    </w:p>
    <w:p>
      <w:pPr>
        <w:spacing w:after="80"/>
      </w:pPr>
      <w:r>
        <w:rPr>
          <w:b/>
          <w:color w:val="123B4A"/>
        </w:rPr>
        <w:t xml:space="preserve">Наиболее свободный современный вариант. </w:t>
      </w:r>
      <w:r>
        <w:t>Comparative Dhammapada на Ancient Buddhist Texts опубликован по CC BY-SA 4.0. Outline of Gāndhārī Grammar — CC BY-ND: его можно распространять неизменённым с атрибуцией, но не переводить или перерабатывать без разрешения.</w:t>
      </w:r>
    </w:p>
    <w:p>
      <w:pPr>
        <w:spacing w:after="60"/>
      </w:pPr>
      <w:r>
        <w:rPr>
          <w:b/>
          <w:color w:val="123B4A"/>
        </w:rPr>
        <w:t xml:space="preserve">Gandhari.org corpus: </w:t>
      </w:r>
      <w:hyperlink r:id="rId11">
        <w:r>
          <w:rPr>
            <w:color w:val="0563C1"/>
            <w:u w:val="single"/>
          </w:rPr>
          <w:t>https://gandhari.org/corpus</w:t>
        </w:r>
      </w:hyperlink>
    </w:p>
    <w:p>
      <w:pPr>
        <w:spacing w:after="60"/>
      </w:pPr>
      <w:r>
        <w:rPr>
          <w:b/>
          <w:color w:val="123B4A"/>
        </w:rPr>
        <w:t xml:space="preserve">JGBT editions: </w:t>
      </w:r>
      <w:hyperlink r:id="rId12">
        <w:r>
          <w:rPr>
            <w:color w:val="0563C1"/>
            <w:u w:val="single"/>
          </w:rPr>
          <w:t>https://gandhari-texts.sydney.edu.au/</w:t>
        </w:r>
      </w:hyperlink>
    </w:p>
    <w:p>
      <w:pPr>
        <w:spacing w:after="60"/>
      </w:pPr>
      <w:r>
        <w:rPr>
          <w:b/>
          <w:color w:val="123B4A"/>
        </w:rPr>
        <w:t xml:space="preserve">Open Abhidharma monograph: </w:t>
      </w:r>
      <w:hyperlink r:id="rId13">
        <w:r>
          <w:rPr>
            <w:color w:val="0563C1"/>
            <w:u w:val="single"/>
          </w:rPr>
          <w:t>https://uw.manifoldapp.org/projects/gandhari-abhidharma-text</w:t>
        </w:r>
      </w:hyperlink>
    </w:p>
    <w:p>
      <w:pPr>
        <w:spacing w:after="60"/>
      </w:pPr>
      <w:r>
        <w:rPr>
          <w:b/>
          <w:color w:val="123B4A"/>
        </w:rPr>
        <w:t xml:space="preserve">Konow 1929: </w:t>
      </w:r>
      <w:hyperlink r:id="rId14">
        <w:r>
          <w:rPr>
            <w:color w:val="0563C1"/>
            <w:u w:val="single"/>
          </w:rPr>
          <w:t>https://archive.org/details/in.ernet.dli.2015.32007</w:t>
        </w:r>
      </w:hyperlink>
    </w:p>
    <w:p>
      <w:pPr>
        <w:spacing w:after="60"/>
      </w:pPr>
      <w:r>
        <w:rPr>
          <w:b/>
          <w:color w:val="123B4A"/>
        </w:rPr>
        <w:t xml:space="preserve">Hultzsch 1925: </w:t>
      </w:r>
      <w:hyperlink r:id="rId15">
        <w:r>
          <w:rPr>
            <w:color w:val="0563C1"/>
            <w:u w:val="single"/>
          </w:rPr>
          <w:t>https://archive.org/details/InscriptionsOfAsoka.NewEditionByE.Hultzsch</w:t>
        </w:r>
      </w:hyperlink>
    </w:p>
    <w:p>
      <w:pPr>
        <w:pStyle w:val="Heading2"/>
      </w:pPr>
      <w:r>
        <w:t>3.2. Бактрийский и кушанский материал</w:t>
      </w:r>
    </w:p>
    <w:p>
      <w:r>
        <w:rPr>
          <w:b/>
          <w:color w:val="123B4A"/>
        </w:rPr>
        <w:t xml:space="preserve">Лучшее бесплатное чтение. </w:t>
      </w:r>
      <w:r>
        <w:t>Invisible East предоставляет item-level страницы с изображениями, транскрипцией, транслитерацией, переводом и метаданными для ряда поздних бактрийских документов. Это лучший практический открытый вход в документальную традицию.</w:t>
      </w:r>
    </w:p>
    <w:p>
      <w:r>
        <w:rPr>
          <w:b/>
          <w:color w:val="123B4A"/>
        </w:rPr>
        <w:t xml:space="preserve">Лучший оригинал или факсимиле. </w:t>
      </w:r>
      <w:r>
        <w:t>Для монет наиболее чистым примером является объект The Met 39385 — золотая монета Канишки I с публичнодоменным изображением и CC0-метаданными. Для Сурх-Котала найден CC BY 2.0 снимок в Wikimedia Commons. Для Рабатака полноценный открытый официальный факсимильный путь пока не найден.</w:t>
      </w:r>
    </w:p>
    <w:p>
      <w:r>
        <w:rPr>
          <w:b/>
          <w:color w:val="123B4A"/>
        </w:rPr>
        <w:t xml:space="preserve">Лучший современный научный вариант. </w:t>
      </w:r>
      <w:r>
        <w:t>Bactrian Documents from Northern Afghanistan, Parts I–III, Nicholas Sims-Williams — базовое критическое издание; доступ главным образом через покупку или библиотеку. Для Рабатака полезно пересмотренное чтение Sims-Williams через JSTOR.</w:t>
      </w:r>
    </w:p>
    <w:p>
      <w:r>
        <w:rPr>
          <w:b/>
          <w:color w:val="123B4A"/>
        </w:rPr>
        <w:t xml:space="preserve">Лучший машиночитаемый вариант. </w:t>
      </w:r>
      <w:r>
        <w:t>Invisible East удобен для item-level поиска; The Met Collection API — наиболее свободный машинный источник для открытых музейных объектов. Он позволяет связать object ID, изображения и структурированные метаданные.</w:t>
      </w:r>
    </w:p>
    <w:p>
      <w:r>
        <w:rPr>
          <w:b/>
          <w:color w:val="123B4A"/>
        </w:rPr>
        <w:t xml:space="preserve">Наиболее свободный слой. </w:t>
      </w:r>
      <w:r>
        <w:t>Public Domain изображения The Met и CC0 metadata могут зеркалироваться. CC BY 2.0 фотография Сурх-Котала может размещаться с атрибуцией. Положительные выводы не распространяются на защищённые критические чтения или музейные описания.</w:t>
      </w:r>
    </w:p>
    <w:p>
      <w:pPr>
        <w:spacing w:after="60"/>
      </w:pPr>
      <w:r>
        <w:rPr>
          <w:b/>
          <w:color w:val="123B4A"/>
        </w:rPr>
        <w:t xml:space="preserve">Invisible East corpus: </w:t>
      </w:r>
      <w:hyperlink r:id="rId16">
        <w:r>
          <w:rPr>
            <w:color w:val="0563C1"/>
            <w:u w:val="single"/>
          </w:rPr>
          <w:t>https://www.invisible-east.org/corpus/</w:t>
        </w:r>
      </w:hyperlink>
    </w:p>
    <w:p>
      <w:pPr>
        <w:spacing w:after="60"/>
      </w:pPr>
      <w:r>
        <w:rPr>
          <w:b/>
          <w:color w:val="123B4A"/>
        </w:rPr>
        <w:t xml:space="preserve">Kanishka coin, The Met: </w:t>
      </w:r>
      <w:hyperlink r:id="rId17">
        <w:r>
          <w:rPr>
            <w:color w:val="0563C1"/>
            <w:u w:val="single"/>
          </w:rPr>
          <w:t>https://www.metmuseum.org/art/collection/search/39385</w:t>
        </w:r>
      </w:hyperlink>
    </w:p>
    <w:p>
      <w:pPr>
        <w:spacing w:after="60"/>
      </w:pPr>
      <w:r>
        <w:rPr>
          <w:b/>
          <w:color w:val="123B4A"/>
        </w:rPr>
        <w:t xml:space="preserve">The Met Open Access API: </w:t>
      </w:r>
      <w:hyperlink r:id="rId18">
        <w:r>
          <w:rPr>
            <w:color w:val="0563C1"/>
            <w:u w:val="single"/>
          </w:rPr>
          <w:t>https://metmuseum.github.io/</w:t>
        </w:r>
      </w:hyperlink>
    </w:p>
    <w:p>
      <w:pPr>
        <w:spacing w:after="60"/>
      </w:pPr>
      <w:r>
        <w:rPr>
          <w:b/>
          <w:color w:val="123B4A"/>
        </w:rPr>
        <w:t xml:space="preserve">Surkh Kotal CC BY photograph: </w:t>
      </w:r>
      <w:hyperlink r:id="rId19">
        <w:r>
          <w:rPr>
            <w:color w:val="0563C1"/>
            <w:u w:val="single"/>
          </w:rPr>
          <w:t>https://commons.wikimedia.org/wiki/File:Surkh_Kotal_inscription_in_Bactrian,_National_Museum_of_Afghanistan.jpg</w:t>
        </w:r>
      </w:hyperlink>
    </w:p>
    <w:p>
      <w:pPr>
        <w:spacing w:after="60"/>
      </w:pPr>
      <w:r>
        <w:rPr>
          <w:b/>
          <w:color w:val="123B4A"/>
        </w:rPr>
        <w:t xml:space="preserve">Bactrian Documents publisher page: </w:t>
      </w:r>
      <w:hyperlink r:id="rId20">
        <w:r>
          <w:rPr>
            <w:color w:val="0563C1"/>
            <w:u w:val="single"/>
          </w:rPr>
          <w:t>https://khalilicollections.org/portfolio/bactrian-documents-from-northern-afghanistan/</w:t>
        </w:r>
      </w:hyperlink>
    </w:p>
    <w:p>
      <w:pPr>
        <w:pStyle w:val="Heading2"/>
      </w:pPr>
      <w:r>
        <w:t>3.3. Согдийская письменность</w:t>
      </w:r>
    </w:p>
    <w:p>
      <w:r>
        <w:rPr>
          <w:b/>
          <w:color w:val="123B4A"/>
        </w:rPr>
        <w:t xml:space="preserve">Лучшее бесплатное чтение. </w:t>
      </w:r>
      <w:r>
        <w:t>Для Ancient Letters оптимальна связка: IDP для факсимиле каждого письма и Silk Road Seattle для полного английского перевода. Ни один из этих маршрутов по отдельности не даёт одновременно чистых прав на изображение, перевод и повторное размещение.</w:t>
      </w:r>
    </w:p>
    <w:p>
      <w:r>
        <w:rPr>
          <w:b/>
          <w:color w:val="123B4A"/>
        </w:rPr>
        <w:t xml:space="preserve">Лучшее скачивание оригиналов. </w:t>
      </w:r>
      <w:r>
        <w:t>IDP позволяет просматривать и получать изображения, но item-level права различаются по партнёрам. Для Pelliot Sogdien 13 Gallica даёт стабильный ARK и IIIF manifest, что удобно для научного доступа и машинной адресации.</w:t>
      </w:r>
    </w:p>
    <w:p>
      <w:r>
        <w:rPr>
          <w:b/>
          <w:color w:val="123B4A"/>
        </w:rPr>
        <w:t xml:space="preserve">Лучший оригинал для Ašəm vohū и Rustam. </w:t>
      </w:r>
      <w:r>
        <w:t>Ašəm vohū представлен IDP-карточкой Or.8212/84 и отдельной Commons-фотографией по CC BY 2.5. Rustam fragment нужно читать как составной объект: Or.8212/81 в Лондоне плюс Pelliot Sogdien 13 в Париже.</w:t>
      </w:r>
    </w:p>
    <w:p>
      <w:r>
        <w:rPr>
          <w:b/>
          <w:color w:val="123B4A"/>
        </w:rPr>
        <w:t xml:space="preserve">Лучший широкий корпус. </w:t>
      </w:r>
      <w:r>
        <w:t>TITUS и Digital Turfan Archive дают обширный согдийский материал, включая конфессиональные тексты, но их условия запрещают или ограничивают повторное опубликование. Для ToS это сильные link-only ресурсы.</w:t>
      </w:r>
    </w:p>
    <w:p>
      <w:r>
        <w:rPr>
          <w:b/>
          <w:color w:val="123B4A"/>
        </w:rPr>
        <w:t xml:space="preserve">Лучший машиночитаемый путь. </w:t>
      </w:r>
      <w:r>
        <w:t>Gallica IIIF и открытые описательные метаданные по Licence Ouverte — наиболее ясный технический вход. IDP также экспонирует IIIF на многих записях, но права на сами изображения остаются item-specific.</w:t>
      </w:r>
    </w:p>
    <w:p>
      <w:r>
        <w:rPr>
          <w:b/>
          <w:color w:val="123B4A"/>
        </w:rPr>
        <w:t xml:space="preserve">Наиболее свободный слой. </w:t>
      </w:r>
      <w:r>
        <w:t>CC BY текст IDP-блога и отдельные помеченные Public Domain изображения можно повторно использовать в своём объёме. Commons-фотография Ašəm vohū требует атрибуции. Сам корпус Ancient Letters не объявлен свободным целиком.</w:t>
      </w:r>
    </w:p>
    <w:p>
      <w:r>
        <w:rPr>
          <w:b/>
          <w:color w:val="123B4A"/>
        </w:rPr>
        <w:t xml:space="preserve">Лучший маршрут к рецепции. </w:t>
      </w:r>
      <w:r>
        <w:t>Для иранского эпического продолжения доступен публичнодоменный Warner translation of Shahnameh и Project Gutenberg selection. Это рецепция Rustam-cycle, а не перевод согдийского фрагмента.</w:t>
      </w:r>
    </w:p>
    <w:p>
      <w:pPr>
        <w:spacing w:after="60"/>
      </w:pPr>
      <w:r>
        <w:rPr>
          <w:b/>
          <w:color w:val="123B4A"/>
        </w:rPr>
        <w:t xml:space="preserve">Ancient Letter 2 facsimile: </w:t>
      </w:r>
      <w:hyperlink r:id="rId21">
        <w:r>
          <w:rPr>
            <w:color w:val="0563C1"/>
            <w:u w:val="single"/>
          </w:rPr>
          <w:t>https://idp.bl.uk/collection/A141F9841B0B4BE1BDDA4FE6E2265948/</w:t>
        </w:r>
      </w:hyperlink>
    </w:p>
    <w:p>
      <w:pPr>
        <w:spacing w:after="60"/>
      </w:pPr>
      <w:r>
        <w:rPr>
          <w:b/>
          <w:color w:val="123B4A"/>
        </w:rPr>
        <w:t xml:space="preserve">Ancient Letters translations: </w:t>
      </w:r>
      <w:hyperlink r:id="rId22">
        <w:r>
          <w:rPr>
            <w:color w:val="0563C1"/>
            <w:u w:val="single"/>
          </w:rPr>
          <w:t>https://depts.washington.edu/silkroad/texts/sogdlet.html</w:t>
        </w:r>
      </w:hyperlink>
    </w:p>
    <w:p>
      <w:pPr>
        <w:spacing w:after="60"/>
      </w:pPr>
      <w:r>
        <w:rPr>
          <w:b/>
          <w:color w:val="123B4A"/>
        </w:rPr>
        <w:t xml:space="preserve">Ašəm vohū: </w:t>
      </w:r>
      <w:hyperlink r:id="rId23">
        <w:r>
          <w:rPr>
            <w:color w:val="0563C1"/>
            <w:u w:val="single"/>
          </w:rPr>
          <w:t>https://idp.bl.uk/collection/F37E9E6341234873A58024CE3280B911/</w:t>
        </w:r>
      </w:hyperlink>
    </w:p>
    <w:p>
      <w:pPr>
        <w:spacing w:after="60"/>
      </w:pPr>
      <w:r>
        <w:rPr>
          <w:b/>
          <w:color w:val="123B4A"/>
        </w:rPr>
        <w:t xml:space="preserve">Rustam, London fragment: </w:t>
      </w:r>
      <w:hyperlink r:id="rId24">
        <w:r>
          <w:rPr>
            <w:color w:val="0563C1"/>
            <w:u w:val="single"/>
          </w:rPr>
          <w:t>https://idp.bl.uk/collection/BB11D8808E4F4FF48A0A593815386379/</w:t>
        </w:r>
      </w:hyperlink>
    </w:p>
    <w:p>
      <w:pPr>
        <w:spacing w:after="60"/>
      </w:pPr>
      <w:r>
        <w:rPr>
          <w:b/>
          <w:color w:val="123B4A"/>
        </w:rPr>
        <w:t xml:space="preserve">Rustam, Paris/Gallica: </w:t>
      </w:r>
      <w:hyperlink r:id="rId25">
        <w:r>
          <w:rPr>
            <w:color w:val="0563C1"/>
            <w:u w:val="single"/>
          </w:rPr>
          <w:t>https://gallica.bnf.fr/ark:/12148/btv1b83057973</w:t>
        </w:r>
      </w:hyperlink>
    </w:p>
    <w:p>
      <w:pPr>
        <w:spacing w:after="60"/>
      </w:pPr>
      <w:r>
        <w:rPr>
          <w:b/>
          <w:color w:val="123B4A"/>
        </w:rPr>
        <w:t xml:space="preserve">IDP rights policy: </w:t>
      </w:r>
      <w:hyperlink r:id="rId26">
        <w:r>
          <w:rPr>
            <w:color w:val="0563C1"/>
            <w:u w:val="single"/>
          </w:rPr>
          <w:t>https://idp.bl.uk/copyright/</w:t>
        </w:r>
      </w:hyperlink>
    </w:p>
    <w:p>
      <w:pPr>
        <w:pStyle w:val="Heading2"/>
      </w:pPr>
      <w:r>
        <w:t>3.4. Хотаносакский корпус</w:t>
      </w:r>
    </w:p>
    <w:p>
      <w:r>
        <w:rPr>
          <w:b/>
          <w:color w:val="123B4A"/>
        </w:rPr>
        <w:t xml:space="preserve">Лучшее бесплатное чтение и факсимиле. </w:t>
      </w:r>
      <w:r>
        <w:t>IDP даёт наиболее прямой доступ к Or.9609 (Suvarṇabhāsottamasūtra), Or.12452D(14) (Saṅghāṭa), Or.6402B/1.2 (Bhaiṣajyaguru), трём листам Book of Zambasta, Aparimitāyurjñāna и Vajracchedikā.</w:t>
      </w:r>
    </w:p>
    <w:p>
      <w:r>
        <w:rPr>
          <w:b/>
          <w:color w:val="123B4A"/>
        </w:rPr>
        <w:t xml:space="preserve">Лучший старый публичнодоменный слой. </w:t>
      </w:r>
      <w:r>
        <w:t>Ancient Khotan, volumes I–II, M. Aurel Stein (1907), доступны как публичнодоменные сканы с таблицами и иллюстрациями. Они полезны для OCR и исторической идентификации, но их каталожные чтения нельзя считать последним словом.</w:t>
      </w:r>
    </w:p>
    <w:p>
      <w:r>
        <w:rPr>
          <w:b/>
          <w:color w:val="123B4A"/>
        </w:rPr>
        <w:t xml:space="preserve">Лучший современный научный вариант. </w:t>
      </w:r>
      <w:r>
        <w:t>Для Book of Zambasta наиболее сильный новый маршрут — Sims-Williams 2022 с полным текстом и метрическим анализом; он платный/библиотечный. Классическое издание Emmerick 1968 также остаётся важным. Для Golden Light — перевод Emmerick, доступный через preview, покупку или библиотеку.</w:t>
      </w:r>
    </w:p>
    <w:p>
      <w:r>
        <w:rPr>
          <w:b/>
          <w:color w:val="123B4A"/>
        </w:rPr>
        <w:t xml:space="preserve">Лучший машиночитаемый вариант. </w:t>
      </w:r>
      <w:r>
        <w:t>Electronic Khotanese Archive обещает интегрированные TEI-издания, каталог и весь известный корпус. Пока точная лицензия и export endpoint не установлены, его следует считать приоритетной инфраструктурой, а не готовым зеркалируемым dataset.</w:t>
      </w:r>
    </w:p>
    <w:p>
      <w:r>
        <w:rPr>
          <w:b/>
          <w:color w:val="123B4A"/>
        </w:rPr>
        <w:t xml:space="preserve">Наиболее свободный вариант. </w:t>
      </w:r>
      <w:r>
        <w:t>Public-domain Stein volumes можно зеркалировать и OCR-ить. Поздние тибетские переводы 84000 можно распространять только неизменённо, некоммерчески и с атрибуцией; metadata/glossaries там имеют отдельную CC BY 4.0 лицензию.</w:t>
      </w:r>
    </w:p>
    <w:p>
      <w:pPr>
        <w:spacing w:after="60"/>
      </w:pPr>
      <w:r>
        <w:rPr>
          <w:b/>
          <w:color w:val="123B4A"/>
        </w:rPr>
        <w:t xml:space="preserve">Golden Light Or.9609: </w:t>
      </w:r>
      <w:hyperlink r:id="rId27">
        <w:r>
          <w:rPr>
            <w:color w:val="0563C1"/>
            <w:u w:val="single"/>
          </w:rPr>
          <w:t>https://idp.bl.uk/collection/73A1FB295D2C40BC9316C7C158B99E8C/</w:t>
        </w:r>
      </w:hyperlink>
    </w:p>
    <w:p>
      <w:pPr>
        <w:spacing w:after="60"/>
      </w:pPr>
      <w:r>
        <w:rPr>
          <w:b/>
          <w:color w:val="123B4A"/>
        </w:rPr>
        <w:t xml:space="preserve">Saṅghāṭa fragment: </w:t>
      </w:r>
      <w:hyperlink r:id="rId28">
        <w:r>
          <w:rPr>
            <w:color w:val="0563C1"/>
            <w:u w:val="single"/>
          </w:rPr>
          <w:t>https://idp.bl.uk/collection/EBB8B800382A458281B0F99690D0EE6F/</w:t>
        </w:r>
      </w:hyperlink>
    </w:p>
    <w:p>
      <w:pPr>
        <w:spacing w:after="60"/>
      </w:pPr>
      <w:r>
        <w:rPr>
          <w:b/>
          <w:color w:val="123B4A"/>
        </w:rPr>
        <w:t xml:space="preserve">Book of Zambasta folio: </w:t>
      </w:r>
      <w:hyperlink r:id="rId29">
        <w:r>
          <w:rPr>
            <w:color w:val="0563C1"/>
            <w:u w:val="single"/>
          </w:rPr>
          <w:t>https://idp.bl.uk/collection/20DD6A04679D41E0806AA8CEABF2FDAF/</w:t>
        </w:r>
      </w:hyperlink>
    </w:p>
    <w:p>
      <w:pPr>
        <w:spacing w:after="60"/>
      </w:pPr>
      <w:r>
        <w:rPr>
          <w:b/>
          <w:color w:val="123B4A"/>
        </w:rPr>
        <w:t xml:space="preserve">Electronic Khotanese Archive: </w:t>
      </w:r>
      <w:hyperlink r:id="rId30">
        <w:r>
          <w:rPr>
            <w:color w:val="0563C1"/>
            <w:u w:val="single"/>
          </w:rPr>
          <w:t>https://khotxt-fis.org/database/</w:t>
        </w:r>
      </w:hyperlink>
    </w:p>
    <w:p>
      <w:pPr>
        <w:spacing w:after="60"/>
      </w:pPr>
      <w:r>
        <w:rPr>
          <w:b/>
          <w:color w:val="123B4A"/>
        </w:rPr>
        <w:t xml:space="preserve">Ancient Khotan vol. I: </w:t>
      </w:r>
      <w:hyperlink r:id="rId31">
        <w:r>
          <w:rPr>
            <w:color w:val="0563C1"/>
            <w:u w:val="single"/>
          </w:rPr>
          <w:t>https://archive.org/details/in.ernet.dli.2015.181484</w:t>
        </w:r>
      </w:hyperlink>
    </w:p>
    <w:p>
      <w:pPr>
        <w:spacing w:after="60"/>
      </w:pPr>
      <w:r>
        <w:rPr>
          <w:b/>
          <w:color w:val="123B4A"/>
        </w:rPr>
        <w:t xml:space="preserve">Book of Zambasta, Sims-Williams 2022: </w:t>
      </w:r>
      <w:hyperlink r:id="rId32">
        <w:r>
          <w:rPr>
            <w:color w:val="0563C1"/>
            <w:u w:val="single"/>
          </w:rPr>
          <w:t>https://reichert-verlag.de/en/9783752006889_the_book_of_zambasta-detail/</w:t>
        </w:r>
      </w:hyperlink>
    </w:p>
    <w:p>
      <w:pPr>
        <w:pStyle w:val="Heading2"/>
      </w:pPr>
      <w:r>
        <w:t>3.5. Тохарский корпус</w:t>
      </w:r>
    </w:p>
    <w:p>
      <w:r>
        <w:rPr>
          <w:b/>
          <w:color w:val="123B4A"/>
        </w:rPr>
        <w:t xml:space="preserve">Лучшее бесплатное чтение. </w:t>
      </w:r>
      <w:r>
        <w:t>CEToM — основной научный вход: фотографии, транскрипции, английские переводы и комментарии на item level. Поиск по рукописям, местам, жанрам и произведениям позволяет выделять отдельные corpus slices.</w:t>
      </w:r>
    </w:p>
    <w:p>
      <w:r>
        <w:rPr>
          <w:b/>
          <w:color w:val="123B4A"/>
        </w:rPr>
        <w:t xml:space="preserve">Лучшие конкретные оригиналы. </w:t>
      </w:r>
      <w:r>
        <w:t>Для буддийской стиховой семьи особенно полезны SI B 119(2), SI B 117, IOL Toch 371 и A 425.a + THT 1846. Для доктринального слоя — IOL Toch 4 и THT 531; для научно-практического — PK AS 3B, THT 2618, IOL Toch 237 и PK AS 8C.</w:t>
      </w:r>
    </w:p>
    <w:p>
      <w:r>
        <w:rPr>
          <w:b/>
          <w:color w:val="123B4A"/>
        </w:rPr>
        <w:t xml:space="preserve">Лучший старый публичнодоменный слой. </w:t>
      </w:r>
      <w:r>
        <w:t>Tocharische Sprachreste (1921) доступен как полный скан. Публичнодоменный статус выведен по дате публикации, а не подтверждён отдельным item-level statement, поэтому международное зеркалирование требует юрисдикционной проверки.</w:t>
      </w:r>
    </w:p>
    <w:p>
      <w:r>
        <w:rPr>
          <w:b/>
          <w:color w:val="123B4A"/>
        </w:rPr>
        <w:t xml:space="preserve">Лучший дополнительный факсимильный маршрут. </w:t>
      </w:r>
      <w:r>
        <w:t>HisTochText раскрывает Pelliot collection и историю фрагментов; Digital Turfan Archive охватывает крупный берлинский массив, но его условия запрещают свободную передачу репродукций третьим лицам.</w:t>
      </w:r>
    </w:p>
    <w:p>
      <w:r>
        <w:rPr>
          <w:b/>
          <w:color w:val="123B4A"/>
        </w:rPr>
        <w:t xml:space="preserve">Лучший машиночитаемый вариант. </w:t>
      </w:r>
      <w:r>
        <w:t>CEToM остаётся поисковым corpus interface, но открытый API и bulk licence не найдены. Проект 4TB обещает параллельный корпус Tocharian A–Old Uyghur–Sanskrit; пока это metadata/future access.</w:t>
      </w:r>
    </w:p>
    <w:p>
      <w:r>
        <w:rPr>
          <w:b/>
          <w:color w:val="123B4A"/>
        </w:rPr>
        <w:t xml:space="preserve">Наиболее свободный слой. </w:t>
      </w:r>
      <w:r>
        <w:t>Исторический скан Sieg/Siegling потенциально пригоден для OCR, индекса и собственного перевода в пределах его чтений. Современные CEToM/DTA/TITUS слои свободно читаются, но не должны зеркалироваться без разрешения.</w:t>
      </w:r>
    </w:p>
    <w:p>
      <w:pPr>
        <w:spacing w:after="60"/>
      </w:pPr>
      <w:r>
        <w:rPr>
          <w:b/>
          <w:color w:val="123B4A"/>
        </w:rPr>
        <w:t xml:space="preserve">CEToM: </w:t>
      </w:r>
      <w:hyperlink r:id="rId33">
        <w:r>
          <w:rPr>
            <w:color w:val="0563C1"/>
            <w:u w:val="single"/>
          </w:rPr>
          <w:t>https://cetom.univie.ac.at/</w:t>
        </w:r>
      </w:hyperlink>
    </w:p>
    <w:p>
      <w:pPr>
        <w:spacing w:after="60"/>
      </w:pPr>
      <w:r>
        <w:rPr>
          <w:b/>
          <w:color w:val="123B4A"/>
        </w:rPr>
        <w:t xml:space="preserve">CEToM manuscript index: </w:t>
      </w:r>
      <w:hyperlink r:id="rId34">
        <w:r>
          <w:rPr>
            <w:color w:val="0563C1"/>
            <w:u w:val="single"/>
          </w:rPr>
          <w:t>https://cetom.univie.ac.at/?manuscripts=</w:t>
        </w:r>
      </w:hyperlink>
    </w:p>
    <w:p>
      <w:pPr>
        <w:spacing w:after="60"/>
      </w:pPr>
      <w:r>
        <w:rPr>
          <w:b/>
          <w:color w:val="123B4A"/>
        </w:rPr>
        <w:t xml:space="preserve">HisTochText: </w:t>
      </w:r>
      <w:hyperlink r:id="rId35">
        <w:r>
          <w:rPr>
            <w:color w:val="0563C1"/>
            <w:u w:val="single"/>
          </w:rPr>
          <w:t>https://histochtext.huma-num.fr/</w:t>
        </w:r>
      </w:hyperlink>
    </w:p>
    <w:p>
      <w:pPr>
        <w:spacing w:after="60"/>
      </w:pPr>
      <w:r>
        <w:rPr>
          <w:b/>
          <w:color w:val="123B4A"/>
        </w:rPr>
        <w:t xml:space="preserve">Digital Turfan Archive: </w:t>
      </w:r>
      <w:hyperlink r:id="rId36">
        <w:r>
          <w:rPr>
            <w:color w:val="0563C1"/>
            <w:u w:val="single"/>
          </w:rPr>
          <w:t>https://turfan.bbaw.de/dta-i-en.html</w:t>
        </w:r>
      </w:hyperlink>
    </w:p>
    <w:p>
      <w:pPr>
        <w:spacing w:after="60"/>
      </w:pPr>
      <w:r>
        <w:rPr>
          <w:b/>
          <w:color w:val="123B4A"/>
        </w:rPr>
        <w:t xml:space="preserve">Tocharische Sprachreste 1921: </w:t>
      </w:r>
      <w:hyperlink r:id="rId37">
        <w:r>
          <w:rPr>
            <w:color w:val="0563C1"/>
            <w:u w:val="single"/>
          </w:rPr>
          <w:t>https://archive.org/details/tocharischesprac01sieg</w:t>
        </w:r>
      </w:hyperlink>
    </w:p>
    <w:p>
      <w:pPr>
        <w:spacing w:after="60"/>
      </w:pPr>
      <w:r>
        <w:rPr>
          <w:b/>
          <w:color w:val="123B4A"/>
        </w:rPr>
        <w:t xml:space="preserve">4TB project: </w:t>
      </w:r>
      <w:hyperlink r:id="rId38">
        <w:r>
          <w:rPr>
            <w:color w:val="0563C1"/>
            <w:u w:val="single"/>
          </w:rPr>
          <w:t>https://cordis.europa.eu/project/id/101150017</w:t>
        </w:r>
      </w:hyperlink>
    </w:p>
    <w:p>
      <w:pPr>
        <w:pStyle w:val="Heading2"/>
      </w:pPr>
      <w:r>
        <w:t>3.6. Китайские и тибетские линии сохранения</w:t>
      </w:r>
    </w:p>
    <w:p>
      <w:r>
        <w:rPr>
          <w:b/>
          <w:color w:val="123B4A"/>
        </w:rPr>
        <w:t xml:space="preserve">Лучший свободный китайский текст. </w:t>
      </w:r>
      <w:r>
        <w:t>CBETA T0418 и T0224 дают полное чтение и экспорт в нескольких форматах. Default licence — CC BY-NC-SA 2.5 Taiwan, но источник каждой электронной редакции и исключения должны проверяться отдельно.</w:t>
      </w:r>
    </w:p>
    <w:p>
      <w:r>
        <w:rPr>
          <w:b/>
          <w:color w:val="123B4A"/>
        </w:rPr>
        <w:t xml:space="preserve">Лучший альтернативный канонический интерфейс. </w:t>
      </w:r>
      <w:r>
        <w:t>SAT объединяет Taishō text, изображения и исследовательские функции, но разрешает использование главным образом в академических/некоммерческих целях и запрещает сетевое перераспространение без согласия.</w:t>
      </w:r>
    </w:p>
    <w:p>
      <w:r>
        <w:rPr>
          <w:b/>
          <w:color w:val="123B4A"/>
        </w:rPr>
        <w:t xml:space="preserve">Лучший современный английский перевод китайского канона. </w:t>
      </w:r>
      <w:r>
        <w:t>BDK/SAT предоставляет бесплатное чтение защищённых современных переводов; для ToS это link-only, если нет отдельного разрешения.</w:t>
      </w:r>
    </w:p>
    <w:p>
      <w:r>
        <w:rPr>
          <w:b/>
          <w:color w:val="123B4A"/>
        </w:rPr>
        <w:t xml:space="preserve">Лучший тибетский маршрут. </w:t>
      </w:r>
      <w:r>
        <w:t>84000 предлагает полные HTML/PDF/EPUB переводы Golden Light и Aparimitāyurjñāna. Файлы можно делиться неизменённо и некоммерчески по CC BY-NC-ND 4.0; создавать производный перевод из английского нельзя.</w:t>
      </w:r>
    </w:p>
    <w:p>
      <w:pPr>
        <w:spacing w:after="60"/>
      </w:pPr>
      <w:r>
        <w:rPr>
          <w:b/>
          <w:color w:val="123B4A"/>
        </w:rPr>
        <w:t xml:space="preserve">CBETA T0418: </w:t>
      </w:r>
      <w:hyperlink r:id="rId39">
        <w:r>
          <w:rPr>
            <w:color w:val="0563C1"/>
            <w:u w:val="single"/>
          </w:rPr>
          <w:t>https://cbetaonline.dila.edu.tw/T0418</w:t>
        </w:r>
      </w:hyperlink>
    </w:p>
    <w:p>
      <w:pPr>
        <w:spacing w:after="60"/>
      </w:pPr>
      <w:r>
        <w:rPr>
          <w:b/>
          <w:color w:val="123B4A"/>
        </w:rPr>
        <w:t xml:space="preserve">CBETA T0224: </w:t>
      </w:r>
      <w:hyperlink r:id="rId40">
        <w:r>
          <w:rPr>
            <w:color w:val="0563C1"/>
            <w:u w:val="single"/>
          </w:rPr>
          <w:t>https://cbetaonline.dila.edu.tw/T0224</w:t>
        </w:r>
      </w:hyperlink>
    </w:p>
    <w:p>
      <w:pPr>
        <w:spacing w:after="60"/>
      </w:pPr>
      <w:r>
        <w:rPr>
          <w:b/>
          <w:color w:val="123B4A"/>
        </w:rPr>
        <w:t xml:space="preserve">CBETA rights: </w:t>
      </w:r>
      <w:hyperlink r:id="rId41">
        <w:r>
          <w:rPr>
            <w:color w:val="0563C1"/>
            <w:u w:val="single"/>
          </w:rPr>
          <w:t>https://www.cbeta-org-tw.cbeta.org/copyright.htm</w:t>
        </w:r>
      </w:hyperlink>
    </w:p>
    <w:p>
      <w:pPr>
        <w:spacing w:after="60"/>
      </w:pPr>
      <w:r>
        <w:rPr>
          <w:b/>
          <w:color w:val="123B4A"/>
        </w:rPr>
        <w:t xml:space="preserve">SAT terms: </w:t>
      </w:r>
      <w:hyperlink r:id="rId42">
        <w:r>
          <w:rPr>
            <w:color w:val="0563C1"/>
            <w:u w:val="single"/>
          </w:rPr>
          <w:t>https://21dzk.l.u-tokyo.ac.jp/SAT/termsofuse_en.html</w:t>
        </w:r>
      </w:hyperlink>
    </w:p>
    <w:p>
      <w:pPr>
        <w:spacing w:after="60"/>
      </w:pPr>
      <w:r>
        <w:rPr>
          <w:b/>
          <w:color w:val="123B4A"/>
        </w:rPr>
        <w:t xml:space="preserve">BDK digital texts: </w:t>
      </w:r>
      <w:hyperlink r:id="rId43">
        <w:r>
          <w:rPr>
            <w:color w:val="0563C1"/>
            <w:u w:val="single"/>
          </w:rPr>
          <w:t>https://www.bdk.or.jp/bdk/digital/</w:t>
        </w:r>
      </w:hyperlink>
    </w:p>
    <w:p>
      <w:pPr>
        <w:spacing w:after="60"/>
      </w:pPr>
      <w:r>
        <w:rPr>
          <w:b/>
          <w:color w:val="123B4A"/>
        </w:rPr>
        <w:t xml:space="preserve">84000 terms: </w:t>
      </w:r>
      <w:hyperlink r:id="rId44">
        <w:r>
          <w:rPr>
            <w:color w:val="0563C1"/>
            <w:u w:val="single"/>
          </w:rPr>
          <w:t>https://84000.co/documents/terms-of-use</w:t>
        </w:r>
      </w:hyperlink>
    </w:p>
    <w:p>
      <w:pPr>
        <w:pStyle w:val="Heading1"/>
        <w:pageBreakBefore/>
      </w:pPr>
      <w:r>
        <w:t>4. Карта прав и практического использования</w:t>
      </w:r>
    </w:p>
    <w:p>
      <w:r>
        <w:t>В реестре правообладательский статус описан не как одно поле «свободно/несвободно», а как четыре слоя: древнее произведение или объект; конкретная редакция/перевод; цифровая фотография, скан, OCR или dataset; условия сайта. Поэтому один и тот же URL может одновременно разрешать чтение, запрещать зеркалирование изображений и открывать метаданные.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Правовой режим</w:t>
            </w:r>
          </w:p>
        </w:tc>
        <w:tc>
          <w:tcPr>
            <w:tcW w:type="dxa" w:w="3118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Характерные примеры</w:t>
            </w:r>
          </w:p>
        </w:tc>
        <w:tc>
          <w:tcPr>
            <w:tcW w:type="dxa" w:w="4195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Практика ToS</w:t>
            </w:r>
          </w:p>
        </w:tc>
      </w:tr>
      <w:tr>
        <w:tc>
          <w:tcPr>
            <w:tcW w:type="dxa" w:w="226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Публичнодоменный или CC0 слой</w:t>
            </w:r>
          </w:p>
        </w:tc>
        <w:tc>
          <w:tcPr>
            <w:tcW w:type="dxa" w:w="311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Konow 1929; Hultzsch 1925; Stein 1907; The Met Open Access; Project Gutenberg</w:t>
            </w:r>
          </w:p>
        </w:tc>
        <w:tc>
          <w:tcPr>
            <w:tcW w:type="dxa" w:w="419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Хранить, OCR-ить, индексировать и зеркалировать в пределах конкретного файла/изображения и подтверждённого rights scope. Сохранять библиографию и provenance.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CC BY / CC BY-SA</w:t>
            </w:r>
          </w:p>
        </w:tc>
        <w:tc>
          <w:tcPr>
            <w:tcW w:type="dxa" w:w="311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Surkh Kotal CC BY 2.0 photo; Ašəm vohū CC BY 2.5 photo; Comparative Dhammapada CC BY-SA 4.0; Gallica metadata Open Licence</w:t>
            </w:r>
          </w:p>
        </w:tc>
        <w:tc>
          <w:tcPr>
            <w:tcW w:type="dxa" w:w="419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Размещать с атрибуцией; для BY-SA сохранять совместимую ShareAlike-лицензию. Не переносить лицензию фотографии на критический текст.</w:t>
            </w:r>
          </w:p>
        </w:tc>
      </w:tr>
      <w:tr>
        <w:tc>
          <w:tcPr>
            <w:tcW w:type="dxa" w:w="226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Некоммерческое и/или неизменённое распространение</w:t>
            </w:r>
          </w:p>
        </w:tc>
        <w:tc>
          <w:tcPr>
            <w:tcW w:type="dxa" w:w="311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UW Abhidharma CC BY-NC-ND; 84000 translations CC BY-NC-ND; CBETA default CC BY-NC-SA</w:t>
            </w:r>
          </w:p>
        </w:tc>
        <w:tc>
          <w:tcPr>
            <w:tcW w:type="dxa" w:w="419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Использовать только в заявленном некоммерческом объёме. ND-файлы не менять; SA-компоненты публиковать с той же лицензией. Проверять исключения.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Свободно читать/скачивать, но mirror right не доказан</w:t>
            </w:r>
          </w:p>
        </w:tc>
        <w:tc>
          <w:tcPr>
            <w:tcW w:type="dxa" w:w="311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Gandhari.org; JGBT; CEToM; Invisible East; большинство IDP records; EKhA</w:t>
            </w:r>
          </w:p>
        </w:tc>
        <w:tc>
          <w:tcPr>
            <w:tcW w:type="dxa" w:w="419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Давать внешнюю ссылку, хранить ограниченную исследовательскую копию, выполнять внутренний поиск. Публичное повторное размещение и bulk ingestion требуют ручной проверки.</w:t>
            </w:r>
          </w:p>
        </w:tc>
      </w:tr>
      <w:tr>
        <w:tc>
          <w:tcPr>
            <w:tcW w:type="dxa" w:w="226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Link-only / permission required</w:t>
            </w:r>
          </w:p>
        </w:tc>
        <w:tc>
          <w:tcPr>
            <w:tcW w:type="dxa" w:w="311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Digital Turfan Archive; TITUS; SAT; BDK; современные Bactrian Documents; Brough; Emmerick; Sims-Williams 2022</w:t>
            </w:r>
          </w:p>
        </w:tc>
        <w:tc>
          <w:tcPr>
            <w:tcW w:type="dxa" w:w="419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Ссылаться, брать через библиотеку, preview или покупку. Не зеркалировать и не строить публичный производный корпус без согласия.</w:t>
            </w:r>
          </w:p>
        </w:tc>
      </w:tr>
    </w:tbl>
    <w:p>
      <w:pPr>
        <w:pStyle w:val="Heading2"/>
      </w:pPr>
      <w:r>
        <w:t>4.1. Что ToS может потенциально зеркалировать</w:t>
      </w:r>
    </w:p>
    <w:p>
      <w:r>
        <w:t>В реестре 9 записей получили MIRROR_OK. Это наиболее чистый слой: публичнодоменные старые издания и отдельные музейные Open Access объекты. К нему относятся Konow 1929, Hultzsch 1925, оба тома Ancient Khotan, Public Domain изображение монеты Канишки в The Met и некоторые исторические e-books.</w:t>
      </w:r>
    </w:p>
    <w:p>
      <w:pPr>
        <w:pStyle w:val="ToSBullet"/>
      </w:pPr>
      <w:r>
        <w:t xml:space="preserve">• </w:t>
      </w:r>
      <w:r>
        <w:t>Зеркалирование допустимо только в пределах указанного coverage: один том, один объект, один снимок или одна конкретная версия.</w:t>
      </w:r>
    </w:p>
    <w:p>
      <w:pPr>
        <w:pStyle w:val="ToSBullet"/>
      </w:pPr>
      <w:r>
        <w:t xml:space="preserve">• </w:t>
      </w:r>
      <w:r>
        <w:t>Для старых изданий сохраняются имя редактора, год, репозиторий и предупреждение, что научные чтения могут быть устаревшими.</w:t>
      </w:r>
    </w:p>
    <w:p>
      <w:pPr>
        <w:pStyle w:val="ToSBullet"/>
      </w:pPr>
      <w:r>
        <w:t xml:space="preserve">• </w:t>
      </w:r>
      <w:r>
        <w:t>Public Domain metadata/image status одного музейного объекта не переносится на весь музейный сайт или на все изображения коллекции.</w:t>
      </w:r>
    </w:p>
    <w:p>
      <w:pPr>
        <w:pStyle w:val="Heading2"/>
      </w:pPr>
      <w:r>
        <w:t>4.2. Материалы с атрибуцией и ShareAlike</w:t>
      </w:r>
    </w:p>
    <w:p>
      <w:r>
        <w:t>12 записей получили MIRROR_WITH_ATTRIBUTION. Сюда входят отдельные Wikimedia photographs, CC BY текст IDP и французские открытые метаданные Gallica. Comparative Dhammapada требует не только атрибуции, но и ShareAlike. При импорте в ToS необходимо хранить автора/учреждение, название объекта, исходный URL, версию лицензии и дату доступа.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D6"/>
            <w:tcBorders>
              <w:top w:sz="2" w:val="single" w:color="FFF3D6" w:space="0"/>
              <w:left w:sz="14" w:val="single" w:color="285A68" w:space="0"/>
              <w:bottom w:sz="2" w:val="single" w:color="FFF3D6" w:space="0"/>
              <w:right w:sz="2" w:val="single" w:color="FFF3D6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Граница лицензии. </w:t>
            </w:r>
            <w:r>
              <w:t>Лицензия CC BY фотографии Сурх-Котала разрешает использовать фотографию. Она не лицензирует перевод, критическую реконструкцию или текст музейной карточки.</w:t>
            </w:r>
          </w:p>
        </w:tc>
      </w:tr>
    </w:tbl>
    <w:p>
      <w:pPr>
        <w:spacing w:after="0"/>
      </w:pPr>
    </w:p>
    <w:p>
      <w:pPr>
        <w:pStyle w:val="Heading2"/>
      </w:pPr>
      <w:r>
        <w:t>4.3. Некоммерческие и неизменяемые материалы</w:t>
      </w:r>
    </w:p>
    <w:p>
      <w:r>
        <w:t>9 записей получили MIRROR_NONCOMMERCIAL. Для проекта ToS это полезный слой, поскольку текущая задача образовательная и некоммерческая, но NC не отменяет атрибуцию, ShareAlike или NoDerivatives. У 84000 переводные файлы имеют CC BY-NC-ND, а metadata/glossaries — отдельную CC BY лицензию. У CBETA действует default CC BY-NC-SA, но часть современных коллекций и исходных наборов исключена.</w:t>
      </w:r>
    </w:p>
    <w:p>
      <w:pPr>
        <w:pStyle w:val="ToSBullet"/>
      </w:pPr>
      <w:r>
        <w:t xml:space="preserve">• </w:t>
      </w:r>
      <w:r>
        <w:t>CC BY-NC-ND: можно распространять файл неизменённо и некоммерчески; нельзя делать собственный перевод, адаптацию, сокращённую редакцию или изменённый EPUB на его основе без разрешения.</w:t>
      </w:r>
    </w:p>
    <w:p>
      <w:pPr>
        <w:pStyle w:val="ToSBullet"/>
      </w:pPr>
      <w:r>
        <w:t xml:space="preserve">• </w:t>
      </w:r>
      <w:r>
        <w:t>CC BY-NC-SA: можно создавать производные материалы в некоммерческом режиме при атрибуции и сохранении ShareAlike, но только для компонентов, реально охваченных лицензией.</w:t>
      </w:r>
    </w:p>
    <w:p>
      <w:pPr>
        <w:pStyle w:val="ToSBullet"/>
      </w:pPr>
      <w:r>
        <w:t xml:space="preserve">• </w:t>
      </w:r>
      <w:r>
        <w:t>Некоммерческий статус ToS не даёт права копировать материал, если лицензия или разрешение отсутствуют.</w:t>
      </w:r>
    </w:p>
    <w:p>
      <w:pPr>
        <w:pStyle w:val="Heading2"/>
      </w:pPr>
      <w:r>
        <w:t>4.4. Свободное чтение и скачивание без доказанного права републикации</w:t>
      </w:r>
    </w:p>
    <w:p>
      <w:r>
        <w:t>Наиболее многочисленная категория — 113 записей с RIGHTS_REVIEW_REQUIRED. Это не означает, что источник сомнителен или незаконен. Обычно он законно доступен для чтения, но права разделены между учреждением, фотографом, современным редактором и владельцем исходного издания.</w:t>
      </w:r>
    </w:p>
    <w:p>
      <w:r>
        <w:t>Gandhari.org, JGBT, CEToM и Invisible East дают высококачественный научный доступ, но не публикуют простую общую лицензию на весь текстовый и визуальный слой. IDP и Gallica прямо работают с компонентными правами: metadata, site text и изображения могут иметь разные условия. Для ToS безопасна внешняя ссылка и локальная исследовательская копия; открытый mirror или bulk redistribution должны ждать item-level evidence.</w:t>
      </w:r>
    </w:p>
    <w:p>
      <w:pPr>
        <w:pStyle w:val="Heading2"/>
      </w:pPr>
      <w:r>
        <w:t>4.5. Link-only, library, preview и purchase</w:t>
      </w:r>
    </w:p>
    <w:p>
      <w:r>
        <w:t>32 записи маркированы LINK_ONLY, а 8 — PERMISSION_REQUIRED. Этот слой принципиально сохранён, потому что современное критическое издание часто является лучшим способом понять текст, даже если оно не пригодно для размещения на ToS.</w:t>
      </w:r>
    </w:p>
    <w:p>
      <w:pPr>
        <w:pStyle w:val="ToSBullet"/>
      </w:pPr>
      <w:r>
        <w:t xml:space="preserve">• </w:t>
      </w:r>
      <w:r>
        <w:t>Bactrian Documents from Northern Afghanistan — покупка или библиотека; selected items доступны отдельно в Invisible East;</w:t>
      </w:r>
    </w:p>
    <w:p>
      <w:pPr>
        <w:pStyle w:val="ToSBullet"/>
      </w:pPr>
      <w:r>
        <w:t xml:space="preserve">• </w:t>
      </w:r>
      <w:r>
        <w:t>Brough's Gāndhārī Dharmapada, Emmerick's Golden Light and Book of Zambasta — preview/library/purchase;</w:t>
      </w:r>
    </w:p>
    <w:p>
      <w:pPr>
        <w:pStyle w:val="ToSBullet"/>
      </w:pPr>
      <w:r>
        <w:t xml:space="preserve">• </w:t>
      </w:r>
      <w:r>
        <w:t>Digital Turfan Archive — свободный просмотр, но публикация и передача репродукций ограничены;</w:t>
      </w:r>
    </w:p>
    <w:p>
      <w:pPr>
        <w:pStyle w:val="ToSBullet"/>
      </w:pPr>
      <w:r>
        <w:t xml:space="preserve">• </w:t>
      </w:r>
      <w:r>
        <w:t>TITUS — свободное научное чтение, но перепубликация без предварительного разрешения запрещена;</w:t>
      </w:r>
    </w:p>
    <w:p>
      <w:pPr>
        <w:pStyle w:val="ToSBullet"/>
      </w:pPr>
      <w:r>
        <w:t xml:space="preserve">• </w:t>
      </w:r>
      <w:r>
        <w:t>SAT — академическое/некоммерческое использование, но сетевое перераспространение запрещено;</w:t>
      </w:r>
    </w:p>
    <w:p>
      <w:pPr>
        <w:pStyle w:val="ToSBullet"/>
      </w:pPr>
      <w:r>
        <w:t xml:space="preserve">• </w:t>
      </w:r>
      <w:r>
        <w:t>BDK — бесплатное чтение современных переводов без установленной открытой лицензии;</w:t>
      </w:r>
    </w:p>
    <w:p>
      <w:pPr>
        <w:pStyle w:val="Heading2"/>
      </w:pPr>
      <w:r>
        <w:t>4.6. OCR, полнотекстовый индекс и embeddings</w:t>
      </w:r>
    </w:p>
    <w:p>
      <w:r>
        <w:t>В реестре OCR_OK, FULLTEXT_INDEX_OK и EMBEDDINGS_OK не объединялись автоматически. Публичнодоменный скан обычно позволяет все три операции. Открыто лицензированная фотография допускает OCR лишь в пределах видимого текста на этом изображении. Свободно читаемый защищённый критический корпус может использоваться для ограниченного локального исследования, но публикация извлечённого полного текста или публичного embedding dataset требует отдельной оценки условий и применимого права.</w:t>
      </w:r>
    </w:p>
    <w:p>
      <w:pPr>
        <w:pStyle w:val="ToSBullet"/>
      </w:pPr>
      <w:r>
        <w:t xml:space="preserve">• </w:t>
      </w:r>
      <w:r>
        <w:t>Локальный полнотекстовый индекс для внутренней исследовательской работы не равен публичной выдаче всего текста.</w:t>
      </w:r>
    </w:p>
    <w:p>
      <w:pPr>
        <w:pStyle w:val="ToSBullet"/>
      </w:pPr>
      <w:r>
        <w:t xml:space="preserve">• </w:t>
      </w:r>
      <w:r>
        <w:t>Embeddings не следует считать автоматически «необратимыми» и свободными: риск восстановления, масштаб и условия источника важны.</w:t>
      </w:r>
    </w:p>
    <w:p>
      <w:pPr>
        <w:pStyle w:val="ToSBullet"/>
      </w:pPr>
      <w:r>
        <w:t xml:space="preserve">• </w:t>
      </w:r>
      <w:r>
        <w:t>Для сайтов без bulk/API лучше запрашивать разрешение, а не обходить интерфейс массовым scraping.</w:t>
      </w:r>
    </w:p>
    <w:p>
      <w:pPr>
        <w:pStyle w:val="Heading2"/>
      </w:pPr>
      <w:r>
        <w:t>4.7. Собственный перевод ToS</w:t>
      </w:r>
    </w:p>
    <w:p>
      <w:r>
        <w:t>8 записей получили OWN_TRANSLATION_POSSIBLE. Эта отметка относится не ко всему произведению или корпусу, а только к конкретной чистой основе: публичнодоменному старому изданию, открыто лицензированной фотографии или Public Domain музейному изображению.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41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3515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Чистая основа</w:t>
            </w:r>
          </w:p>
        </w:tc>
        <w:tc>
          <w:tcPr>
            <w:tcW w:type="dxa" w:w="4025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Предел рекомендации</w:t>
            </w:r>
          </w:p>
        </w:tc>
      </w:tr>
      <w:tr>
        <w:tc>
          <w:tcPr>
            <w:tcW w:type="dxa" w:w="204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6"/>
              </w:rPr>
              <w:t>Указы Ашоки</w:t>
            </w:r>
          </w:p>
        </w:tc>
        <w:tc>
          <w:tcPr>
            <w:tcW w:type="dxa" w:w="351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Hultzsch 1925: публичнодоменные тексты, транслитерации и таблицы северо-западных хароштхийских версий</w:t>
            </w:r>
          </w:p>
        </w:tc>
        <w:tc>
          <w:tcPr>
            <w:tcW w:type="dxa" w:w="402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Можно создавать новый перевод включённых надписей; сверять с современной эпиграфикой.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6"/>
              </w:rPr>
              <w:t>Kharoṣṭhī inscriptions</w:t>
            </w:r>
          </w:p>
        </w:tc>
        <w:tc>
          <w:tcPr>
            <w:tcW w:type="dxa" w:w="351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Konow 1929: публичнодоменное издание</w:t>
            </w:r>
          </w:p>
        </w:tc>
        <w:tc>
          <w:tcPr>
            <w:tcW w:type="dxa" w:w="402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Можно переводить опубликованные там свидетельства; не расширять вывод на поздние редакции.</w:t>
            </w:r>
          </w:p>
        </w:tc>
      </w:tr>
      <w:tr>
        <w:tc>
          <w:tcPr>
            <w:tcW w:type="dxa" w:w="204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6"/>
              </w:rPr>
              <w:t>Сурх-Котал</w:t>
            </w:r>
          </w:p>
        </w:tc>
        <w:tc>
          <w:tcPr>
            <w:tcW w:type="dxa" w:w="351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CC BY 2.0 photograph of one witness</w:t>
            </w:r>
          </w:p>
        </w:tc>
        <w:tc>
          <w:tcPr>
            <w:tcW w:type="dxa" w:w="402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Можно независимо транскрибировать видимую поверхность с атрибуцией; критическая полнота не гарантирована.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6"/>
              </w:rPr>
              <w:t>Кушанская монета</w:t>
            </w:r>
          </w:p>
        </w:tc>
        <w:tc>
          <w:tcPr>
            <w:tcW w:type="dxa" w:w="351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 Met Public Domain image + CC0 metadata</w:t>
            </w:r>
          </w:p>
        </w:tc>
        <w:tc>
          <w:tcPr>
            <w:tcW w:type="dxa" w:w="402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Можно переводить легенду конкретной монеты; не весь монетный корпус.</w:t>
            </w:r>
          </w:p>
        </w:tc>
      </w:tr>
      <w:tr>
        <w:tc>
          <w:tcPr>
            <w:tcW w:type="dxa" w:w="204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6"/>
              </w:rPr>
              <w:t>Ašəm vohū fragment</w:t>
            </w:r>
          </w:p>
        </w:tc>
        <w:tc>
          <w:tcPr>
            <w:tcW w:type="dxa" w:w="351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CC BY 2.5 photograph</w:t>
            </w:r>
          </w:p>
        </w:tc>
        <w:tc>
          <w:tcPr>
            <w:tcW w:type="dxa" w:w="402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Можно работать с фотографируемым фрагментом; сохранять атрибуцию и проверять чтение.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6"/>
              </w:rPr>
              <w:t>Khotan</w:t>
            </w:r>
          </w:p>
        </w:tc>
        <w:tc>
          <w:tcPr>
            <w:tcW w:type="dxa" w:w="351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Stein 1907 public-domain plates and transcriptions</w:t>
            </w:r>
          </w:p>
        </w:tc>
        <w:tc>
          <w:tcPr>
            <w:tcW w:type="dxa" w:w="402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Можно переводить включённые тексты/надписи в пределах качества старого издания.</w:t>
            </w:r>
          </w:p>
        </w:tc>
      </w:tr>
      <w:tr>
        <w:tc>
          <w:tcPr>
            <w:tcW w:type="dxa" w:w="204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6"/>
              </w:rPr>
              <w:t>Tocharian</w:t>
            </w:r>
          </w:p>
        </w:tc>
        <w:tc>
          <w:tcPr>
            <w:tcW w:type="dxa" w:w="351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Sieg–Siegling 1921, public-domain inference by date</w:t>
            </w:r>
          </w:p>
        </w:tc>
        <w:tc>
          <w:tcPr>
            <w:tcW w:type="dxa" w:w="4025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Возможна работа с включёнными текстами после юрисдикционной и научной проверки.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BE9E7"/>
            <w:tcBorders>
              <w:top w:sz="2" w:val="single" w:color="FBE9E7" w:space="0"/>
              <w:left w:sz="14" w:val="single" w:color="285A68" w:space="0"/>
              <w:bottom w:sz="2" w:val="single" w:color="FBE9E7" w:space="0"/>
              <w:right w:sz="2" w:val="single" w:color="FBE9E7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Не использовать как посредник. </w:t>
            </w:r>
            <w:r>
              <w:t>Защищённый английский перевод, даже бесплатно читаемый, не является чистой основой для нового публичного перевода. Особенно это относится к NoDerivatives-материалам 84000 и UW Press.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5. Характерные правовые тонкости</w:t>
      </w:r>
    </w:p>
    <w:p>
      <w:pPr>
        <w:pStyle w:val="Heading2"/>
      </w:pPr>
      <w:r>
        <w:t>5.1. Древний текст, современная реконструкция</w:t>
      </w:r>
    </w:p>
    <w:p>
      <w:r>
        <w:t>Почти весь исходный материал A41 древний и сам по себе не охраняется авторским правом. Однако значительная часть читаемого сегодня текста существует как современная реконструкция из фрагментов: редактор соединяет листы, восстанавливает лакуны, нормализует орфографию, предлагает санскритскую chāyā, перевод и комментарий. Именно этот слой может быть защищён. Поэтому ToS может ссылаться на JGBT или CEToM, но не должен автоматически копировать их реконструированный текст в собственный публичный corpus.</w:t>
      </w:r>
    </w:p>
    <w:p>
      <w:pPr>
        <w:pStyle w:val="Heading2"/>
      </w:pPr>
      <w:r>
        <w:t>5.2. Один портал — несколько правообладателей</w:t>
      </w:r>
    </w:p>
    <w:p>
      <w:r>
        <w:t>IDP — метаколлекция, а не единый владелец всех изображений. Текст портала может быть CC BY, а фотография рукописи принадлежать British Library, BnF, Berlin-Brandenburg Academy или другому партнёру. Похожая ситуация у Gallica: описательные метаданные открыты по Licence Ouverte, но цифровые изображения подчиняются отдельным условиям повторного использования. Лицензия уровня проекта не переносится на каждый item и каждый файл.</w:t>
      </w:r>
    </w:p>
    <w:p>
      <w:pPr>
        <w:pStyle w:val="Heading2"/>
      </w:pPr>
      <w:r>
        <w:t>5.3. Download button не равна разрешению на mirror</w:t>
      </w:r>
    </w:p>
    <w:p>
      <w:r>
        <w:t>Многие рукописные платформы позволяют скачать JPEG, PDF или IIIF manifest для исследования. Это техническая возможность доступа, а не обязательно право разместить тот же файл на другом сайте. В реестре FREE_DOWNLOAD означает наличие законного скачивания; MIRROR_OK или MIRROR_WITH_ATTRIBUTION ставились только при дополнительном официальном rights statement.</w:t>
      </w:r>
    </w:p>
    <w:p>
      <w:pPr>
        <w:pStyle w:val="Heading2"/>
      </w:pPr>
      <w:r>
        <w:t>5.4. Открытые данные и ограниченные изображения</w:t>
      </w:r>
    </w:p>
    <w:p>
      <w:r>
        <w:t>The Met является образцовым смешанным случаем: metadata Open Access dataset опубликованы по CC0, а изображения объектов в общественном достоянии отмечаются отдельно. Это позволяет ToS безопасно зеркалировать structured metadata и конкретные Public Domain images. У IDP и Gallica похожее разделение существует, но image rights чаще требуют item-level проверки.</w:t>
      </w:r>
    </w:p>
    <w:p>
      <w:pPr>
        <w:pStyle w:val="Heading2"/>
      </w:pPr>
      <w:r>
        <w:t>5.5. NoDerivatives и научный перевод</w:t>
      </w:r>
    </w:p>
    <w:p>
      <w:r>
        <w:t>CC BY-NC-ND у 84000 и открытой UW Press monograph разрешает некоммерческое распространение неизменённого файла, но запрещает производную переработку без разрешения. Перевод на русский язык, адаптированная верстка, сокращение, синхронизация с собственным комментарием или обучающий dataset могут считаться производными. Поэтому такие записи не получили безусловный OWN_TRANSLATION_POSSIBLE.</w:t>
      </w:r>
    </w:p>
    <w:p>
      <w:pPr>
        <w:pStyle w:val="Heading2"/>
      </w:pPr>
      <w:r>
        <w:t>5.6. Public Domain по дате и юрисдикции</w:t>
      </w:r>
    </w:p>
    <w:p>
      <w:r>
        <w:t>Для Hultzsch 1925 и Konow 1929 найдено прямое repository-level public-domain statement. Для Tocharische Sprachreste 1921 и некоторых старых переводов Shahnameh вывод в большей степени основан на дате публикации и американском режиме public domain. Такой вывод полезен для исследования, но перед международным зеркалированием необходимо проверить срок охраны автора/редактора в целевой юрисдикции и статус конкретного скана.</w:t>
      </w:r>
    </w:p>
    <w:p>
      <w:pPr>
        <w:pStyle w:val="Heading2"/>
      </w:pPr>
      <w:r>
        <w:t>5.7. Более свободный источник может быть научно слабее</w:t>
      </w:r>
    </w:p>
    <w:p>
      <w:r>
        <w:t>Публичнодоменное издание иногда даёт лучший правовой, но не лучший филологический слой. Stein, Hultzsch, Konow и Sieg–Siegling пригодны для OCR, сопоставления и собственного перевода, однако современные чтения могли изменить сегментацию, датировку и интерпретацию. Практически верная стратегия ToS — строить собственный текст на чистой основе, но сверять его с современными защищёнными исследованиями, не копируя их охраняемое выражение.</w:t>
      </w:r>
    </w:p>
    <w:p>
      <w:pPr>
        <w:pStyle w:val="Heading2"/>
      </w:pPr>
      <w:r>
        <w:t>5.8. Корпусная полнота и rights completeness — разные вещи</w:t>
      </w:r>
    </w:p>
    <w:p>
      <w:r>
        <w:t>Gandhari.org или CEToM могут быть научно близки к корпусной полноте, но правовой реестр остаётся неполным, пока не установлены component-level licences для изображений, транскрипций и bulk access. Напротив, одна монета The Met имеет почти идеальную rights clarity, но покрывает только один экземпляр. Поэтому положительные теги реестра всегда ограничены полем coverage.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D6"/>
            <w:tcBorders>
              <w:top w:sz="2" w:val="single" w:color="FFF3D6" w:space="0"/>
              <w:left w:sz="14" w:val="single" w:color="285A68" w:space="0"/>
              <w:bottom w:sz="2" w:val="single" w:color="FFF3D6" w:space="0"/>
              <w:right w:sz="2" w:val="single" w:color="FFF3D6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Практический вывод. </w:t>
            </w:r>
            <w:r>
              <w:t>Самый безопасный reusable layer A41 — не «все древние тексты», а конкретные публичнодоменные издания, открыто лицензированные фотографии и явно открытые metadata. Самый научно сильный слой часто остаётся link-only.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Пробелы и дальнейший поиск</w:t>
      </w:r>
    </w:p>
    <w:p>
      <w:r>
        <w:t>Лист gaps содержит 20 конкретных недостающих входов. Они не являются общими пожеланиями: каждый пробел возник там, где объект прямо связан с A41, но не удалось получить одновременно достаточно полный цифровой доступ, устойчивый item-level URL и ясное правовое основание.</w:t>
      </w:r>
    </w:p>
    <w:p>
      <w:pPr>
        <w:pStyle w:val="Heading2"/>
      </w:pPr>
      <w:r>
        <w:t>6.1. Главные пробелы центрального ядра</w:t>
      </w:r>
    </w:p>
    <w:p>
      <w:pPr>
        <w:pStyle w:val="ToSBullet"/>
      </w:pPr>
      <w:r>
        <w:t xml:space="preserve">• </w:t>
      </w:r>
      <w:r>
        <w:t>Рабатак: найдено современное чтение и академическая навигация, но не официальный музейный record с высококачественным facsimile и ясными image rights.</w:t>
      </w:r>
    </w:p>
    <w:p>
      <w:pPr>
        <w:pStyle w:val="ToSBullet"/>
      </w:pPr>
      <w:r>
        <w:t xml:space="preserve">• </w:t>
      </w:r>
      <w:r>
        <w:t>Сурх-Котал: найден открыто лицензированный снимок, но нет полной официальной цифровой карточки и правового набора для всех ракурсов/эпиграфического текста.</w:t>
      </w:r>
    </w:p>
    <w:p>
      <w:pPr>
        <w:pStyle w:val="ToSBullet"/>
      </w:pPr>
      <w:r>
        <w:t xml:space="preserve">• </w:t>
      </w:r>
      <w:r>
        <w:t>Bactrian Documents from Northern Afghanistan: критические тома доступны через покупку/библиотеку; только часть документов имеет свободные item pages в Invisible East.</w:t>
      </w:r>
    </w:p>
    <w:p>
      <w:pPr>
        <w:pStyle w:val="ToSBullet"/>
      </w:pPr>
      <w:r>
        <w:t xml:space="preserve">• </w:t>
      </w:r>
      <w:r>
        <w:t>Sogdian Ancient Letters, Ašəm vohū и Rustam: изображения открываются полностью, но current item-level rights у IDP/партнёров не везде достаточно ясны для зеркалирования.</w:t>
      </w:r>
    </w:p>
    <w:p>
      <w:pPr>
        <w:pStyle w:val="ToSBullet"/>
      </w:pPr>
      <w:r>
        <w:t xml:space="preserve">• </w:t>
      </w:r>
      <w:r>
        <w:t>Khotanese Golden Light: найдено много листов и manuscript images, но не единый открыто лицензированный critical text всей хотанской версии.</w:t>
      </w:r>
    </w:p>
    <w:p>
      <w:pPr>
        <w:pStyle w:val="ToSBullet"/>
      </w:pPr>
      <w:r>
        <w:t xml:space="preserve">• </w:t>
      </w:r>
      <w:r>
        <w:t>CEToM: прекрасный публичный interface без найденной corpus-wide licence и документированного bulk/API слоя.</w:t>
      </w:r>
    </w:p>
    <w:p>
      <w:pPr>
        <w:pStyle w:val="Heading2"/>
      </w:pPr>
      <w:r>
        <w:t>6.2. Корпусные перекосы, оставшиеся после исследования</w:t>
      </w:r>
    </w:p>
    <w:p>
      <w:r>
        <w:t>Гандхарский и тохарский сегменты получили особенно плотную item-level разбивку. Бактрийский слой лучше покрыт по поздним документам, чем по полному корпусу печатей и монет. Согдийский слой хорошо представлен Ancient Letters и рядом конфессиональных предметов, но не исчерпывает буддийские, манихейские и христианские издания. Хотанский реестр пока сильнее по буддийским рукописям, чем по административным и светским документам.</w:t>
      </w:r>
    </w:p>
    <w:p>
      <w:pPr>
        <w:pStyle w:val="Heading2"/>
      </w:pPr>
      <w:r>
        <w:t>6.3. Объекты, остающиеся borrow, preview или purchase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91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2438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4252"/>
            <w:shd w:fill="285A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Почему сохранён</w:t>
            </w:r>
          </w:p>
        </w:tc>
      </w:tr>
      <w:tr>
        <w:tc>
          <w:tcPr>
            <w:tcW w:type="dxa" w:w="289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Bactrian Documents I–III</w:t>
            </w:r>
          </w:p>
        </w:tc>
        <w:tc>
          <w:tcPr>
            <w:tcW w:type="dxa" w:w="243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purchase / library / limited preview</w:t>
            </w:r>
          </w:p>
        </w:tc>
        <w:tc>
          <w:tcPr>
            <w:tcW w:type="dxa" w:w="4252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Критическое издание документов; selected items — Invisible East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Brough, Gāndhārī Dharmapada</w:t>
            </w:r>
          </w:p>
        </w:tc>
        <w:tc>
          <w:tcPr>
            <w:tcW w:type="dxa" w:w="243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preview / library / purchase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Центральная критическая редакция, современный аппарат защищён</w:t>
            </w:r>
          </w:p>
        </w:tc>
      </w:tr>
      <w:tr>
        <w:tc>
          <w:tcPr>
            <w:tcW w:type="dxa" w:w="289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Emmerick, Golden Light</w:t>
            </w:r>
          </w:p>
        </w:tc>
        <w:tc>
          <w:tcPr>
            <w:tcW w:type="dxa" w:w="243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preview / library / purchase</w:t>
            </w:r>
          </w:p>
        </w:tc>
        <w:tc>
          <w:tcPr>
            <w:tcW w:type="dxa" w:w="4252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Современный английский перевод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Emmerick, Book of Zambasta</w:t>
            </w:r>
          </w:p>
        </w:tc>
        <w:tc>
          <w:tcPr>
            <w:tcW w:type="dxa" w:w="243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library / purchase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Классическое полное издание и перевод</w:t>
            </w:r>
          </w:p>
        </w:tc>
      </w:tr>
      <w:tr>
        <w:tc>
          <w:tcPr>
            <w:tcW w:type="dxa" w:w="289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Sims-Williams, Book of Zambasta 2022</w:t>
            </w:r>
          </w:p>
        </w:tc>
        <w:tc>
          <w:tcPr>
            <w:tcW w:type="dxa" w:w="243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purchase / sample / library</w:t>
            </w:r>
          </w:p>
        </w:tc>
        <w:tc>
          <w:tcPr>
            <w:tcW w:type="dxa" w:w="4252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Наиболее современный текст и метрический анализ</w:t>
            </w:r>
          </w:p>
        </w:tc>
      </w:tr>
      <w:tr>
        <w:tc>
          <w:tcPr>
            <w:tcW w:type="dxa" w:w="289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Kushan Coins and History</w:t>
            </w:r>
          </w:p>
        </w:tc>
        <w:tc>
          <w:tcPr>
            <w:tcW w:type="dxa" w:w="243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purchase / library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Современная широкая нумизматическая карта</w:t>
            </w:r>
          </w:p>
        </w:tc>
      </w:tr>
      <w:tr>
        <w:tc>
          <w:tcPr>
            <w:tcW w:type="dxa" w:w="2891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23B4A"/>
                <w:sz w:val="17"/>
              </w:rPr>
              <w:t>Rabatak revised reading</w:t>
            </w:r>
          </w:p>
        </w:tc>
        <w:tc>
          <w:tcPr>
            <w:tcW w:type="dxa" w:w="2438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institutional access / library</w:t>
            </w:r>
          </w:p>
        </w:tc>
        <w:tc>
          <w:tcPr>
            <w:tcW w:type="dxa" w:w="4252"/>
            <w:shd w:fill="F5F9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JSTOR article; защищённое критическое чтение</w:t>
            </w:r>
          </w:p>
        </w:tc>
      </w:tr>
    </w:tbl>
    <w:p>
      <w:pPr>
        <w:pStyle w:val="Heading2"/>
      </w:pPr>
      <w:r>
        <w:t>6.4. Десять targeted follow-up направлений</w:t>
      </w:r>
    </w:p>
    <w:p>
      <w:pPr>
        <w:pStyle w:val="ToSBullet"/>
      </w:pPr>
      <w:r>
        <w:rPr>
          <w:b/>
        </w:rPr>
        <w:t xml:space="preserve">1. </w:t>
      </w:r>
      <w:r>
        <w:t>Получить от JGBT письменное разъяснение лицензий на TEI/EpiDoc, фотографии, транскрипции и переводы; отдельно спросить о bulk export.</w:t>
      </w:r>
    </w:p>
    <w:p>
      <w:pPr>
        <w:pStyle w:val="ToSBullet"/>
      </w:pPr>
      <w:r>
        <w:rPr>
          <w:b/>
        </w:rPr>
        <w:t xml:space="preserve">2. </w:t>
      </w:r>
      <w:r>
        <w:t>Получить от CEToM условия API/bulk access и component-level licence для images, transcriptions, translations и metadata.</w:t>
      </w:r>
    </w:p>
    <w:p>
      <w:pPr>
        <w:pStyle w:val="ToSBullet"/>
      </w:pPr>
      <w:r>
        <w:rPr>
          <w:b/>
        </w:rPr>
        <w:t xml:space="preserve">3. </w:t>
      </w:r>
      <w:r>
        <w:t>Найти официальный цифровой record Рабатака через National Museum of Afghanistan, DAFA или Corpus Inscriptionum Iranicarum.</w:t>
      </w:r>
    </w:p>
    <w:p>
      <w:pPr>
        <w:pStyle w:val="ToSBullet"/>
      </w:pPr>
      <w:r>
        <w:rPr>
          <w:b/>
        </w:rPr>
        <w:t xml:space="preserve">4. </w:t>
      </w:r>
      <w:r>
        <w:t>Проверить EKhA/ KhoTxt на Zenodo, Git или release pages и зафиксировать точную лицензию TEI datasets.</w:t>
      </w:r>
    </w:p>
    <w:p>
      <w:pPr>
        <w:pStyle w:val="ToSBullet"/>
      </w:pPr>
      <w:r>
        <w:rPr>
          <w:b/>
        </w:rPr>
        <w:t xml:space="preserve">5. </w:t>
      </w:r>
      <w:r>
        <w:t>Собрать item-level Khotanese administrative documents по IDP/EKhA, чтобы уравновесить буддийский перекос.</w:t>
      </w:r>
    </w:p>
    <w:p>
      <w:pPr>
        <w:pStyle w:val="ToSBullet"/>
      </w:pPr>
      <w:r>
        <w:rPr>
          <w:b/>
        </w:rPr>
        <w:t xml:space="preserve">6. </w:t>
      </w:r>
      <w:r>
        <w:t>Построить shelfmark inventory для Sogdian Buddhist, Christian и Manichaean фрагментов между IDP, BnF и DTA.</w:t>
      </w:r>
    </w:p>
    <w:p>
      <w:pPr>
        <w:pStyle w:val="ToSBullet"/>
      </w:pPr>
      <w:r>
        <w:rPr>
          <w:b/>
        </w:rPr>
        <w:t xml:space="preserve">7. </w:t>
      </w:r>
      <w:r>
        <w:t>Найти публичнодоменные ранние издания согдийских текстов у Gauthiot, Benveniste и первых Turfan publications с точным rights statement.</w:t>
      </w:r>
    </w:p>
    <w:p>
      <w:pPr>
        <w:pStyle w:val="ToSBullet"/>
      </w:pPr>
      <w:r>
        <w:rPr>
          <w:b/>
        </w:rPr>
        <w:t xml:space="preserve">8. </w:t>
      </w:r>
      <w:r>
        <w:t>Сопоставить Tocharian Maitreya texts с Old Uyghur Maitrisimit через 4TB, CEToM и DTA на уровне конкретных свидетелей.</w:t>
      </w:r>
    </w:p>
    <w:p>
      <w:pPr>
        <w:pStyle w:val="ToSBullet"/>
      </w:pPr>
      <w:r>
        <w:rPr>
          <w:b/>
        </w:rPr>
        <w:t xml:space="preserve">9. </w:t>
      </w:r>
      <w:r>
        <w:t>Проверить по каждому Lokakṣema text филологическую аргументацию о гандхарском/пракритском источнике, не полагаясь на общую модель коридора.</w:t>
      </w:r>
    </w:p>
    <w:p>
      <w:pPr>
        <w:pStyle w:val="ToSBullet"/>
      </w:pPr>
      <w:r>
        <w:rPr>
          <w:b/>
        </w:rPr>
        <w:t xml:space="preserve">10. </w:t>
      </w:r>
      <w:r>
        <w:t>Развернуть поиск по IOM RAS/Serindia на русском языке и по shelfmark для хотанских, согдийских и тохарских коллекций.</w:t>
      </w:r>
    </w:p>
    <w:p>
      <w:pPr>
        <w:pStyle w:val="Heading2"/>
      </w:pPr>
      <w:r>
        <w:t>6.5. Внепериодные кандидаты, требующие углубления</w:t>
      </w:r>
    </w:p>
    <w:p>
      <w:r>
        <w:t>Три линии особенно важны для следующего прохода. Первая — тохарско-древнеуйгурская: Maitrisimit и другие переводы требуют парного mapping конкретных рукописей. Вторая — китайская: CBETA даёт тексты, но связь с гандхарским источником должна доказываться для каждого произведения. Третья — тибетско-тангутская: 84000 покрывает часть тибетского канона, тогда как Tangut item-level witnesses и rights ещё почти не развернуты.</w:t>
      </w:r>
    </w:p>
    <w:p>
      <w:pPr>
        <w:pStyle w:val="Heading2"/>
      </w:pPr>
      <w:r>
        <w:t>6.6. Ссылки, не получившие сильной правовой рекомендации</w:t>
      </w:r>
    </w:p>
    <w:p>
      <w:r>
        <w:t>Ссылки Gandhari.org, JGBT, CEToM, Invisible East, IDP и EKhA считаются законными и полезными для чтения и исследования. Отсутствие MIRROR_OK означает не недоверие к учреждению, а недостаток прямого разрешения на именно то действие, которое планирует ToS: копирование полного текста, массовую выгрузку, embeddings dataset или повторное распространение изображений.</w:t>
      </w:r>
    </w:p>
    <w:p>
      <w:pPr>
        <w:pStyle w:val="Heading1"/>
        <w:pageBreakBefore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Покрытие корпуса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Высокое для гандхарского, согдийского и тохарского слоёв; средне-высокое для хотанского; умеренное для полного бактрийского эпиграфико-нумизматического корпуса.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Доступность оригиналов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Хорошая по изображениям и item-level карточкам, но права на изображения часто смешанные или partner-specific.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Доступность переводов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Современные переводы доступны для чтения, preview, библиотеки или покупки; открыто лицензированные переводы встречаются, но часто имеют NC/ND/SA ограничения.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Самый свободный слой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Публичнодоменные старые издания; The Met Public Domain/CC0; отдельные CC BY фотографии; CC BY-SA Comparative Dhammapada; открытые metadata.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Главные ограничения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Современные критические реконструкции, переводы и комментарии; неясные item-level image rights; restrictive DTA/TITUS/SAT terms; отсутствие corpus-wide bulk licences.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Собственный перевод ToS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Возможен для конкретных надписей, монет, фрагментов и старых изданий с чистой основой; нельзя автоматически распространять вывод на весь корпус.</w:t>
            </w:r>
          </w:p>
        </w:tc>
      </w:tr>
      <w:t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23B4A"/>
                <w:sz w:val="18"/>
              </w:rPr>
              <w:t>Готовность к Codex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5F9FA"/>
          </w:tcPr>
          <w:p>
            <w:pPr>
              <w:spacing w:after="0" w:line="245" w:lineRule="auto"/>
            </w:pPr>
            <w:r>
              <w:rPr>
                <w:rFonts w:ascii="Aptos" w:hAnsi="Aptos"/>
                <w:sz w:val="18"/>
              </w:rPr>
              <w:t>Да. Реестр нормализован на уровне одной строки доступа, содержит stable identifiers, rights evidence, coverage, tos_use и отдельный gaps backlog.</w:t>
            </w:r>
          </w:p>
        </w:tc>
      </w:tr>
    </w:tbl>
    <w:p>
      <w:pPr>
        <w:pStyle w:val="Heading2"/>
      </w:pPr>
      <w:r>
        <w:t>Финальный вердикт</w:t>
      </w:r>
    </w:p>
    <w:p>
      <w:r>
        <w:t>A41 подтверждается как самостоятельный B-узел: не единая «центральноазиатская философия», а плотная письменная экосистема перевода, документальности, эпиграфики, торговли, монастырской работы и музейно-цифрового сохранения. Исследование не изменяет ID, статус или исторические границы строки. Оно расширяет её корпусный ореол ровно там, где существует конкретная линия происхождения, продолжения, перевода, сохранения или рецепции.</w:t>
      </w:r>
    </w:p>
    <w:p>
      <w:r>
        <w:t>Пакет пригоден для передачи Codex: 155 access records описаны теми же 32 полями, которые заданы протоколом; лист gaps сохраняет 20 не закрытых направлений; положительные рекомендации ограничены rights_scope и coverage. Главный следующий шаг — не добавлять общие порталы, а получать component-level licences и item-level witnesses для Рабатака, Сурх-Котала, EKhA, CEToM и конфессиональных согдийских корпусов.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3EA"/>
            <w:tcBorders>
              <w:top w:sz="2" w:val="single" w:color="E7F3EA" w:space="0"/>
              <w:left w:sz="14" w:val="single" w:color="285A68" w:space="0"/>
              <w:bottom w:sz="2" w:val="single" w:color="E7F3EA" w:space="0"/>
              <w:right w:sz="2" w:val="single" w:color="E7F3EA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ToSCallout"/>
            </w:pPr>
            <w:r>
              <w:rPr>
                <w:b/>
                <w:color w:val="123B4A"/>
              </w:rPr>
              <w:t xml:space="preserve">Рекомендованный режим. </w:t>
            </w:r>
            <w:r>
              <w:t>Наиболее жизнеспособная стратегия ToS: связывать всё законно доступное; локально исследовать более широкий слой; публично зеркалировать только то, для чего есть прямое rights evidence; собственные переводы строить на конкретной чистой основе и сверять с современной наукой без копирования защищённого выражения.</w:t>
            </w:r>
          </w:p>
        </w:tc>
      </w:tr>
    </w:tbl>
    <w:p>
      <w:pPr>
        <w:spacing w:after="0"/>
      </w:pPr>
    </w:p>
    <w:p>
      <w:pPr>
        <w:pStyle w:val="Heading2"/>
      </w:pPr>
      <w:r>
        <w:t>Ключевые файлы пакета</w:t>
      </w:r>
    </w:p>
    <w:p>
      <w:r>
        <w:t>• ToS_Corpus_Rights_A41_registry.xlsx — полный реестр и gaps.</w:t>
        <w:br/>
        <w:t>• ToS_Corpus_Rights_A41_report.docx — настоящий человекочитаемый отчёт.</w:t>
      </w:r>
    </w:p>
    <w:p>
      <w:pPr>
        <w:pStyle w:val="ToSSmall"/>
      </w:pPr>
      <w:r>
        <w:t>Исходный исследовательский документ не редактировался: ToS Deep Research_ A41 — Центральноазиатский текстовый коридор.docx.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37A"/>
        <w:sz w:val="16"/>
      </w:rPr>
      <w:t xml:space="preserve">A41 • проверено 03.09.2026 • стр.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737A"/>
        <w:sz w:val="16"/>
      </w:rPr>
      <w:t>ToS / Древо Софии — A41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ptos" w:hAnsi="Aptos"/>
      <w:color w:val="17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85A6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2A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6673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Callout">
    <w:name w:val="ToS Callout"/>
    <w:pPr>
      <w:spacing w:before="80" w:after="80"/>
      <w:ind w:left="198" w:right="142"/>
    </w:pPr>
    <w:rPr>
      <w:rFonts w:ascii="Aptos" w:hAnsi="Aptos"/>
      <w:color w:val="172A32"/>
      <w:sz w:val="20"/>
    </w:rPr>
  </w:style>
  <w:style w:type="paragraph" w:customStyle="1" w:styleId="ToSSmall">
    <w:name w:val="ToS Small"/>
    <w:pPr>
      <w:spacing w:after="60"/>
    </w:pPr>
    <w:rPr>
      <w:rFonts w:ascii="Aptos" w:hAnsi="Aptos"/>
      <w:color w:val="66737A"/>
      <w:sz w:val="17"/>
    </w:rPr>
  </w:style>
  <w:style w:type="paragraph" w:customStyle="1" w:styleId="ToSBullet">
    <w:name w:val="ToS Bullet"/>
    <w:pPr>
      <w:spacing w:after="60" w:line="259" w:lineRule="auto"/>
      <w:ind w:left="312" w:hanging="142"/>
    </w:pPr>
    <w:rPr>
      <w:rFonts w:ascii="Aptos" w:hAnsi="Aptos"/>
      <w:color w:val="172A3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andhari.org/corpus" TargetMode="External"/><Relationship Id="rId12" Type="http://schemas.openxmlformats.org/officeDocument/2006/relationships/hyperlink" Target="https://gandhari-texts.sydney.edu.au/" TargetMode="External"/><Relationship Id="rId13" Type="http://schemas.openxmlformats.org/officeDocument/2006/relationships/hyperlink" Target="https://uw.manifoldapp.org/projects/gandhari-abhidharma-text" TargetMode="External"/><Relationship Id="rId14" Type="http://schemas.openxmlformats.org/officeDocument/2006/relationships/hyperlink" Target="https://archive.org/details/in.ernet.dli.2015.32007" TargetMode="External"/><Relationship Id="rId15" Type="http://schemas.openxmlformats.org/officeDocument/2006/relationships/hyperlink" Target="https://archive.org/details/InscriptionsOfAsoka.NewEditionByE.Hultzsch" TargetMode="External"/><Relationship Id="rId16" Type="http://schemas.openxmlformats.org/officeDocument/2006/relationships/hyperlink" Target="https://www.invisible-east.org/corpus/" TargetMode="External"/><Relationship Id="rId17" Type="http://schemas.openxmlformats.org/officeDocument/2006/relationships/hyperlink" Target="https://www.metmuseum.org/art/collection/search/39385" TargetMode="External"/><Relationship Id="rId18" Type="http://schemas.openxmlformats.org/officeDocument/2006/relationships/hyperlink" Target="https://metmuseum.github.io/" TargetMode="External"/><Relationship Id="rId19" Type="http://schemas.openxmlformats.org/officeDocument/2006/relationships/hyperlink" Target="https://commons.wikimedia.org/wiki/File:Surkh_Kotal_inscription_in_Bactrian,_National_Museum_of_Afghanistan.jpg" TargetMode="External"/><Relationship Id="rId20" Type="http://schemas.openxmlformats.org/officeDocument/2006/relationships/hyperlink" Target="https://khalilicollections.org/portfolio/bactrian-documents-from-northern-afghanistan/" TargetMode="External"/><Relationship Id="rId21" Type="http://schemas.openxmlformats.org/officeDocument/2006/relationships/hyperlink" Target="https://idp.bl.uk/collection/A141F9841B0B4BE1BDDA4FE6E2265948/" TargetMode="External"/><Relationship Id="rId22" Type="http://schemas.openxmlformats.org/officeDocument/2006/relationships/hyperlink" Target="https://depts.washington.edu/silkroad/texts/sogdlet.html" TargetMode="External"/><Relationship Id="rId23" Type="http://schemas.openxmlformats.org/officeDocument/2006/relationships/hyperlink" Target="https://idp.bl.uk/collection/F37E9E6341234873A58024CE3280B911/" TargetMode="External"/><Relationship Id="rId24" Type="http://schemas.openxmlformats.org/officeDocument/2006/relationships/hyperlink" Target="https://idp.bl.uk/collection/BB11D8808E4F4FF48A0A593815386379/" TargetMode="External"/><Relationship Id="rId25" Type="http://schemas.openxmlformats.org/officeDocument/2006/relationships/hyperlink" Target="https://gallica.bnf.fr/ark:/12148/btv1b83057973" TargetMode="External"/><Relationship Id="rId26" Type="http://schemas.openxmlformats.org/officeDocument/2006/relationships/hyperlink" Target="https://idp.bl.uk/copyright/" TargetMode="External"/><Relationship Id="rId27" Type="http://schemas.openxmlformats.org/officeDocument/2006/relationships/hyperlink" Target="https://idp.bl.uk/collection/73A1FB295D2C40BC9316C7C158B99E8C/" TargetMode="External"/><Relationship Id="rId28" Type="http://schemas.openxmlformats.org/officeDocument/2006/relationships/hyperlink" Target="https://idp.bl.uk/collection/EBB8B800382A458281B0F99690D0EE6F/" TargetMode="External"/><Relationship Id="rId29" Type="http://schemas.openxmlformats.org/officeDocument/2006/relationships/hyperlink" Target="https://idp.bl.uk/collection/20DD6A04679D41E0806AA8CEABF2FDAF/" TargetMode="External"/><Relationship Id="rId30" Type="http://schemas.openxmlformats.org/officeDocument/2006/relationships/hyperlink" Target="https://khotxt-fis.org/database/" TargetMode="External"/><Relationship Id="rId31" Type="http://schemas.openxmlformats.org/officeDocument/2006/relationships/hyperlink" Target="https://archive.org/details/in.ernet.dli.2015.181484" TargetMode="External"/><Relationship Id="rId32" Type="http://schemas.openxmlformats.org/officeDocument/2006/relationships/hyperlink" Target="https://reichert-verlag.de/en/9783752006889_the_book_of_zambasta-detail/" TargetMode="External"/><Relationship Id="rId33" Type="http://schemas.openxmlformats.org/officeDocument/2006/relationships/hyperlink" Target="https://cetom.univie.ac.at/" TargetMode="External"/><Relationship Id="rId34" Type="http://schemas.openxmlformats.org/officeDocument/2006/relationships/hyperlink" Target="https://cetom.univie.ac.at/?manuscripts=" TargetMode="External"/><Relationship Id="rId35" Type="http://schemas.openxmlformats.org/officeDocument/2006/relationships/hyperlink" Target="https://histochtext.huma-num.fr/" TargetMode="External"/><Relationship Id="rId36" Type="http://schemas.openxmlformats.org/officeDocument/2006/relationships/hyperlink" Target="https://turfan.bbaw.de/dta-i-en.html" TargetMode="External"/><Relationship Id="rId37" Type="http://schemas.openxmlformats.org/officeDocument/2006/relationships/hyperlink" Target="https://archive.org/details/tocharischesprac01sieg" TargetMode="External"/><Relationship Id="rId38" Type="http://schemas.openxmlformats.org/officeDocument/2006/relationships/hyperlink" Target="https://cordis.europa.eu/project/id/101150017" TargetMode="External"/><Relationship Id="rId39" Type="http://schemas.openxmlformats.org/officeDocument/2006/relationships/hyperlink" Target="https://cbetaonline.dila.edu.tw/T0418" TargetMode="External"/><Relationship Id="rId40" Type="http://schemas.openxmlformats.org/officeDocument/2006/relationships/hyperlink" Target="https://cbetaonline.dila.edu.tw/T0224" TargetMode="External"/><Relationship Id="rId41" Type="http://schemas.openxmlformats.org/officeDocument/2006/relationships/hyperlink" Target="https://www.cbeta-org-tw.cbeta.org/copyright.htm" TargetMode="External"/><Relationship Id="rId42" Type="http://schemas.openxmlformats.org/officeDocument/2006/relationships/hyperlink" Target="https://21dzk.l.u-tokyo.ac.jp/SAT/termsofuse_en.html" TargetMode="External"/><Relationship Id="rId43" Type="http://schemas.openxmlformats.org/officeDocument/2006/relationships/hyperlink" Target="https://www.bdk.or.jp/bdk/digital/" TargetMode="External"/><Relationship Id="rId44" Type="http://schemas.openxmlformats.org/officeDocument/2006/relationships/hyperlink" Target="https://84000.co/documents/terms-of-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A41</dc:title>
  <dc:subject>Центральноазиатский текстовый коридор: корпус и законные пути доступа</dc:subject>
  <dc:creator>OpenAI / ToS research workflow</dc:creator>
  <cp:keywords>ToS, A41, Gandhari, Bactrian, Sogdian, Khotanese, Tocharian, rights, corpus</cp:keywords>
  <dc:description>Research package created 2026-09-03; source DR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