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60" w:after="100"/>
        <w:jc w:val="center"/>
      </w:pPr>
      <w:r>
        <w:rPr>
          <w:rFonts w:ascii="Noto Sans" w:hAnsi="Noto Sans" w:eastAsia="Noto Sans"/>
          <w:b/>
          <w:color w:val="C5A04A"/>
          <w:sz w:val="21"/>
          <w:lang w:val="ru-RU"/>
        </w:rPr>
        <w:t>ДРЕВО СОФИИ</w:t>
      </w:r>
    </w:p>
    <w:p>
      <w:pPr>
        <w:pStyle w:val="Title"/>
        <w:keepNext w:val="0"/>
        <w:widowControl/>
        <w:spacing w:before="0" w:after="100" w:line="240" w:lineRule="auto"/>
        <w:jc w:val="center"/>
      </w:pPr>
      <w:r>
        <w:rPr>
          <w:rFonts w:ascii="Noto Serif" w:hAnsi="Noto Serif" w:eastAsia="Noto Serif"/>
          <w:b/>
          <w:color w:val="0F3945"/>
          <w:sz w:val="48"/>
          <w:lang w:val="ru-RU"/>
        </w:rPr>
        <w:t>ToS Corpus &amp; Rights Registry</w:t>
      </w:r>
    </w:p>
    <w:p>
      <w:pPr>
        <w:keepNext w:val="0"/>
        <w:widowControl/>
        <w:spacing w:before="0" w:after="100" w:line="240" w:lineRule="auto"/>
        <w:jc w:val="center"/>
      </w:pPr>
      <w:r>
        <w:rPr>
          <w:rFonts w:ascii="Noto Sans" w:hAnsi="Noto Sans" w:eastAsia="Noto Sans"/>
          <w:b/>
          <w:color w:val="C5A04A"/>
          <w:sz w:val="32"/>
          <w:lang w:val="ru-RU"/>
        </w:rPr>
        <w:t>A21</w:t>
      </w:r>
    </w:p>
    <w:p>
      <w:pPr>
        <w:keepNext w:val="0"/>
        <w:widowControl/>
        <w:spacing w:before="0" w:after="120" w:line="252" w:lineRule="auto"/>
        <w:jc w:val="center"/>
      </w:pPr>
      <w:r>
        <w:rPr>
          <w:rFonts w:ascii="Noto Serif" w:hAnsi="Noto Serif" w:eastAsia="Noto Serif"/>
          <w:b/>
          <w:color w:val="1F2933"/>
          <w:sz w:val="36"/>
          <w:lang w:val="ru-RU"/>
        </w:rPr>
        <w:t>Тхеравада и письменная фиксация палийского канона</w:t>
      </w:r>
    </w:p>
    <w:p>
      <w:pPr>
        <w:pStyle w:val="Subtitle"/>
        <w:keepNext w:val="0"/>
        <w:widowControl/>
        <w:spacing w:before="0" w:after="360" w:line="240" w:lineRule="auto"/>
        <w:jc w:val="center"/>
      </w:pPr>
      <w:r>
        <w:rPr>
          <w:rFonts w:ascii="Noto Sans" w:hAnsi="Noto Sans" w:eastAsia="Noto Sans"/>
          <w:color w:val="60707A"/>
          <w:sz w:val="23"/>
          <w:lang w:val="ru-RU"/>
        </w:rPr>
        <w:t>Корпус, законные пути доступа и карта прав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0" w:space="0" w:color="FFFFFF"/>
          <w:left w:val="single" w:sz="0" w:space="0" w:color="FFFFFF"/>
          <w:bottom w:val="single" w:sz="0" w:space="0" w:color="FFFFFF"/>
          <w:right w:val="single" w:sz="0" w:space="0" w:color="FFFFFF"/>
          <w:insideH w:val="single" w:sz="0" w:space="0" w:color="FFFFFF"/>
          <w:insideV w:val="single" w:sz="0" w:space="0" w:color="FFFFFF"/>
        </w:tblBorders>
      </w:tblPr>
      <w:tblGrid>
        <w:gridCol w:w="3307"/>
        <w:gridCol w:w="3307"/>
        <w:gridCol w:w="3307"/>
      </w:tblGrid>
      <w:tr>
        <w:tc>
          <w:tcPr>
            <w:tcW w:type="dxa" w:w="2834"/>
            <w:shd w:fill="154C5B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1700"/>
            <w:shd w:fill="C5A04A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  <w:tc>
          <w:tcPr>
            <w:tcW w:type="dxa" w:w="2834"/>
            <w:shd w:fill="154C5B"/>
            <w:tcMar>
              <w:top w:w="18" w:type="dxa"/>
              <w:start w:w="0" w:type="dxa"/>
              <w:bottom w:w="18" w:type="dxa"/>
              <w:end w:w="0" w:type="dxa"/>
            </w:tcMar>
          </w:tcPr>
          <w:p>
            <w:r/>
          </w:p>
        </w:tc>
      </w:tr>
    </w:tbl>
    <w:p>
      <w:pPr>
        <w:spacing w:after="200"/>
      </w:pP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5" w:space="0" w:color="D7E1E5"/>
          <w:left w:val="single" w:sz="5" w:space="0" w:color="D7E1E5"/>
          <w:bottom w:val="single" w:sz="5" w:space="0" w:color="D7E1E5"/>
          <w:right w:val="single" w:sz="5" w:space="0" w:color="D7E1E5"/>
          <w:insideH w:val="single" w:sz="5" w:space="0" w:color="D7E1E5"/>
          <w:insideV w:val="single" w:sz="5" w:space="0" w:color="D7E1E5"/>
        </w:tblBorders>
      </w:tblPr>
      <w:tblGrid>
        <w:gridCol w:w="9922"/>
      </w:tblGrid>
      <w:tr>
        <w:tc>
          <w:tcPr>
            <w:tcW w:type="dxa" w:w="9922"/>
            <w:shd w:fill="F7F9FA"/>
            <w:tcMar>
              <w:top w:w="160" w:type="dxa"/>
              <w:start w:w="200" w:type="dxa"/>
              <w:bottom w:w="160" w:type="dxa"/>
              <w:end w:w="200" w:type="dxa"/>
            </w:tcMar>
          </w:tcPr>
          <w:p>
            <w:pPr>
              <w:keepNext w:val="0"/>
              <w:widowControl/>
              <w:spacing w:before="0" w:after="8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8"/>
                <w:lang w:val="ru-RU"/>
              </w:rPr>
              <w:t xml:space="preserve">Исходный статус: </w:t>
            </w:r>
            <w:r>
              <w:rPr>
                <w:rFonts w:ascii="Noto Sans" w:hAnsi="Noto Sans" w:eastAsia="Noto Sans"/>
                <w:b/>
                <w:color w:val="1F2933"/>
                <w:sz w:val="18"/>
                <w:lang w:val="ru-RU"/>
              </w:rPr>
              <w:t>A</w:t>
            </w:r>
          </w:p>
          <w:p>
            <w:pPr>
              <w:keepNext w:val="0"/>
              <w:widowControl/>
              <w:spacing w:before="0" w:after="8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8"/>
                <w:lang w:val="ru-RU"/>
              </w:rPr>
              <w:t xml:space="preserve">Дата проверки: </w:t>
            </w:r>
            <w:r>
              <w:rPr>
                <w:rFonts w:ascii="Noto Sans" w:hAnsi="Noto Sans" w:eastAsia="Noto Sans"/>
                <w:b w:val="0"/>
                <w:color w:val="1F2933"/>
                <w:sz w:val="18"/>
                <w:lang w:val="ru-RU"/>
              </w:rPr>
              <w:t>3 сентября 2026</w:t>
            </w:r>
          </w:p>
          <w:p>
            <w:pPr>
              <w:keepNext w:val="0"/>
              <w:widowControl/>
              <w:spacing w:before="0" w:after="8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8"/>
                <w:lang w:val="ru-RU"/>
              </w:rPr>
              <w:t xml:space="preserve">Итоговый реестр: </w:t>
            </w:r>
            <w:r>
              <w:rPr>
                <w:rFonts w:ascii="Noto Sans" w:hAnsi="Noto Sans" w:eastAsia="Noto Sans"/>
                <w:b w:val="0"/>
                <w:color w:val="1F2933"/>
                <w:sz w:val="18"/>
                <w:lang w:val="ru-RU"/>
              </w:rPr>
              <w:t>150 записей доступа</w:t>
            </w:r>
          </w:p>
          <w:p>
            <w:pPr>
              <w:keepNext w:val="0"/>
              <w:widowControl/>
              <w:spacing w:before="0" w:after="8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8"/>
                <w:lang w:val="ru-RU"/>
              </w:rPr>
              <w:t xml:space="preserve">Пробелы: </w:t>
            </w:r>
            <w:r>
              <w:rPr>
                <w:rFonts w:ascii="Noto Sans" w:hAnsi="Noto Sans" w:eastAsia="Noto Sans"/>
                <w:b w:val="0"/>
                <w:color w:val="1F2933"/>
                <w:sz w:val="18"/>
                <w:lang w:val="ru-RU"/>
              </w:rPr>
              <w:t>16 направлений дальнейшего поиска</w:t>
            </w:r>
          </w:p>
        </w:tc>
      </w:tr>
    </w:tbl>
    <w:p>
      <w:pPr>
        <w:spacing w:before="480" w:after="0"/>
        <w:jc w:val="center"/>
      </w:pPr>
      <w:r>
        <w:rPr>
          <w:rFonts w:ascii="Noto Sans" w:hAnsi="Noto Sans" w:eastAsia="Noto Sans"/>
          <w:i/>
          <w:color w:val="60707A"/>
          <w:sz w:val="17"/>
          <w:lang w:val="ru-RU"/>
        </w:rPr>
        <w:t>Исследовательский пакет для публичного образовательного проекта ToS</w:t>
      </w:r>
    </w:p>
    <w:p>
      <w:r>
        <w:br w:type="page"/>
      </w:r>
    </w:p>
    <w:p>
      <w:pPr>
        <w:keepNext/>
        <w:widowControl/>
        <w:spacing w:before="0" w:after="140" w:line="259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6"/>
          <w:lang w:val="ru-RU"/>
        </w:rPr>
        <w:t>Содержание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80"/>
            <w:shd w:fill="154C5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9"/>
                <w:lang w:val="ru-RU"/>
              </w:rPr>
              <w:t>1</w:t>
            </w:r>
          </w:p>
        </w:tc>
        <w:tc>
          <w:tcPr>
            <w:tcW w:type="dxa" w:w="839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Паспорт</w:t>
            </w:r>
          </w:p>
        </w:tc>
      </w:tr>
      <w:tr>
        <w:trPr>
          <w:cantSplit/>
        </w:trPr>
        <w:tc>
          <w:tcPr>
            <w:tcW w:type="dxa" w:w="680"/>
            <w:shd w:fill="C5A04A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2</w:t>
            </w:r>
          </w:p>
        </w:tc>
        <w:tc>
          <w:tcPr>
            <w:tcW w:type="dxa" w:w="839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Охват корпуса</w:t>
            </w:r>
          </w:p>
        </w:tc>
      </w:tr>
      <w:tr>
        <w:trPr>
          <w:cantSplit/>
        </w:trPr>
        <w:tc>
          <w:tcPr>
            <w:tcW w:type="dxa" w:w="680"/>
            <w:shd w:fill="154C5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9"/>
                <w:lang w:val="ru-RU"/>
              </w:rPr>
              <w:t>3</w:t>
            </w:r>
          </w:p>
        </w:tc>
        <w:tc>
          <w:tcPr>
            <w:tcW w:type="dxa" w:w="839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Лучшие пути доступа</w:t>
            </w:r>
          </w:p>
        </w:tc>
      </w:tr>
      <w:tr>
        <w:trPr>
          <w:cantSplit/>
        </w:trPr>
        <w:tc>
          <w:tcPr>
            <w:tcW w:type="dxa" w:w="680"/>
            <w:shd w:fill="C5A04A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4</w:t>
            </w:r>
          </w:p>
        </w:tc>
        <w:tc>
          <w:tcPr>
            <w:tcW w:type="dxa" w:w="839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Карта прав и практического использования</w:t>
            </w:r>
          </w:p>
        </w:tc>
      </w:tr>
      <w:tr>
        <w:trPr>
          <w:cantSplit/>
        </w:trPr>
        <w:tc>
          <w:tcPr>
            <w:tcW w:type="dxa" w:w="680"/>
            <w:shd w:fill="154C5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9"/>
                <w:lang w:val="ru-RU"/>
              </w:rPr>
              <w:t>5</w:t>
            </w:r>
          </w:p>
        </w:tc>
        <w:tc>
          <w:tcPr>
            <w:tcW w:type="dxa" w:w="839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Характерные правовые тонкости</w:t>
            </w:r>
          </w:p>
        </w:tc>
      </w:tr>
      <w:tr>
        <w:trPr>
          <w:cantSplit/>
        </w:trPr>
        <w:tc>
          <w:tcPr>
            <w:tcW w:type="dxa" w:w="680"/>
            <w:shd w:fill="C5A04A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6</w:t>
            </w:r>
          </w:p>
        </w:tc>
        <w:tc>
          <w:tcPr>
            <w:tcW w:type="dxa" w:w="8390"/>
            <w:shd w:fill="F7F9FA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Пробелы и дальнейший поиск</w:t>
            </w:r>
          </w:p>
        </w:tc>
      </w:tr>
      <w:tr>
        <w:trPr>
          <w:cantSplit/>
        </w:trPr>
        <w:tc>
          <w:tcPr>
            <w:tcW w:type="dxa" w:w="680"/>
            <w:shd w:fill="154C5B"/>
            <w:tcMar>
              <w:top w:w="90" w:type="dxa"/>
              <w:start w:w="80" w:type="dxa"/>
              <w:bottom w:w="90" w:type="dxa"/>
              <w:end w:w="8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r>
              <w:rPr>
                <w:rFonts w:ascii="Noto Sans" w:hAnsi="Noto Sans" w:eastAsia="Noto Sans"/>
                <w:b/>
                <w:color w:val="FFFFFF"/>
                <w:sz w:val="19"/>
                <w:lang w:val="ru-RU"/>
              </w:rPr>
              <w:t>7</w:t>
            </w:r>
          </w:p>
        </w:tc>
        <w:tc>
          <w:tcPr>
            <w:tcW w:type="dxa" w:w="8390"/>
            <w:shd w:fill="FFFFFF"/>
            <w:tcMar>
              <w:top w:w="90" w:type="dxa"/>
              <w:start w:w="120" w:type="dxa"/>
              <w:bottom w:w="90" w:type="dxa"/>
              <w:end w:w="12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9"/>
                <w:lang w:val="ru-RU"/>
              </w:rPr>
              <w:t>Итоговая оценка</w:t>
            </w:r>
          </w:p>
        </w:tc>
      </w:tr>
    </w:tbl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5A04A"/>
          <w:left w:val="single" w:sz="8" w:space="0" w:color="C5A04A"/>
          <w:bottom w:val="single" w:sz="8" w:space="0" w:color="C5A04A"/>
          <w:right w:val="single" w:sz="8" w:space="0" w:color="C5A04A"/>
          <w:insideH w:val="single" w:sz="8" w:space="0" w:color="C5A04A"/>
          <w:insideV w:val="single" w:sz="8" w:space="0" w:color="C5A04A"/>
        </w:tblBorders>
      </w:tblPr>
      <w:tblGrid>
        <w:gridCol w:w="9922"/>
      </w:tblGrid>
      <w:tr>
        <w:tc>
          <w:tcPr>
            <w:tcW w:type="dxa" w:w="9922"/>
            <w:shd w:fill="F6F0D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C5A04A"/>
                <w:sz w:val="19"/>
                <w:lang w:val="ru-RU"/>
              </w:rPr>
              <w:t>Как читать ссылки в отчёте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Обозначения вида A21-R008 ведут к конкретным строкам реестра и одновременно являются активными ссылками на соответствующие официальные или законные страницы доступа. Полные поля прав, охвата, форматов, прямых загрузок и доказательств находятся в XLSX.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54C5B"/>
          <w:left w:val="single" w:sz="8" w:space="0" w:color="154C5B"/>
          <w:bottom w:val="single" w:sz="8" w:space="0" w:color="154C5B"/>
          <w:right w:val="single" w:sz="8" w:space="0" w:color="154C5B"/>
          <w:insideH w:val="single" w:sz="8" w:space="0" w:color="154C5B"/>
          <w:insideV w:val="single" w:sz="8" w:space="0" w:color="154C5B"/>
        </w:tblBorders>
      </w:tblPr>
      <w:tblGrid>
        <w:gridCol w:w="9922"/>
      </w:tblGrid>
      <w:tr>
        <w:tc>
          <w:tcPr>
            <w:tcW w:type="dxa" w:w="9922"/>
            <w:shd w:fill="EAF3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154C5B"/>
                <w:sz w:val="19"/>
                <w:lang w:val="ru-RU"/>
              </w:rPr>
              <w:t>Правовой статус документа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Это исследовательская карта доступа, а не юридическое заключение. Положительная рекомендация действует только в пределах указанного компонента и охвата; перед публичным зеркалированием материалов со смешанными или нестандартными условиями требуется повторная item-level проверка.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1. Паспорт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3F5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ID строки ToS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A21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0D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Название строки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Южная Азия — Тхеравада и письменная фиксация палийского канона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3F5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Исходный статус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A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0D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Исходная уверенность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4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3F5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Исходный DR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ToS Deep Research_ A21 — Тхеравада и письменная фиксация палийского канона.docx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0D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Дата проверки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3 сентября 2026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3F5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Историческое ядро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формирование c. V–III вв. до н. э.; шри-ланкийская письменная фиксация c. I в. до н. э.–V в. н. э.; канонизация, хроника и комментарий c. IV–VI вв. н. э.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0D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Географический фокус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североиндийский устный предслой; Шри-Ланка и Анурадхапура как центр фиксации; дальнейшая передача в Мьянму, Таиланд, Лаос и другие регионы Юго-Восточной Азии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EAF3F5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Языки поиска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FFFF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русский, английский, Pāli в латинице и вариантах названий, Sinhala, Burmese/Myanmar, Thai/Lanna, Classical Chinese, Sanskrit/Gāndhārī, немецкая каталожная терминология</w:t>
            </w:r>
          </w:p>
        </w:tc>
      </w:tr>
      <w:tr>
        <w:trPr>
          <w:cantSplit/>
        </w:trPr>
        <w:tc>
          <w:tcPr>
            <w:tcW w:type="dxa" w:w="2267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6F0DF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>Типы объектов</w:t>
            </w:r>
          </w:p>
        </w:tc>
        <w:tc>
          <w:tcPr>
            <w:tcW w:type="dxa" w:w="6916"/>
            <w:tcMar>
              <w:top w:w="80" w:type="dxa"/>
              <w:start w:w="100" w:type="dxa"/>
              <w:bottom w:w="80" w:type="dxa"/>
              <w:end w:w="100" w:type="dxa"/>
            </w:tcMar>
            <w:vAlign w:val="center"/>
            <w:shd w:fill="F7F9FA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7"/>
                <w:lang w:val="ru-RU"/>
              </w:rPr>
              <w:t>work; corpus; physical_witness; translation_or_edition; digital_text_or_facsimile; dataset_or_api; digital_project_or_catalogue; secondary_navigation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Основание исследования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Исходный Deep Research использован как карта области, а не как закрытый инвентарь. Из него взяты разграничение раннего устного слоя, шри-ланкийской письменной фиксации и поздней Mahāvihāra-ориентированной нормализации, а также центральные корпусные якоря: Tipiṭaka, три piṭaka, Kathāvatthu, Dīpavaṃsa, Mahāvaṃsa, Pāli aṭṭhakathā, Visuddhimagga и пальмолистная передача.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Веб-исследование расширило эту карту в обе стороны времени. Назад были проверены Aśokan inscriptions, Gandhāran manuscript fragments, китайские Āgama и Vimuttimagga; вперёд — подкомментарии, абхидхаммические и винайные compendia, поздняя vaṃsa-литература, региональные канонические редакции, надписной Kuthodaw, национальные печатные каноны, современные datasets, IIIF и API.</w:t>
      </w: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Что считалось ядром корпуса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Ядром считался не «буддизм вообще», а конкретная текстовая экосистема Theravāda–Pāli–Sri Lanka: палийский канон как канон, его институциональная передача, дисциплинарная и аналитическая структура, хроникальное самоописание, комментарий как нормативный режим чтения и материальная история копирования. Поэтому один и тот же древний work мог получить несколько строк, если различались перевод, редакция, язык, репозиторий, полнота, способ доступа или rights statement.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5A04A"/>
          <w:left w:val="single" w:sz="8" w:space="0" w:color="C5A04A"/>
          <w:bottom w:val="single" w:sz="8" w:space="0" w:color="C5A04A"/>
          <w:right w:val="single" w:sz="8" w:space="0" w:color="C5A04A"/>
          <w:insideH w:val="single" w:sz="8" w:space="0" w:color="C5A04A"/>
          <w:insideV w:val="single" w:sz="8" w:space="0" w:color="C5A04A"/>
        </w:tblBorders>
      </w:tblPr>
      <w:tblGrid>
        <w:gridCol w:w="9922"/>
      </w:tblGrid>
      <w:tr>
        <w:tc>
          <w:tcPr>
            <w:tcW w:type="dxa" w:w="9922"/>
            <w:shd w:fill="F6F0D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C5A04A"/>
                <w:sz w:val="19"/>
                <w:lang w:val="ru-RU"/>
              </w:rPr>
              <w:t>Ключевое методологическое различие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Дата появления доктринального материала, дата его записи, дата формирования конкретной редакции и дата сохранившегося свидетеля — четыре разных величины. Реестр не переносит права современной редакции на древний оригинал и не делает обратного вывода.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Метод проверки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Для каждой записи фиксировались landing page, прямой файл при наличии, стабильный идентификатор, фактический режим доступа, охват, отдельные права на work, edition/translation и digital object, условия платформы, доказательство лицензии и практическая рекомендация ToS. Поисковый сниппет не считался достаточным доказательством сильного разрешения; при отсутствии item-level rights запись сохранялась, но получала rights_unknown, review_required, LINK_ONLY или RIGHTS_REVIEW_REQUIRED.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1">
        <w:r>
          <w:rPr>
            <w:color w:val="1B6A87"/>
            <w:b/>
            <w:rFonts w:ascii="Noto Sans" w:hAnsi="Noto Sans" w:cs="Noto Sans"/>
          </w:rPr>
          <w:t>A21-R001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">
        <w:r>
          <w:rPr>
            <w:color w:val="1B6A87"/>
            <w:b/>
            <w:rFonts w:ascii="Noto Sans" w:hAnsi="Noto Sans" w:cs="Noto Sans"/>
          </w:rPr>
          <w:t>A21-R002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3">
        <w:r>
          <w:rPr>
            <w:color w:val="1B6A87"/>
            <w:b/>
            <w:rFonts w:ascii="Noto Sans" w:hAnsi="Noto Sans" w:cs="Noto Sans"/>
          </w:rPr>
          <w:t>A21-R003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A21-R004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5">
        <w:r>
          <w:rPr>
            <w:color w:val="1B6A87"/>
            <w:b/>
            <w:rFonts w:ascii="Noto Sans" w:hAnsi="Noto Sans" w:cs="Noto Sans"/>
          </w:rPr>
          <w:t>A21-R008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6">
        <w:r>
          <w:rPr>
            <w:color w:val="1B6A87"/>
            <w:b/>
            <w:rFonts w:ascii="Noto Sans" w:hAnsi="Noto Sans" w:cs="Noto Sans"/>
          </w:rPr>
          <w:t>A21-R009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7">
        <w:r>
          <w:rPr>
            <w:color w:val="1B6A87"/>
            <w:b/>
            <w:rFonts w:ascii="Noto Sans" w:hAnsi="Noto Sans" w:cs="Noto Sans"/>
          </w:rPr>
          <w:t>A21-R012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8">
        <w:r>
          <w:rPr>
            <w:color w:val="1B6A87"/>
            <w:b/>
            <w:rFonts w:ascii="Noto Sans" w:hAnsi="Noto Sans" w:cs="Noto Sans"/>
          </w:rPr>
          <w:t>A21-R030</w:t>
        </w:r>
      </w:hyperlink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2. Охват корпуса</w:t>
      </w: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Количественный итог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Реестр содержит 150 практически различимых способов доступа. Из них 123 относятся непосредственно к произведениям, корпусам, редакциям, переводам, комментариям, линиям передачи или физическим свидетелям; остальные обеспечивают инфраструктуру и навигацию. На уровне названий зафиксировано более ста произведений, корпусных блоков, редакций и witness-групп, однако это не следует понимать как сто независимых древних произведений: сущностная дедупликация намеренно оставлена Codex. Отдельный лист gaps содержит 16 важных незакрытых направлений.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Метки доступа составные: один объект может одновременно иметь free_full_read и free_download либо purchase и preview_or_snippet. Поэтому числа способов чтения, загрузки и покупки не складываются в число строк.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3401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  <w:lang w:val="ru-RU"/>
              </w:rPr>
              <w:t>Показатель</w:t>
            </w:r>
          </w:p>
        </w:tc>
        <w:tc>
          <w:tcPr>
            <w:tcW w:type="dxa" w:w="1360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  <w:lang w:val="ru-RU"/>
              </w:rPr>
              <w:t>Количество</w:t>
            </w:r>
          </w:p>
        </w:tc>
        <w:tc>
          <w:tcPr>
            <w:tcW w:type="dxa" w:w="4422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  <w:lang w:val="ru-RU"/>
              </w:rPr>
              <w:t>Как интерпретировать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Всего записей доступа</w:t>
            </w:r>
          </w:p>
        </w:tc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150</w:t>
            </w:r>
          </w:p>
        </w:tc>
        <w:tc>
          <w:tcPr>
            <w:tcW w:type="dxa" w:w="442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одна строка = один практически отличимый способ доступа</w:t>
            </w:r>
          </w:p>
        </w:tc>
      </w:tr>
      <w:tr>
        <w:trPr>
          <w:cantSplit/>
        </w:trPr>
        <w:tc>
          <w:tcPr>
            <w:tcW w:type="dxa" w:w="34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Высокая уверенность в правах</w:t>
            </w:r>
          </w:p>
        </w:tc>
        <w:tc>
          <w:tcPr>
            <w:tcW w:type="dxa" w:w="13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101</w:t>
            </w:r>
          </w:p>
        </w:tc>
        <w:tc>
          <w:tcPr>
            <w:tcW w:type="dxa" w:w="442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найдено прямое или достаточно сильное evidence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Средняя уверенность</w:t>
            </w:r>
          </w:p>
        </w:tc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48</w:t>
            </w:r>
          </w:p>
        </w:tc>
        <w:tc>
          <w:tcPr>
            <w:tcW w:type="dxa" w:w="442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законный доступ найден, но повторное использование требует оговорок</w:t>
            </w:r>
          </w:p>
        </w:tc>
      </w:tr>
      <w:tr>
        <w:trPr>
          <w:cantSplit/>
        </w:trPr>
        <w:tc>
          <w:tcPr>
            <w:tcW w:type="dxa" w:w="34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Низкая уверенность</w:t>
            </w:r>
          </w:p>
        </w:tc>
        <w:tc>
          <w:tcPr>
            <w:tcW w:type="dxa" w:w="13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1</w:t>
            </w:r>
          </w:p>
        </w:tc>
        <w:tc>
          <w:tcPr>
            <w:tcW w:type="dxa" w:w="442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единичный особо неясный случай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Бесплатное чтение</w:t>
            </w:r>
          </w:p>
        </w:tc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83</w:t>
            </w:r>
          </w:p>
        </w:tc>
        <w:tc>
          <w:tcPr>
            <w:tcW w:type="dxa" w:w="442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мульти-метка; не означает право зеркалирования</w:t>
            </w:r>
          </w:p>
        </w:tc>
      </w:tr>
      <w:tr>
        <w:trPr>
          <w:cantSplit/>
        </w:trPr>
        <w:tc>
          <w:tcPr>
            <w:tcW w:type="dxa" w:w="34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Бесплатное скачивание</w:t>
            </w:r>
          </w:p>
        </w:tc>
        <w:tc>
          <w:tcPr>
            <w:tcW w:type="dxa" w:w="13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94</w:t>
            </w:r>
          </w:p>
        </w:tc>
        <w:tc>
          <w:tcPr>
            <w:tcW w:type="dxa" w:w="442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мульти-метка; права на повторную публикацию проверяются отдельно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Покупка</w:t>
            </w:r>
          </w:p>
        </w:tc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37</w:t>
            </w:r>
          </w:p>
        </w:tc>
        <w:tc>
          <w:tcPr>
            <w:tcW w:type="dxa" w:w="442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включая современные научные издания и PTS</w:t>
            </w:r>
          </w:p>
        </w:tc>
      </w:tr>
      <w:tr>
        <w:trPr>
          <w:cantSplit/>
        </w:trPr>
        <w:tc>
          <w:tcPr>
            <w:tcW w:type="dxa" w:w="34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Preview/snippet</w:t>
            </w:r>
          </w:p>
        </w:tc>
        <w:tc>
          <w:tcPr>
            <w:tcW w:type="dxa" w:w="13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7</w:t>
            </w:r>
          </w:p>
        </w:tc>
        <w:tc>
          <w:tcPr>
            <w:tcW w:type="dxa" w:w="442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частичное ознакомление до покупки</w:t>
            </w:r>
          </w:p>
        </w:tc>
      </w:tr>
      <w:tr>
        <w:trPr>
          <w:cantSplit/>
        </w:trPr>
        <w:tc>
          <w:tcPr>
            <w:tcW w:type="dxa" w:w="340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Metadata only</w:t>
            </w:r>
          </w:p>
        </w:tc>
        <w:tc>
          <w:tcPr>
            <w:tcW w:type="dxa" w:w="136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7</w:t>
            </w:r>
          </w:p>
        </w:tc>
        <w:tc>
          <w:tcPr>
            <w:tcW w:type="dxa" w:w="442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каталог или registry entry без полного объекта</w:t>
            </w:r>
          </w:p>
        </w:tc>
      </w:tr>
      <w:tr>
        <w:trPr>
          <w:cantSplit/>
        </w:trPr>
        <w:tc>
          <w:tcPr>
            <w:tcW w:type="dxa" w:w="340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Временно недоступно</w:t>
            </w:r>
          </w:p>
        </w:tc>
        <w:tc>
          <w:tcPr>
            <w:tcW w:type="dxa" w:w="136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3</w:t>
            </w:r>
          </w:p>
        </w:tc>
        <w:tc>
          <w:tcPr>
            <w:tcW w:type="dxa" w:w="442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ссылка/портал/файл не дал устойчивого доступа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Распределение по релевантности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551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Релевантность</w:t>
            </w:r>
          </w:p>
        </w:tc>
        <w:tc>
          <w:tcPr>
            <w:tcW w:type="dxa" w:w="1133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Записей</w:t>
            </w:r>
          </w:p>
        </w:tc>
        <w:tc>
          <w:tcPr>
            <w:tcW w:type="dxa" w:w="5499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Содержание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core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51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Tipiṭaka, три piṭaka, Nikāya, Abhidhamma, Kathāvatthu, ключевые редакции и переводы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same_corpus_or_tradition</w:t>
            </w:r>
          </w:p>
        </w:tc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25</w:t>
            </w:r>
          </w:p>
        </w:tc>
        <w:tc>
          <w:tcPr>
            <w:tcW w:type="dxa" w:w="549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Khuddaka works, Milindapañha, хроники и другие прямые члены палийской традиции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antecedent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8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Aśoka, Gandhāran fragments, Āgama, Vimuttimagga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continuation</w:t>
            </w:r>
          </w:p>
        </w:tc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11</w:t>
            </w:r>
          </w:p>
        </w:tc>
        <w:tc>
          <w:tcPr>
            <w:tcW w:type="dxa" w:w="549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поздние manuals, vaṃsa, ṭīkā и региональные продолжения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commentary_or_reception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15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aṭṭhakathā, Visuddhimagga, поздние комментарии и литературная рецепция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transmission_or_preservation</w:t>
            </w:r>
          </w:p>
        </w:tc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13</w:t>
            </w:r>
          </w:p>
        </w:tc>
        <w:tc>
          <w:tcPr>
            <w:tcW w:type="dxa" w:w="549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рукописные свидетели, печатные каноны, Kuthodaw и региональные редакции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infrastructure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21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corpus portals, datasets, APIs, manuscript repositories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supporting</w:t>
            </w:r>
          </w:p>
        </w:tc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3</w:t>
            </w:r>
          </w:p>
        </w:tc>
        <w:tc>
          <w:tcPr>
            <w:tcW w:type="dxa" w:w="549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словарные и морфологические инструменты</w:t>
            </w:r>
          </w:p>
        </w:tc>
      </w:tr>
      <w:tr>
        <w:trPr>
          <w:cantSplit/>
        </w:trPr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secondary_navigation</w:t>
            </w:r>
          </w:p>
        </w:tc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3</w:t>
            </w:r>
          </w:p>
        </w:tc>
        <w:tc>
          <w:tcPr>
            <w:tcW w:type="dxa" w:w="5499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инвентари и research guides</w:t>
            </w:r>
          </w:p>
        </w:tc>
      </w:tr>
      <w:tr>
        <w:trPr>
          <w:cantSplit/>
        </w:trPr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boundary</w:t>
            </w:r>
          </w:p>
        </w:tc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0</w:t>
            </w:r>
          </w:p>
        </w:tc>
        <w:tc>
          <w:tcPr>
            <w:tcW w:type="dxa" w:w="5499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отдельная метка не потребовалась: пограничные объекты получили более точную функциональную классификацию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Ядро из исходного DR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Центральное ядро покрыто на трёх уровнях. Во-первых, как цельный Pāli Tipiṭaka: через SuttaCentral, VRI, BJT, CRAN datasets и старые национальные редакции. Во-вторых, как внутренне расчленённый канон: Vinaya, Sutta и Abhidhamma с Nikāya, Khuddaka и отдельными аналитическими работами. В-третьих, как режим чтения и памяти: Pāli commentaries, Visuddhimagga, Dīpavaṃsa, Mahāvaṃsa, later vaṃsa и материальные witness-сети.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9">
        <w:r>
          <w:rPr>
            <w:color w:val="1B6A87"/>
            <w:b/>
            <w:rFonts w:ascii="Noto Sans" w:hAnsi="Noto Sans" w:cs="Noto Sans"/>
          </w:rPr>
          <w:t>A21-R005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0">
        <w:r>
          <w:rPr>
            <w:color w:val="1B6A87"/>
            <w:b/>
            <w:rFonts w:ascii="Noto Sans" w:hAnsi="Noto Sans" w:cs="Noto Sans"/>
          </w:rPr>
          <w:t>A21-R006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5">
        <w:r>
          <w:rPr>
            <w:color w:val="1B6A87"/>
            <w:b/>
            <w:rFonts w:ascii="Noto Sans" w:hAnsi="Noto Sans" w:cs="Noto Sans"/>
          </w:rPr>
          <w:t>A21-R008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7">
        <w:r>
          <w:rPr>
            <w:color w:val="1B6A87"/>
            <w:b/>
            <w:rFonts w:ascii="Noto Sans" w:hAnsi="Noto Sans" w:cs="Noto Sans"/>
          </w:rPr>
          <w:t>A21-R012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1">
        <w:r>
          <w:rPr>
            <w:color w:val="1B6A87"/>
            <w:b/>
            <w:rFonts w:ascii="Noto Sans" w:hAnsi="Noto Sans" w:cs="Noto Sans"/>
          </w:rPr>
          <w:t>A21-R016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2">
        <w:r>
          <w:rPr>
            <w:color w:val="1B6A87"/>
            <w:b/>
            <w:rFonts w:ascii="Noto Sans" w:hAnsi="Noto Sans" w:cs="Noto Sans"/>
          </w:rPr>
          <w:t>A21-R041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2">
        <w:r>
          <w:rPr>
            <w:color w:val="1B6A87"/>
            <w:b/>
            <w:rFonts w:ascii="Noto Sans" w:hAnsi="Noto Sans" w:cs="Noto Sans"/>
          </w:rPr>
          <w:t>A21-R148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3">
        <w:r>
          <w:rPr>
            <w:color w:val="1B6A87"/>
            <w:b/>
            <w:rFonts w:ascii="Noto Sans" w:hAnsi="Noto Sans" w:cs="Noto Sans"/>
          </w:rPr>
          <w:t>A21-R149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4">
        <w:r>
          <w:rPr>
            <w:color w:val="1B6A87"/>
            <w:b/>
            <w:rFonts w:ascii="Noto Sans" w:hAnsi="Noto Sans" w:cs="Noto Sans"/>
          </w:rPr>
          <w:t>A21-R150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Добавления веб-исследования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Наиболее существенное расширение дали машиночитаемые и rights-clear слои. Bilara предоставляет опубликованные JSON-данные и translations под CC0; CRAN-пакеты tipitaka и tipitaka.critical дают полный Pāli canon, причём второй заявляет five-witness collation и lemmatization; TextGrid/GRETIL содержит item-level TEI records с CC BY-NC-SA; CBETA открывает китайские preservation witnesses в TEI/XML; SuttaCentral добавляет API и современные CC0-переводы, включая полный русский перевод четырёх Nikāya 2026 года.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6">
        <w:r>
          <w:rPr>
            <w:color w:val="1B6A87"/>
            <w:b/>
            <w:rFonts w:ascii="Noto Sans" w:hAnsi="Noto Sans" w:cs="Noto Sans"/>
          </w:rPr>
          <w:t>A21-R009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5">
        <w:r>
          <w:rPr>
            <w:color w:val="1B6A87"/>
            <w:b/>
            <w:rFonts w:ascii="Noto Sans" w:hAnsi="Noto Sans" w:cs="Noto Sans"/>
          </w:rPr>
          <w:t>A21-R010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7">
        <w:r>
          <w:rPr>
            <w:color w:val="1B6A87"/>
            <w:b/>
            <w:rFonts w:ascii="Noto Sans" w:hAnsi="Noto Sans" w:cs="Noto Sans"/>
          </w:rPr>
          <w:t>A21-R012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6">
        <w:r>
          <w:rPr>
            <w:color w:val="1B6A87"/>
            <w:b/>
            <w:rFonts w:ascii="Noto Sans" w:hAnsi="Noto Sans" w:cs="Noto Sans"/>
          </w:rPr>
          <w:t>A21-R013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7">
        <w:r>
          <w:rPr>
            <w:color w:val="1B6A87"/>
            <w:b/>
            <w:rFonts w:ascii="Noto Sans" w:hAnsi="Noto Sans" w:cs="Noto Sans"/>
          </w:rPr>
          <w:t>A21-R101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8">
        <w:r>
          <w:rPr>
            <w:color w:val="1B6A87"/>
            <w:b/>
            <w:rFonts w:ascii="Noto Sans" w:hAnsi="Noto Sans" w:cs="Noto Sans"/>
          </w:rPr>
          <w:t>A21-R102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9">
        <w:r>
          <w:rPr>
            <w:color w:val="1B6A87"/>
            <w:b/>
            <w:rFonts w:ascii="Noto Sans" w:hAnsi="Noto Sans" w:cs="Noto Sans"/>
          </w:rPr>
          <w:t>A21-R109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0">
        <w:r>
          <w:rPr>
            <w:color w:val="1B6A87"/>
            <w:b/>
            <w:rFonts w:ascii="Noto Sans" w:hAnsi="Noto Sans" w:cs="Noto Sans"/>
          </w:rPr>
          <w:t>A21-R144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1">
        <w:r>
          <w:rPr>
            <w:color w:val="1B6A87"/>
            <w:b/>
            <w:rFonts w:ascii="Noto Sans" w:hAnsi="Noto Sans" w:cs="Noto Sans"/>
          </w:rPr>
          <w:t>A21-R053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2">
        <w:r>
          <w:rPr>
            <w:color w:val="1B6A87"/>
            <w:b/>
            <w:rFonts w:ascii="Noto Sans" w:hAnsi="Noto Sans" w:cs="Noto Sans"/>
          </w:rPr>
          <w:t>A21-R054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3">
        <w:r>
          <w:rPr>
            <w:color w:val="1B6A87"/>
            <w:b/>
            <w:rFonts w:ascii="Noto Sans" w:hAnsi="Noto Sans" w:cs="Noto Sans"/>
          </w:rPr>
          <w:t>A21-R055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4">
        <w:r>
          <w:rPr>
            <w:color w:val="1B6A87"/>
            <w:b/>
            <w:rFonts w:ascii="Noto Sans" w:hAnsi="Noto Sans" w:cs="Noto Sans"/>
          </w:rPr>
          <w:t>A21-R056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Более ранний контур: antecedent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Назад во времени реестр не пытается превратить ранний буддизм в ещё одну версию позднего Theravāda. Aśokan edicts включены как документируемый политико-миссионный фон передачи к Шри-Ланке; Gandhāran Kharoṣṭhī fragments — как ранние рукописные свидетельства параллельного североиндийского буддийского текстового поля; китайские Āgama и Saṃyukta Āgama T99 — как линии сохранения параллелей к Pāli Nikāya; Vimuttimagga — как ранний path-compendium, содержательно и жанрово предшествующий Visuddhimagga и сохранившийся прежде всего в китайском переводе.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35">
        <w:r>
          <w:rPr>
            <w:color w:val="1B6A87"/>
            <w:b/>
            <w:rFonts w:ascii="Noto Sans" w:hAnsi="Noto Sans" w:cs="Noto Sans"/>
          </w:rPr>
          <w:t>A21-R037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6">
        <w:r>
          <w:rPr>
            <w:color w:val="1B6A87"/>
            <w:b/>
            <w:rFonts w:ascii="Noto Sans" w:hAnsi="Noto Sans" w:cs="Noto Sans"/>
          </w:rPr>
          <w:t>A21-R108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9">
        <w:r>
          <w:rPr>
            <w:color w:val="1B6A87"/>
            <w:b/>
            <w:rFonts w:ascii="Noto Sans" w:hAnsi="Noto Sans" w:cs="Noto Sans"/>
          </w:rPr>
          <w:t>A21-R109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7">
        <w:r>
          <w:rPr>
            <w:color w:val="1B6A87"/>
            <w:b/>
            <w:rFonts w:ascii="Noto Sans" w:hAnsi="Noto Sans" w:cs="Noto Sans"/>
          </w:rPr>
          <w:t>A21-R142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3">
        <w:r>
          <w:rPr>
            <w:color w:val="1B6A87"/>
            <w:b/>
            <w:rFonts w:ascii="Noto Sans" w:hAnsi="Noto Sans" w:cs="Noto Sans"/>
          </w:rPr>
          <w:t>A21-R143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0">
        <w:r>
          <w:rPr>
            <w:color w:val="1B6A87"/>
            <w:b/>
            <w:rFonts w:ascii="Noto Sans" w:hAnsi="Noto Sans" w:cs="Noto Sans"/>
          </w:rPr>
          <w:t>A21-R144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8">
        <w:r>
          <w:rPr>
            <w:color w:val="1B6A87"/>
            <w:b/>
            <w:rFonts w:ascii="Noto Sans" w:hAnsi="Noto Sans" w:cs="Noto Sans"/>
          </w:rPr>
          <w:t>A21-R145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9">
        <w:r>
          <w:rPr>
            <w:color w:val="1B6A87"/>
            <w:b/>
            <w:rFonts w:ascii="Noto Sans" w:hAnsi="Noto Sans" w:cs="Noto Sans"/>
          </w:rPr>
          <w:t>A21-R146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Более поздний контур: continuation, commentary и preservation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Вперёд во времени включены Abhidhammatthasaṅgaha, Vinaya handbooks, Nāmarūpapariccheda, Paramatthavinicchaya, Saccasaṅkhepa, Cūlavaṃsa, Extended Mahāvaṃsa, Anāgatavaṃsa, Dāṭhāvaṃsa, Mahāvaṃsa-ṭīkā и manuscript witnesses поздних aṭṭhakathā/ṭīkā. Их связь с A21 конкретна: они продолжают каноническую систематику, комментируют ядро, поддерживают хроникальную память или демонстрируют, как корпус реально пережил средневековый и раннемодерный периоды.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40">
        <w:r>
          <w:rPr>
            <w:color w:val="1B6A87"/>
            <w:b/>
            <w:rFonts w:ascii="Noto Sans" w:hAnsi="Noto Sans" w:cs="Noto Sans"/>
          </w:rPr>
          <w:t>A21-R115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1">
        <w:r>
          <w:rPr>
            <w:color w:val="1B6A87"/>
            <w:b/>
            <w:rFonts w:ascii="Noto Sans" w:hAnsi="Noto Sans" w:cs="Noto Sans"/>
          </w:rPr>
          <w:t>A21-R117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2">
        <w:r>
          <w:rPr>
            <w:color w:val="1B6A87"/>
            <w:b/>
            <w:rFonts w:ascii="Noto Sans" w:hAnsi="Noto Sans" w:cs="Noto Sans"/>
          </w:rPr>
          <w:t>A21-R121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3">
        <w:r>
          <w:rPr>
            <w:color w:val="1B6A87"/>
            <w:b/>
            <w:rFonts w:ascii="Noto Sans" w:hAnsi="Noto Sans" w:cs="Noto Sans"/>
          </w:rPr>
          <w:t>A21-R122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4">
        <w:r>
          <w:rPr>
            <w:color w:val="1B6A87"/>
            <w:b/>
            <w:rFonts w:ascii="Noto Sans" w:hAnsi="Noto Sans" w:cs="Noto Sans"/>
          </w:rPr>
          <w:t>A21-R123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5">
        <w:r>
          <w:rPr>
            <w:color w:val="1B6A87"/>
            <w:b/>
            <w:rFonts w:ascii="Noto Sans" w:hAnsi="Noto Sans" w:cs="Noto Sans"/>
          </w:rPr>
          <w:t>A21-R124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6">
        <w:r>
          <w:rPr>
            <w:color w:val="1B6A87"/>
            <w:b/>
            <w:rFonts w:ascii="Noto Sans" w:hAnsi="Noto Sans" w:cs="Noto Sans"/>
          </w:rPr>
          <w:t>A21-R127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7">
        <w:r>
          <w:rPr>
            <w:color w:val="1B6A87"/>
            <w:b/>
            <w:rFonts w:ascii="Noto Sans" w:hAnsi="Noto Sans" w:cs="Noto Sans"/>
          </w:rPr>
          <w:t>A21-R128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8">
        <w:r>
          <w:rPr>
            <w:color w:val="1B6A87"/>
            <w:b/>
            <w:rFonts w:ascii="Noto Sans" w:hAnsi="Noto Sans" w:cs="Noto Sans"/>
          </w:rPr>
          <w:t>A21-R129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9">
        <w:r>
          <w:rPr>
            <w:color w:val="1B6A87"/>
            <w:b/>
            <w:rFonts w:ascii="Noto Sans" w:hAnsi="Noto Sans" w:cs="Noto Sans"/>
          </w:rPr>
          <w:t>A21-R130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0">
        <w:r>
          <w:rPr>
            <w:color w:val="1B6A87"/>
            <w:b/>
            <w:rFonts w:ascii="Noto Sans" w:hAnsi="Noto Sans" w:cs="Noto Sans"/>
          </w:rPr>
          <w:t>A21-R132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A21-R138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A21-R139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A21-R140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A21-R141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Материальная и трансрегиональная сохранность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Материальная история корпуса представлена не одной «древней рукописью», а цепью поздних копий и редакций: Royal Thai edition, Sixth Council edition, Nalanda Devanagari edition, Simon Hewavitarne commentary series, BJT scans, palm-leaf holdings BDRC/FPL, MMDL, Lao and Northern Thai libraries, Kuthodaw inscription shrines. Эта часть реестра показывает, что современный Pāli canon — результат множественных национальных, скриптовых и монастырских handoff, а не неподвижный файл.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52">
        <w:r>
          <w:rPr>
            <w:color w:val="1B6A87"/>
            <w:b/>
            <w:rFonts w:ascii="Noto Sans" w:hAnsi="Noto Sans" w:cs="Noto Sans"/>
          </w:rPr>
          <w:t>A21-R018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A21-R019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8">
        <w:r>
          <w:rPr>
            <w:color w:val="1B6A87"/>
            <w:b/>
            <w:rFonts w:ascii="Noto Sans" w:hAnsi="Noto Sans" w:cs="Noto Sans"/>
          </w:rPr>
          <w:t>A21-R030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A21-R031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3">
        <w:r>
          <w:rPr>
            <w:color w:val="1B6A87"/>
            <w:b/>
            <w:rFonts w:ascii="Noto Sans" w:hAnsi="Noto Sans" w:cs="Noto Sans"/>
          </w:rPr>
          <w:t>A21-R032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4">
        <w:r>
          <w:rPr>
            <w:color w:val="1B6A87"/>
            <w:b/>
            <w:rFonts w:ascii="Noto Sans" w:hAnsi="Noto Sans" w:cs="Noto Sans"/>
          </w:rPr>
          <w:t>A21-R033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5">
        <w:r>
          <w:rPr>
            <w:color w:val="1B6A87"/>
            <w:b/>
            <w:rFonts w:ascii="Noto Sans" w:hAnsi="Noto Sans" w:cs="Noto Sans"/>
          </w:rPr>
          <w:t>A21-R034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6">
        <w:r>
          <w:rPr>
            <w:color w:val="1B6A87"/>
            <w:b/>
            <w:rFonts w:ascii="Noto Sans" w:hAnsi="Noto Sans" w:cs="Noto Sans"/>
          </w:rPr>
          <w:t>A21-R035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7">
        <w:r>
          <w:rPr>
            <w:color w:val="1B6A87"/>
            <w:b/>
            <w:rFonts w:ascii="Noto Sans" w:hAnsi="Noto Sans" w:cs="Noto Sans"/>
          </w:rPr>
          <w:t>A21-R133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8">
        <w:r>
          <w:rPr>
            <w:color w:val="1B6A87"/>
            <w:b/>
            <w:rFonts w:ascii="Noto Sans" w:hAnsi="Noto Sans" w:cs="Noto Sans"/>
          </w:rPr>
          <w:t>A21-R134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9">
        <w:r>
          <w:rPr>
            <w:color w:val="1B6A87"/>
            <w:b/>
            <w:rFonts w:ascii="Noto Sans" w:hAnsi="Noto Sans" w:cs="Noto Sans"/>
          </w:rPr>
          <w:t>A21-R135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0">
        <w:r>
          <w:rPr>
            <w:color w:val="1B6A87"/>
            <w:b/>
            <w:rFonts w:ascii="Noto Sans" w:hAnsi="Noto Sans" w:cs="Noto Sans"/>
          </w:rPr>
          <w:t>A21-R136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1">
        <w:r>
          <w:rPr>
            <w:color w:val="1B6A87"/>
            <w:b/>
            <w:rFonts w:ascii="Noto Sans" w:hAnsi="Noto Sans" w:cs="Noto Sans"/>
          </w:rPr>
          <w:t>A21-R137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54C5B"/>
          <w:left w:val="single" w:sz="8" w:space="0" w:color="154C5B"/>
          <w:bottom w:val="single" w:sz="8" w:space="0" w:color="154C5B"/>
          <w:right w:val="single" w:sz="8" w:space="0" w:color="154C5B"/>
          <w:insideH w:val="single" w:sz="8" w:space="0" w:color="154C5B"/>
          <w:insideV w:val="single" w:sz="8" w:space="0" w:color="154C5B"/>
        </w:tblBorders>
      </w:tblPr>
      <w:tblGrid>
        <w:gridCol w:w="9922"/>
      </w:tblGrid>
      <w:tr>
        <w:tc>
          <w:tcPr>
            <w:tcW w:type="dxa" w:w="9922"/>
            <w:shd w:fill="EAF3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154C5B"/>
                <w:sz w:val="19"/>
                <w:lang w:val="ru-RU"/>
              </w:rPr>
              <w:t>Почему нет самостоятельных boundary-записей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Гандхара, китайские Āgama и Vimuttimagga действительно пересекают соседние узлы ToS, но в этом исследовании они имеют доказуемую функцию именно по отношению к A21 — antecedent или transmission witness. Более точная функциональная метка предпочтена нейтральной метке boundary.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3. Лучшие пути доступа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Ниже собраны не все строки XLSX, а лучшие входы по основным корпусным группам. «Лучший» означает разное в зависимости от задачи: для чтения — удобство и полнота; для филологии — оригинальный текст, apparatus или witness plurality; для ToS-инфраструктуры — машиночитаемость и доказуемые права; для научного чтения — современная редактура, даже когда доступ только платный.</w:t>
      </w: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3.1. Tipiṭaka как целое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Цельный палийский канон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Самый сильный открытый слой образуют SuttaCentral/Bilara и два CRAN-пакета; VRI остаётся важным традиционным и многоскриптовым входом, но с более ограниченными правами.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бесплатное чтение: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 Pāli root-text corpus — удобная навигация по трём piṭaka; VRI/tipitaka.org — традиционный Chaṭṭha Saṅgāyana corpus в нескольких письмах.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скачивание: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Bilara published ZIP для структурированных JSON и CRAN package tipitaka для полного канона; для исследовательской работы предпочтительно сохранять release metadata.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филологический dataset: </w:t>
            </w:r>
            <w:r>
              <w:rPr>
                <w:rFonts w:ascii="Noto Sans" w:hAnsi="Noto Sans" w:eastAsia="Noto Sans"/>
                <w:sz w:val="17"/>
                <w:lang w:val="ru-RU"/>
              </w:rPr>
              <w:t>tipitaka.critical: CC0, полный five-witness collation с lemmatization; научные выводы следует перепроверять по sampled passages и независимым изданиям.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историко-национальный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Buddha Jayanti Tripitaka Pāli text и scan collection; права на Pāli e-text яснее, чем на Sinhala translation и сканы.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английский комплект: </w:t>
            </w:r>
            <w:r>
              <w:rPr>
                <w:rFonts w:ascii="Noto Sans" w:hAnsi="Noto Sans" w:eastAsia="Noto Sans"/>
                <w:sz w:val="17"/>
                <w:lang w:val="ru-RU"/>
              </w:rPr>
              <w:t>PTS complete set — платный, но остаётся крупным академическим входом; права неоднородны по томам.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SuttaCentral/Bilara и CRAN — CC0; именно здесь наиболее чистая база для индексации, embeddings и собственного перевода с Pāli.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19">
              <w:r>
                <w:rPr>
                  <w:color w:val="1B6A87"/>
                  <w:b/>
                  <w:rFonts w:ascii="Noto Sans" w:hAnsi="Noto Sans" w:cs="Noto Sans"/>
                </w:rPr>
                <w:t>A21-R005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0">
              <w:r>
                <w:rPr>
                  <w:color w:val="1B6A87"/>
                  <w:b/>
                  <w:rFonts w:ascii="Noto Sans" w:hAnsi="Noto Sans" w:cs="Noto Sans"/>
                </w:rPr>
                <w:t>A21-R006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5">
              <w:r>
                <w:rPr>
                  <w:color w:val="1B6A87"/>
                  <w:b/>
                  <w:rFonts w:ascii="Noto Sans" w:hAnsi="Noto Sans" w:cs="Noto Sans"/>
                </w:rPr>
                <w:t>A21-R008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6">
              <w:r>
                <w:rPr>
                  <w:color w:val="1B6A87"/>
                  <w:b/>
                  <w:rFonts w:ascii="Noto Sans" w:hAnsi="Noto Sans" w:cs="Noto Sans"/>
                </w:rPr>
                <w:t>A21-R009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7">
              <w:r>
                <w:rPr>
                  <w:color w:val="1B6A87"/>
                  <w:b/>
                  <w:rFonts w:ascii="Noto Sans" w:hAnsi="Noto Sans" w:cs="Noto Sans"/>
                </w:rPr>
                <w:t>A21-R012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6">
              <w:r>
                <w:rPr>
                  <w:color w:val="1B6A87"/>
                  <w:b/>
                  <w:rFonts w:ascii="Noto Sans" w:hAnsi="Noto Sans" w:cs="Noto Sans"/>
                </w:rPr>
                <w:t>A21-R013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1">
              <w:r>
                <w:rPr>
                  <w:color w:val="1B6A87"/>
                  <w:b/>
                  <w:rFonts w:ascii="Noto Sans" w:hAnsi="Noto Sans" w:cs="Noto Sans"/>
                </w:rPr>
                <w:t>A21-R016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2">
              <w:r>
                <w:rPr>
                  <w:color w:val="1B6A87"/>
                  <w:b/>
                  <w:rFonts w:ascii="Noto Sans" w:hAnsi="Noto Sans" w:cs="Noto Sans"/>
                </w:rPr>
                <w:t>A21-R018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3.2. Vinaya Piṭaka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Vinaya как дисциплинарный и институциональный корпус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Vinaya покрыта одновременно современным открытым переводом, лицензированным PTS-переводом, старым public-domain переводом и Pāli editions.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бесплатное чтение: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полный English Vinaya translation на SuttaCentral под CC0.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скачивание: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Bilara data release; для исторического сравнения — Sacred Books of the East, vols. 13, 17 и 20.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оригинальный текст: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 Pāli collection и Oldenberg Vinaya Piṭaka volume I; дополнительно BJT/VRI для сравнительного чтения.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старый перевод: </w:t>
            </w:r>
            <w:r>
              <w:rPr>
                <w:rFonts w:ascii="Noto Sans" w:hAnsi="Noto Sans" w:eastAsia="Noto Sans"/>
                <w:sz w:val="17"/>
                <w:lang w:val="ru-RU"/>
              </w:rPr>
              <w:t>Vinaya Texts I–III (1881–1885), public-domain underlying editions; условия конкретного сайта не следует смешивать с правами на сам перевод.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современный научный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PTS The Book of the Discipline, six volumes, CC BY-NC 3.0, распространяемый через покупку.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 translation/root text CC0; для собственного перевода — Pāli root corpus, а не защищённый современный перевод.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22">
              <w:r>
                <w:rPr>
                  <w:color w:val="1B6A87"/>
                  <w:b/>
                  <w:rFonts w:ascii="Noto Sans" w:hAnsi="Noto Sans" w:cs="Noto Sans"/>
                </w:rPr>
                <w:t>A21-R041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2">
              <w:r>
                <w:rPr>
                  <w:color w:val="1B6A87"/>
                  <w:b/>
                  <w:rFonts w:ascii="Noto Sans" w:hAnsi="Noto Sans" w:cs="Noto Sans"/>
                </w:rPr>
                <w:t>A21-R062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3">
              <w:r>
                <w:rPr>
                  <w:color w:val="1B6A87"/>
                  <w:b/>
                  <w:rFonts w:ascii="Noto Sans" w:hAnsi="Noto Sans" w:cs="Noto Sans"/>
                </w:rPr>
                <w:t>A21-R084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4">
              <w:r>
                <w:rPr>
                  <w:color w:val="1B6A87"/>
                  <w:b/>
                  <w:rFonts w:ascii="Noto Sans" w:hAnsi="Noto Sans" w:cs="Noto Sans"/>
                </w:rPr>
                <w:t>A21-R085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5">
              <w:r>
                <w:rPr>
                  <w:color w:val="1B6A87"/>
                  <w:b/>
                  <w:rFonts w:ascii="Noto Sans" w:hAnsi="Noto Sans" w:cs="Noto Sans"/>
                </w:rPr>
                <w:t>A21-R086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6">
              <w:r>
                <w:rPr>
                  <w:color w:val="1B6A87"/>
                  <w:b/>
                  <w:rFonts w:ascii="Noto Sans" w:hAnsi="Noto Sans" w:cs="Noto Sans"/>
                </w:rPr>
                <w:t>A21-R096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2">
              <w:r>
                <w:rPr>
                  <w:color w:val="1B6A87"/>
                  <w:b/>
                  <w:rFonts w:ascii="Noto Sans" w:hAnsi="Noto Sans" w:cs="Noto Sans"/>
                </w:rPr>
                <w:t>A21-R148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3.3. Nikāya и Khuddaka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Dīgha, Majjhima, Saṃyutta, Aṅguttara и малые собрания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Это наиболее хорошо обеспеченная переводами зона: полные CC0 English translations, новые полные русские переводы четырёх Nikāya и современные академические коммерческие издания.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бесплатное чтение: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 English translations для четырёх Nikāya и ряда Khuddaka texts.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русский слой: </w:t>
            </w:r>
            <w:r>
              <w:rPr>
                <w:rFonts w:ascii="Noto Sans" w:hAnsi="Noto Sans" w:eastAsia="Noto Sans"/>
                <w:sz w:val="17"/>
                <w:lang w:val="ru-RU"/>
              </w:rPr>
              <w:t>полные Dīgha, Majjhima, Saṃyutta и Aṅguttara Nikāya 2026 года под CC0; Suttanipāta, Itivuttaka, Udāna, Theragāthā и Therīgāthā доступны разной степени полноты.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старый публичнодоменный перевод: </w:t>
            </w:r>
            <w:r>
              <w:rPr>
                <w:rFonts w:ascii="Noto Sans" w:hAnsi="Noto Sans" w:eastAsia="Noto Sans"/>
                <w:sz w:val="17"/>
                <w:lang w:val="ru-RU"/>
              </w:rPr>
              <w:t>Dialogues of the Buddha; SBE Dhammapada/Sutta-Nipāta; Psalms of the Sisters/Brethren.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современный научный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Wisdom editions Bhikkhu Bodhi/Maurice Walshe и полный Nikāyas set — purchase/preview, All Rights Reserved.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машиночитаемый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Bilara JSON с сегментацией и metadata; SuttaCentral API для законного доступа к открытым компонентам.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CC0 SuttaCentral/Bilara. На практике это лучший слой для полнотекстового поиска, parallel alignment и ToS-переводов.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31">
              <w:r>
                <w:rPr>
                  <w:color w:val="1B6A87"/>
                  <w:b/>
                  <w:rFonts w:ascii="Noto Sans" w:hAnsi="Noto Sans" w:cs="Noto Sans"/>
                </w:rPr>
                <w:t>A21-R042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2">
              <w:r>
                <w:rPr>
                  <w:color w:val="1B6A87"/>
                  <w:b/>
                  <w:rFonts w:ascii="Noto Sans" w:hAnsi="Noto Sans" w:cs="Noto Sans"/>
                </w:rPr>
                <w:t>A21-R043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3">
              <w:r>
                <w:rPr>
                  <w:color w:val="1B6A87"/>
                  <w:b/>
                  <w:rFonts w:ascii="Noto Sans" w:hAnsi="Noto Sans" w:cs="Noto Sans"/>
                </w:rPr>
                <w:t>A21-R044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4">
              <w:r>
                <w:rPr>
                  <w:color w:val="1B6A87"/>
                  <w:b/>
                  <w:rFonts w:ascii="Noto Sans" w:hAnsi="Noto Sans" w:cs="Noto Sans"/>
                </w:rPr>
                <w:t>A21-R045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7">
              <w:r>
                <w:rPr>
                  <w:color w:val="1B6A87"/>
                  <w:b/>
                  <w:rFonts w:ascii="Noto Sans" w:hAnsi="Noto Sans" w:cs="Noto Sans"/>
                </w:rPr>
                <w:t>A21-R046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8">
              <w:r>
                <w:rPr>
                  <w:color w:val="1B6A87"/>
                  <w:b/>
                  <w:rFonts w:ascii="Noto Sans" w:hAnsi="Noto Sans" w:cs="Noto Sans"/>
                </w:rPr>
                <w:t>A21-R047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9">
              <w:r>
                <w:rPr>
                  <w:color w:val="1B6A87"/>
                  <w:b/>
                  <w:rFonts w:ascii="Noto Sans" w:hAnsi="Noto Sans" w:cs="Noto Sans"/>
                </w:rPr>
                <w:t>A21-R048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0">
              <w:r>
                <w:rPr>
                  <w:color w:val="1B6A87"/>
                  <w:b/>
                  <w:rFonts w:ascii="Noto Sans" w:hAnsi="Noto Sans" w:cs="Noto Sans"/>
                </w:rPr>
                <w:t>A21-R049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1">
              <w:r>
                <w:rPr>
                  <w:color w:val="1B6A87"/>
                  <w:b/>
                  <w:rFonts w:ascii="Noto Sans" w:hAnsi="Noto Sans" w:cs="Noto Sans"/>
                </w:rPr>
                <w:t>A21-R050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2">
              <w:r>
                <w:rPr>
                  <w:color w:val="1B6A87"/>
                  <w:b/>
                  <w:rFonts w:ascii="Noto Sans" w:hAnsi="Noto Sans" w:cs="Noto Sans"/>
                </w:rPr>
                <w:t>A21-R051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3">
              <w:r>
                <w:rPr>
                  <w:color w:val="1B6A87"/>
                  <w:b/>
                  <w:rFonts w:ascii="Noto Sans" w:hAnsi="Noto Sans" w:cs="Noto Sans"/>
                </w:rPr>
                <w:t>A21-R052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1">
              <w:r>
                <w:rPr>
                  <w:color w:val="1B6A87"/>
                  <w:b/>
                  <w:rFonts w:ascii="Noto Sans" w:hAnsi="Noto Sans" w:cs="Noto Sans"/>
                </w:rPr>
                <w:t>A21-R053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2">
              <w:r>
                <w:rPr>
                  <w:color w:val="1B6A87"/>
                  <w:b/>
                  <w:rFonts w:ascii="Noto Sans" w:hAnsi="Noto Sans" w:cs="Noto Sans"/>
                </w:rPr>
                <w:t>A21-R054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3">
              <w:r>
                <w:rPr>
                  <w:color w:val="1B6A87"/>
                  <w:b/>
                  <w:rFonts w:ascii="Noto Sans" w:hAnsi="Noto Sans" w:cs="Noto Sans"/>
                </w:rPr>
                <w:t>A21-R055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4">
              <w:r>
                <w:rPr>
                  <w:color w:val="1B6A87"/>
                  <w:b/>
                  <w:rFonts w:ascii="Noto Sans" w:hAnsi="Noto Sans" w:cs="Noto Sans"/>
                </w:rPr>
                <w:t>A21-R056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8">
              <w:r>
                <w:rPr>
                  <w:color w:val="1B6A87"/>
                  <w:b/>
                  <w:rFonts w:ascii="Noto Sans" w:hAnsi="Noto Sans" w:cs="Noto Sans"/>
                </w:rPr>
                <w:t>A21-R057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0">
              <w:r>
                <w:rPr>
                  <w:color w:val="1B6A87"/>
                  <w:b/>
                  <w:rFonts w:ascii="Noto Sans" w:hAnsi="Noto Sans" w:cs="Noto Sans"/>
                </w:rPr>
                <w:t>A21-R058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9">
              <w:r>
                <w:rPr>
                  <w:color w:val="1B6A87"/>
                  <w:b/>
                  <w:rFonts w:ascii="Noto Sans" w:hAnsi="Noto Sans" w:cs="Noto Sans"/>
                </w:rPr>
                <w:t>A21-R059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2">
              <w:r>
                <w:rPr>
                  <w:color w:val="1B6A87"/>
                  <w:b/>
                  <w:rFonts w:ascii="Noto Sans" w:hAnsi="Noto Sans" w:cs="Noto Sans"/>
                </w:rPr>
                <w:t>A21-R060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3">
              <w:r>
                <w:rPr>
                  <w:color w:val="1B6A87"/>
                  <w:b/>
                  <w:rFonts w:ascii="Noto Sans" w:hAnsi="Noto Sans" w:cs="Noto Sans"/>
                </w:rPr>
                <w:t>A21-R061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4">
              <w:r>
                <w:rPr>
                  <w:color w:val="1B6A87"/>
                  <w:b/>
                  <w:rFonts w:ascii="Noto Sans" w:hAnsi="Noto Sans" w:cs="Noto Sans"/>
                </w:rPr>
                <w:t>A21-R078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5">
              <w:r>
                <w:rPr>
                  <w:color w:val="1B6A87"/>
                  <w:b/>
                  <w:rFonts w:ascii="Noto Sans" w:hAnsi="Noto Sans" w:cs="Noto Sans"/>
                </w:rPr>
                <w:t>A21-R079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6">
              <w:r>
                <w:rPr>
                  <w:color w:val="1B6A87"/>
                  <w:b/>
                  <w:rFonts w:ascii="Noto Sans" w:hAnsi="Noto Sans" w:cs="Noto Sans"/>
                </w:rPr>
                <w:t>A21-R080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7">
              <w:r>
                <w:rPr>
                  <w:color w:val="1B6A87"/>
                  <w:b/>
                  <w:rFonts w:ascii="Noto Sans" w:hAnsi="Noto Sans" w:cs="Noto Sans"/>
                </w:rPr>
                <w:t>A21-R081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8">
              <w:r>
                <w:rPr>
                  <w:color w:val="1B6A87"/>
                  <w:b/>
                  <w:rFonts w:ascii="Noto Sans" w:hAnsi="Noto Sans" w:cs="Noto Sans"/>
                </w:rPr>
                <w:t>A21-R082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79">
              <w:r>
                <w:rPr>
                  <w:color w:val="1B6A87"/>
                  <w:b/>
                  <w:rFonts w:ascii="Noto Sans" w:hAnsi="Noto Sans" w:cs="Noto Sans"/>
                </w:rPr>
                <w:t>A21-R083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0">
              <w:r>
                <w:rPr>
                  <w:color w:val="1B6A87"/>
                  <w:b/>
                  <w:rFonts w:ascii="Noto Sans" w:hAnsi="Noto Sans" w:cs="Noto Sans"/>
                </w:rPr>
                <w:t>A21-R087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1">
              <w:r>
                <w:rPr>
                  <w:color w:val="1B6A87"/>
                  <w:b/>
                  <w:rFonts w:ascii="Noto Sans" w:hAnsi="Noto Sans" w:cs="Noto Sans"/>
                </w:rPr>
                <w:t>A21-R088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3.4. Abhidhamma и Kathāvatthu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Аналитический канон и полемический узел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Для Abhidhamma свободный слой сильнее на уровне Pāli datasets и старых переводов, чем на уровне полного современного English corpus.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оригинальный текст: </w:t>
            </w:r>
            <w:r>
              <w:rPr>
                <w:rFonts w:ascii="Noto Sans" w:hAnsi="Noto Sans" w:eastAsia="Noto Sans"/>
                <w:sz w:val="17"/>
                <w:lang w:val="ru-RU"/>
              </w:rPr>
              <w:t>SuttaCentral Abhidhamma Piṭaka root collection, tipitaka.critical и tipitaka packages.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item-level TEI: </w:t>
            </w:r>
            <w:r>
              <w:rPr>
                <w:rFonts w:ascii="Noto Sans" w:hAnsi="Noto Sans" w:eastAsia="Noto Sans"/>
                <w:sz w:val="17"/>
                <w:lang w:val="ru-RU"/>
              </w:rPr>
              <w:t>TextGrid/GRETIL Kathāvatthu I–II под CC BY-NC-SA 4.0.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лицензированные переводы: </w:t>
            </w:r>
            <w:r>
              <w:rPr>
                <w:rFonts w:ascii="Noto Sans" w:hAnsi="Noto Sans" w:eastAsia="Noto Sans"/>
                <w:sz w:val="17"/>
                <w:lang w:val="ru-RU"/>
              </w:rPr>
              <w:t>PTS Psychological Ethics, Book of Analysis, Discourse on Elements, Designation of Human Types, Points of Controversy и Conditional Relations — CC BY-NC 3.0, обычно через покупку.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старый публичнодоменный слой: </w:t>
            </w:r>
            <w:r>
              <w:rPr>
                <w:rFonts w:ascii="Noto Sans" w:hAnsi="Noto Sans" w:eastAsia="Noto Sans"/>
                <w:sz w:val="17"/>
                <w:lang w:val="ru-RU"/>
              </w:rPr>
              <w:t>A Buddhist Manual of Psychological Ethics (1900) и Points of Controversy (1915).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поздние продолжения: </w:t>
            </w:r>
            <w:r>
              <w:rPr>
                <w:rFonts w:ascii="Noto Sans" w:hAnsi="Noto Sans" w:eastAsia="Noto Sans"/>
                <w:sz w:val="17"/>
                <w:lang w:val="ru-RU"/>
              </w:rPr>
              <w:t>Abhidhammatthasaṅgaha, Nāmarūpapariccheda, Paramatthavinicchaya и Saccasaṅkhepa; доступ неодинаков, часть PTS PDFs не имеет ясного reuse statement.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CC0 Pāli datasets; для перевода отдельных Kathāvatthu sections также пригоден TextGrid TEI при соблюдении NC/SA.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17">
              <w:r>
                <w:rPr>
                  <w:color w:val="1B6A87"/>
                  <w:b/>
                  <w:rFonts w:ascii="Noto Sans" w:hAnsi="Noto Sans" w:cs="Noto Sans"/>
                </w:rPr>
                <w:t>A21-R012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6">
              <w:r>
                <w:rPr>
                  <w:color w:val="1B6A87"/>
                  <w:b/>
                  <w:rFonts w:ascii="Noto Sans" w:hAnsi="Noto Sans" w:cs="Noto Sans"/>
                </w:rPr>
                <w:t>A21-R013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2">
              <w:r>
                <w:rPr>
                  <w:color w:val="1B6A87"/>
                  <w:b/>
                  <w:rFonts w:ascii="Noto Sans" w:hAnsi="Noto Sans" w:cs="Noto Sans"/>
                </w:rPr>
                <w:t>A21-R066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3">
              <w:r>
                <w:rPr>
                  <w:color w:val="1B6A87"/>
                  <w:b/>
                  <w:rFonts w:ascii="Noto Sans" w:hAnsi="Noto Sans" w:cs="Noto Sans"/>
                </w:rPr>
                <w:t>A21-R067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4">
              <w:r>
                <w:rPr>
                  <w:color w:val="1B6A87"/>
                  <w:b/>
                  <w:rFonts w:ascii="Noto Sans" w:hAnsi="Noto Sans" w:cs="Noto Sans"/>
                </w:rPr>
                <w:t>A21-R068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5">
              <w:r>
                <w:rPr>
                  <w:color w:val="1B6A87"/>
                  <w:b/>
                  <w:rFonts w:ascii="Noto Sans" w:hAnsi="Noto Sans" w:cs="Noto Sans"/>
                </w:rPr>
                <w:t>A21-R069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6">
              <w:r>
                <w:rPr>
                  <w:color w:val="1B6A87"/>
                  <w:b/>
                  <w:rFonts w:ascii="Noto Sans" w:hAnsi="Noto Sans" w:cs="Noto Sans"/>
                </w:rPr>
                <w:t>A21-R070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7">
              <w:r>
                <w:rPr>
                  <w:color w:val="1B6A87"/>
                  <w:b/>
                  <w:rFonts w:ascii="Noto Sans" w:hAnsi="Noto Sans" w:cs="Noto Sans"/>
                </w:rPr>
                <w:t>A21-R071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8">
              <w:r>
                <w:rPr>
                  <w:color w:val="1B6A87"/>
                  <w:b/>
                  <w:rFonts w:ascii="Noto Sans" w:hAnsi="Noto Sans" w:cs="Noto Sans"/>
                </w:rPr>
                <w:t>A21-R092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89">
              <w:r>
                <w:rPr>
                  <w:color w:val="1B6A87"/>
                  <w:b/>
                  <w:rFonts w:ascii="Noto Sans" w:hAnsi="Noto Sans" w:cs="Noto Sans"/>
                </w:rPr>
                <w:t>A21-R093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8">
              <w:r>
                <w:rPr>
                  <w:color w:val="1B6A87"/>
                  <w:b/>
                  <w:rFonts w:ascii="Noto Sans" w:hAnsi="Noto Sans" w:cs="Noto Sans"/>
                </w:rPr>
                <w:t>A21-R102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0">
              <w:r>
                <w:rPr>
                  <w:color w:val="1B6A87"/>
                  <w:b/>
                  <w:rFonts w:ascii="Noto Sans" w:hAnsi="Noto Sans" w:cs="Noto Sans"/>
                </w:rPr>
                <w:t>A21-R103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0">
              <w:r>
                <w:rPr>
                  <w:color w:val="1B6A87"/>
                  <w:b/>
                  <w:rFonts w:ascii="Noto Sans" w:hAnsi="Noto Sans" w:cs="Noto Sans"/>
                </w:rPr>
                <w:t>A21-R115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1">
              <w:r>
                <w:rPr>
                  <w:color w:val="1B6A87"/>
                  <w:b/>
                  <w:rFonts w:ascii="Noto Sans" w:hAnsi="Noto Sans" w:cs="Noto Sans"/>
                </w:rPr>
                <w:t>A21-R116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7">
              <w:r>
                <w:rPr>
                  <w:color w:val="1B6A87"/>
                  <w:b/>
                  <w:rFonts w:ascii="Noto Sans" w:hAnsi="Noto Sans" w:cs="Noto Sans"/>
                </w:rPr>
                <w:t>A21-R128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8">
              <w:r>
                <w:rPr>
                  <w:color w:val="1B6A87"/>
                  <w:b/>
                  <w:rFonts w:ascii="Noto Sans" w:hAnsi="Noto Sans" w:cs="Noto Sans"/>
                </w:rPr>
                <w:t>A21-R129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9">
              <w:r>
                <w:rPr>
                  <w:color w:val="1B6A87"/>
                  <w:b/>
                  <w:rFonts w:ascii="Noto Sans" w:hAnsi="Noto Sans" w:cs="Noto Sans"/>
                </w:rPr>
                <w:t>A21-R130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4">
              <w:r>
                <w:rPr>
                  <w:color w:val="1B6A87"/>
                  <w:b/>
                  <w:rFonts w:ascii="Noto Sans" w:hAnsi="Noto Sans" w:cs="Noto Sans"/>
                </w:rPr>
                <w:t>A21-R150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3.5. Dīpavaṃsa, Mahāvaṃsa и vaṃsa-линия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Хроники как институциональная память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Хроники включены не как прозрачный протокол событий, а как первичные тексты самоописания сангхи, династии и передачи дхаммы.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бесплатное чтение/скачивание: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Oldenberg Dīpavaṃsa (1879) и Geiger Mahāvaṃsa translation (1912) в Internet Archive.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машиночитаемый оригинал: </w:t>
            </w:r>
            <w:r>
              <w:rPr>
                <w:rFonts w:ascii="Noto Sans" w:hAnsi="Noto Sans" w:eastAsia="Noto Sans"/>
                <w:sz w:val="17"/>
                <w:lang w:val="ru-RU"/>
              </w:rPr>
              <w:t>TextGrid/GRETIL Dīpavaṃsa TEI record под CC BY-NC-SA 4.0.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современный научный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PTS Pāli Mahāvaṃsa, English Great Chronicle, Mahāvaṃsa-ṭīkā, Cūlavaṃsa and Extended Mahāvaṃsa — purchase, reuse rights not blanket-open.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продолжения: </w:t>
            </w:r>
            <w:r>
              <w:rPr>
                <w:rFonts w:ascii="Noto Sans" w:hAnsi="Noto Sans" w:eastAsia="Noto Sans"/>
                <w:sz w:val="17"/>
                <w:lang w:val="ru-RU"/>
              </w:rPr>
              <w:t>Cūlavaṃsa, Extended Mahāvaṃsa, Anāgatavaṃsa, Dāṭhāvaṃsa и Saddhammasaṅgaha.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preservation record: </w:t>
            </w:r>
            <w:r>
              <w:rPr>
                <w:rFonts w:ascii="Noto Sans" w:hAnsi="Noto Sans" w:eastAsia="Noto Sans"/>
                <w:sz w:val="17"/>
                <w:lang w:val="ru-RU"/>
              </w:rPr>
              <w:t>UNESCO Memory of the World entry for Mahāvaṃsa; это metadata-only, а не лицензированное facsimile.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public-domain scans и CC BY-NC-SA Dīpavaṃsa TEI; полного открытого Mahāvaṃsa TEI/XML пока не найдено.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92">
              <w:r>
                <w:rPr>
                  <w:color w:val="1B6A87"/>
                  <w:b/>
                  <w:rFonts w:ascii="Noto Sans" w:hAnsi="Noto Sans" w:cs="Noto Sans"/>
                </w:rPr>
                <w:t>A21-R094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3">
              <w:r>
                <w:rPr>
                  <w:color w:val="1B6A87"/>
                  <w:b/>
                  <w:rFonts w:ascii="Noto Sans" w:hAnsi="Noto Sans" w:cs="Noto Sans"/>
                </w:rPr>
                <w:t>A21-R095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7">
              <w:r>
                <w:rPr>
                  <w:color w:val="1B6A87"/>
                  <w:b/>
                  <w:rFonts w:ascii="Noto Sans" w:hAnsi="Noto Sans" w:cs="Noto Sans"/>
                </w:rPr>
                <w:t>A21-R101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1">
              <w:r>
                <w:rPr>
                  <w:color w:val="1B6A87"/>
                  <w:b/>
                  <w:rFonts w:ascii="Noto Sans" w:hAnsi="Noto Sans" w:cs="Noto Sans"/>
                </w:rPr>
                <w:t>A21-R117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4">
              <w:r>
                <w:rPr>
                  <w:color w:val="1B6A87"/>
                  <w:b/>
                  <w:rFonts w:ascii="Noto Sans" w:hAnsi="Noto Sans" w:cs="Noto Sans"/>
                </w:rPr>
                <w:t>A21-R118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5">
              <w:r>
                <w:rPr>
                  <w:color w:val="1B6A87"/>
                  <w:b/>
                  <w:rFonts w:ascii="Noto Sans" w:hAnsi="Noto Sans" w:cs="Noto Sans"/>
                </w:rPr>
                <w:t>A21-R119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6">
              <w:r>
                <w:rPr>
                  <w:color w:val="1B6A87"/>
                  <w:b/>
                  <w:rFonts w:ascii="Noto Sans" w:hAnsi="Noto Sans" w:cs="Noto Sans"/>
                </w:rPr>
                <w:t>A21-R120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2">
              <w:r>
                <w:rPr>
                  <w:color w:val="1B6A87"/>
                  <w:b/>
                  <w:rFonts w:ascii="Noto Sans" w:hAnsi="Noto Sans" w:cs="Noto Sans"/>
                </w:rPr>
                <w:t>A21-R121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3">
              <w:r>
                <w:rPr>
                  <w:color w:val="1B6A87"/>
                  <w:b/>
                  <w:rFonts w:ascii="Noto Sans" w:hAnsi="Noto Sans" w:cs="Noto Sans"/>
                </w:rPr>
                <w:t>A21-R122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4">
              <w:r>
                <w:rPr>
                  <w:color w:val="1B6A87"/>
                  <w:b/>
                  <w:rFonts w:ascii="Noto Sans" w:hAnsi="Noto Sans" w:cs="Noto Sans"/>
                </w:rPr>
                <w:t>A21-R123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45">
              <w:r>
                <w:rPr>
                  <w:color w:val="1B6A87"/>
                  <w:b/>
                  <w:rFonts w:ascii="Noto Sans" w:hAnsi="Noto Sans" w:cs="Noto Sans"/>
                </w:rPr>
                <w:t>A21-R124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7">
              <w:r>
                <w:rPr>
                  <w:color w:val="1B6A87"/>
                  <w:b/>
                  <w:rFonts w:ascii="Noto Sans" w:hAnsi="Noto Sans" w:cs="Noto Sans"/>
                </w:rPr>
                <w:t>A21-R131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98">
              <w:r>
                <w:rPr>
                  <w:color w:val="1B6A87"/>
                  <w:b/>
                  <w:rFonts w:ascii="Noto Sans" w:hAnsi="Noto Sans" w:cs="Noto Sans"/>
                </w:rPr>
                <w:t>A21-R147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3.6. Visuddhimagga и Vimuttimagga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Систематизация пути и её предшествующая линия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Visuddhimagga — центральный commentary/compendium A21; Vimuttimagga включён как конкретный жанровый и содержательный antecedent, сохранившийся через Chinese transmission.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бесплатное чтение: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BPS/Ñāṇamoli Path of Purification free-distribution edition.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Лучшее скачивание: </w:t>
            </w:r>
            <w:r>
              <w:rPr>
                <w:rFonts w:ascii="Noto Sans" w:hAnsi="Noto Sans" w:eastAsia="Noto Sans"/>
                <w:sz w:val="17"/>
                <w:lang w:val="ru-RU"/>
              </w:rPr>
              <w:t>прямой BPS PDF preservation copy; повторная публикация регулируется custom permission, а не CC.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старый публичнодоменный перевод: </w:t>
            </w:r>
            <w:r>
              <w:rPr>
                <w:rFonts w:ascii="Noto Sans" w:hAnsi="Noto Sans" w:eastAsia="Noto Sans"/>
                <w:sz w:val="17"/>
                <w:lang w:val="ru-RU"/>
              </w:rPr>
              <w:t>Pe Maung Tin, Path of Purity, volume I (1923).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коммерческий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официальное Pariyatti/BPS edition Ñāṇamoli.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antecedent original witness: </w:t>
            </w:r>
            <w:r>
              <w:rPr>
                <w:rFonts w:ascii="Noto Sans" w:hAnsi="Noto Sans" w:eastAsia="Noto Sans"/>
                <w:sz w:val="17"/>
                <w:lang w:val="ru-RU"/>
              </w:rPr>
              <w:t>CBETA T1648 Chinese Vimuttimagga TEI/XML under CC BY-NC-SA 4.0.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современный English Vimuttimagga: </w:t>
            </w:r>
            <w:r>
              <w:rPr>
                <w:rFonts w:ascii="Noto Sans" w:hAnsi="Noto Sans" w:eastAsia="Noto Sans"/>
                <w:sz w:val="17"/>
                <w:lang w:val="ru-RU"/>
              </w:rPr>
              <w:t>University of Hong Kong 2021 edition — free read/download, but reuse rights not established.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Основа собственного перевода: </w:t>
            </w:r>
            <w:r>
              <w:rPr>
                <w:rFonts w:ascii="Noto Sans" w:hAnsi="Noto Sans" w:eastAsia="Noto Sans"/>
                <w:sz w:val="17"/>
                <w:lang w:val="ru-RU"/>
              </w:rPr>
              <w:t>Pāli Visuddhimagga root text из открытого канонико-комментаторского слоя или доступного PD facsimile; для Vimuttimagga — Chinese T1648 XML, с соблюдением CBETA NC/SA.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99">
              <w:r>
                <w:rPr>
                  <w:color w:val="1B6A87"/>
                  <w:b/>
                  <w:rFonts w:ascii="Noto Sans" w:hAnsi="Noto Sans" w:cs="Noto Sans"/>
                </w:rPr>
                <w:t>A21-R097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0">
              <w:r>
                <w:rPr>
                  <w:color w:val="1B6A87"/>
                  <w:b/>
                  <w:rFonts w:ascii="Noto Sans" w:hAnsi="Noto Sans" w:cs="Noto Sans"/>
                </w:rPr>
                <w:t>A21-R106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1">
              <w:r>
                <w:rPr>
                  <w:color w:val="1B6A87"/>
                  <w:b/>
                  <w:rFonts w:ascii="Noto Sans" w:hAnsi="Noto Sans" w:cs="Noto Sans"/>
                </w:rPr>
                <w:t>A21-R107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36">
              <w:r>
                <w:rPr>
                  <w:color w:val="1B6A87"/>
                  <w:b/>
                  <w:rFonts w:ascii="Noto Sans" w:hAnsi="Noto Sans" w:cs="Noto Sans"/>
                </w:rPr>
                <w:t>A21-R108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29">
              <w:r>
                <w:rPr>
                  <w:color w:val="1B6A87"/>
                  <w:b/>
                  <w:rFonts w:ascii="Noto Sans" w:hAnsi="Noto Sans" w:cs="Noto Sans"/>
                </w:rPr>
                <w:t>A21-R109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2">
              <w:r>
                <w:rPr>
                  <w:color w:val="1B6A87"/>
                  <w:b/>
                  <w:rFonts w:ascii="Noto Sans" w:hAnsi="Noto Sans" w:cs="Noto Sans"/>
                </w:rPr>
                <w:t>A21-R110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3.7. Aṭṭhakathā, manuals и поздняя scholastic transmission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Комментарий как самостоятельный корпус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В этой зоне особенно важно не смешивать утраченный Sinhala substrate с сохранившимися Pāli redactions и поздними palm-leaf witnesses.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навигационный вход: </w:t>
            </w:r>
            <w:r>
              <w:rPr>
                <w:rFonts w:ascii="Noto Sans" w:hAnsi="Noto Sans" w:eastAsia="Noto Sans"/>
                <w:sz w:val="17"/>
                <w:lang w:val="ru-RU"/>
              </w:rPr>
              <w:t>PTS commentary inventory и non-canonical list.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явно лицензированные переводы: </w:t>
            </w:r>
            <w:r>
              <w:rPr>
                <w:rFonts w:ascii="Noto Sans" w:hAnsi="Noto Sans" w:eastAsia="Noto Sans"/>
                <w:sz w:val="17"/>
                <w:lang w:val="ru-RU"/>
              </w:rPr>
              <w:t>Dispeller of Delusion, The Guide, Minor Readings/Illustrator, Piṭaka Disclosure — CC BY-NC 4.0.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поздние manuscript witnesses: </w:t>
            </w:r>
            <w:r>
              <w:rPr>
                <w:rFonts w:ascii="Noto Sans" w:hAnsi="Noto Sans" w:eastAsia="Noto Sans"/>
                <w:sz w:val="17"/>
                <w:lang w:val="ru-RU"/>
              </w:rPr>
              <w:t>Sammohavinodanī, Petavatthu-aṭṭhakathā, Atthasālinī и Vinayālaṅkāra-ṭīkā в MMDL.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Права на изображения: </w:t>
            </w:r>
            <w:r>
              <w:rPr>
                <w:rFonts w:ascii="Noto Sans" w:hAnsi="Noto Sans" w:eastAsia="Noto Sans"/>
                <w:sz w:val="17"/>
                <w:lang w:val="ru-RU"/>
              </w:rPr>
              <w:t>MMDL позволяет просмотр/скачивание, но project-level All Rights Reserved и отсутствие clear item reuse делают эти записи link/research-copy rather than mirror.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Главный пробел: </w:t>
            </w:r>
            <w:r>
              <w:rPr>
                <w:rFonts w:ascii="Noto Sans" w:hAnsi="Noto Sans" w:eastAsia="Noto Sans"/>
                <w:sz w:val="17"/>
                <w:lang w:val="ru-RU"/>
              </w:rPr>
              <w:t>полный rights-verified machine-readable corpus Dhammapāla/Buddhadatta и реконструируемый Sinhala commentary substrate не собраны.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вариант: </w:t>
            </w:r>
            <w:r>
              <w:rPr>
                <w:rFonts w:ascii="Noto Sans" w:hAnsi="Noto Sans" w:eastAsia="Noto Sans"/>
                <w:sz w:val="17"/>
                <w:lang w:val="ru-RU"/>
              </w:rPr>
              <w:t>лицензированные PTS translations для NC use; Pāli originals — через CC0/PD/open-transcription layers where specifically covered.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12">
              <w:r>
                <w:rPr>
                  <w:color w:val="1B6A87"/>
                  <w:b/>
                  <w:rFonts w:ascii="Noto Sans" w:hAnsi="Noto Sans" w:cs="Noto Sans"/>
                </w:rPr>
                <w:t>A21-R002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3">
              <w:r>
                <w:rPr>
                  <w:color w:val="1B6A87"/>
                  <w:b/>
                  <w:rFonts w:ascii="Noto Sans" w:hAnsi="Noto Sans" w:cs="Noto Sans"/>
                </w:rPr>
                <w:t>A21-R003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3">
              <w:r>
                <w:rPr>
                  <w:color w:val="1B6A87"/>
                  <w:b/>
                  <w:rFonts w:ascii="Noto Sans" w:hAnsi="Noto Sans" w:cs="Noto Sans"/>
                </w:rPr>
                <w:t>A21-R072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4">
              <w:r>
                <w:rPr>
                  <w:color w:val="1B6A87"/>
                  <w:b/>
                  <w:rFonts w:ascii="Noto Sans" w:hAnsi="Noto Sans" w:cs="Noto Sans"/>
                </w:rPr>
                <w:t>A21-R073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5">
              <w:r>
                <w:rPr>
                  <w:color w:val="1B6A87"/>
                  <w:b/>
                  <w:rFonts w:ascii="Noto Sans" w:hAnsi="Noto Sans" w:cs="Noto Sans"/>
                </w:rPr>
                <w:t>A21-R074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06">
              <w:r>
                <w:rPr>
                  <w:color w:val="1B6A87"/>
                  <w:b/>
                  <w:rFonts w:ascii="Noto Sans" w:hAnsi="Noto Sans" w:cs="Noto Sans"/>
                </w:rPr>
                <w:t>A21-R076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0">
              <w:r>
                <w:rPr>
                  <w:color w:val="1B6A87"/>
                  <w:b/>
                  <w:rFonts w:ascii="Noto Sans" w:hAnsi="Noto Sans" w:cs="Noto Sans"/>
                </w:rPr>
                <w:t>A21-R132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A21-R138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A21-R139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A21-R140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A21-R141</w:t>
              </w:r>
            </w:hyperlink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3.8. Рукописи, надписи и факсимиле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6" w:space="0" w:color="154C5B"/>
          <w:left w:val="single" w:sz="6" w:space="0" w:color="154C5B"/>
          <w:bottom w:val="single" w:sz="6" w:space="0" w:color="154C5B"/>
          <w:right w:val="single" w:sz="6" w:space="0" w:color="154C5B"/>
          <w:insideH w:val="single" w:sz="6" w:space="0" w:color="154C5B"/>
          <w:insideV w:val="single" w:sz="6" w:space="0" w:color="154C5B"/>
        </w:tblBorders>
      </w:tblPr>
      <w:tblGrid>
        <w:gridCol w:w="9922"/>
      </w:tblGrid>
      <w:tr>
        <w:tc>
          <w:tcPr>
            <w:tcW w:type="dxa" w:w="9922"/>
            <w:tcMar>
              <w:top w:w="110" w:type="dxa"/>
              <w:start w:w="130" w:type="dxa"/>
              <w:bottom w:w="110" w:type="dxa"/>
              <w:end w:w="130" w:type="dxa"/>
            </w:tcMar>
            <w:shd w:fill="FFFFFF"/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erif" w:hAnsi="Noto Serif" w:eastAsia="Noto Serif"/>
                <w:b/>
                <w:color w:val="0F3945"/>
                <w:sz w:val="22"/>
                <w:lang w:val="ru-RU"/>
              </w:rPr>
              <w:t>Материальные свидетели и региональные канонические редакции</w:t>
            </w:r>
          </w:p>
          <w:p>
            <w:pPr>
              <w:keepNext w:val="0"/>
              <w:widowControl/>
              <w:spacing w:before="0" w:after="80" w:line="259" w:lineRule="auto"/>
            </w:pPr>
            <w:r>
              <w:rPr>
                <w:rFonts w:ascii="Noto Sans" w:hAnsi="Noto Sans" w:eastAsia="Noto Sans"/>
                <w:i/>
                <w:color w:val="60707A"/>
                <w:sz w:val="17"/>
                <w:lang w:val="ru-RU"/>
              </w:rPr>
              <w:t>Здесь лучшая стратегия — сохранять item-level metadata, shelfmark, IIIF manifest и права отдельно от текста, поскольку права на изображения часто строже прав на древнее содержание.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IIIF-вход: </w:t>
            </w:r>
            <w:r>
              <w:rPr>
                <w:rFonts w:ascii="Noto Sans" w:hAnsi="Noto Sans" w:eastAsia="Noto Sans"/>
                <w:sz w:val="17"/>
                <w:lang w:val="ru-RU"/>
              </w:rPr>
              <w:t>Digital Library of Northern Thai Manuscripts: конкретные manuscript manifests, CC BY-NC 4.0 для eligible images.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крупный palm-leaf catalogue: </w:t>
            </w:r>
            <w:r>
              <w:rPr>
                <w:rFonts w:ascii="Noto Sans" w:hAnsi="Noto Sans" w:eastAsia="Noto Sans"/>
                <w:sz w:val="17"/>
                <w:lang w:val="ru-RU"/>
              </w:rPr>
              <w:t>BDRC/Fragile Palm Leaves — бесплатная регистрация, item-level access policy, без blanket licence.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Myanmar witness portal: </w:t>
            </w:r>
            <w:r>
              <w:rPr>
                <w:rFonts w:ascii="Noto Sans" w:hAnsi="Noto Sans" w:eastAsia="Noto Sans"/>
                <w:sz w:val="17"/>
                <w:lang w:val="ru-RU"/>
              </w:rPr>
              <w:t>MMDL: полноэкранные фотографии и catalogue access, но rights review required.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Лучший надписной канон: </w:t>
            </w:r>
            <w:r>
              <w:rPr>
                <w:rFonts w:ascii="Noto Sans" w:hAnsi="Noto Sans" w:eastAsia="Noto Sans"/>
                <w:sz w:val="17"/>
                <w:lang w:val="ru-RU"/>
              </w:rPr>
              <w:t>Kuthodaw 729 marble slabs; UNESCO and Kuthodaw digital project provide identification and partial digital access, but no blanket image licence.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Лучшие исторические printed witnesses: </w:t>
            </w:r>
            <w:r>
              <w:rPr>
                <w:rFonts w:ascii="Noto Sans" w:hAnsi="Noto Sans" w:eastAsia="Noto Sans"/>
                <w:sz w:val="17"/>
                <w:lang w:val="ru-RU"/>
              </w:rPr>
              <w:t>Royal Thai, Sixth Council, Nalanda Devanagari, BJT and Simon Hewavitarne series.</w:t>
            </w:r>
          </w:p>
          <w:p>
            <w:pPr>
              <w:keepNext w:val="0"/>
              <w:widowControl/>
              <w:spacing w:before="0" w:after="40" w:line="252" w:lineRule="auto"/>
            </w:pPr>
            <w:r>
              <w:rPr>
                <w:rFonts w:ascii="Noto Sans" w:hAnsi="Noto Sans" w:eastAsia="Noto Sans"/>
                <w:b/>
                <w:color w:val="0F3945"/>
                <w:sz w:val="17"/>
                <w:lang w:val="ru-RU"/>
              </w:rPr>
              <w:t xml:space="preserve">Наиболее свободный слой: </w:t>
            </w:r>
            <w:r>
              <w:rPr>
                <w:rFonts w:ascii="Noto Sans" w:hAnsi="Noto Sans" w:eastAsia="Noto Sans"/>
                <w:sz w:val="17"/>
                <w:lang w:val="ru-RU"/>
              </w:rPr>
              <w:t>DLNTM CC BY-NC eligible images и public-domain old scans; зеркалировать только те items, где licence applies directly.</w:t>
            </w:r>
          </w:p>
          <w:p>
            <w:pPr>
              <w:keepNext w:val="0"/>
              <w:widowControl/>
              <w:spacing w:before="0" w:after="0" w:line="240" w:lineRule="auto"/>
            </w:pPr>
            <w:r>
              <w:rPr>
                <w:rFonts w:ascii="Noto Sans" w:hAnsi="Noto Sans" w:eastAsia="Noto Sans"/>
                <w:b/>
                <w:color w:val="60707A"/>
                <w:sz w:val="15"/>
                <w:lang w:val="ru-RU"/>
              </w:rPr>
              <w:t xml:space="preserve">Опорные записи: </w:t>
            </w:r>
            <w:hyperlink r:id="rId14">
              <w:r>
                <w:rPr>
                  <w:color w:val="1B6A87"/>
                  <w:b/>
                  <w:rFonts w:ascii="Noto Sans" w:hAnsi="Noto Sans" w:cs="Noto Sans"/>
                </w:rPr>
                <w:t>A21-R019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4">
              <w:r>
                <w:rPr>
                  <w:color w:val="1B6A87"/>
                  <w:b/>
                  <w:rFonts w:ascii="Noto Sans" w:hAnsi="Noto Sans" w:cs="Noto Sans"/>
                </w:rPr>
                <w:t>A21-R021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4">
              <w:r>
                <w:rPr>
                  <w:color w:val="1B6A87"/>
                  <w:b/>
                  <w:rFonts w:ascii="Noto Sans" w:hAnsi="Noto Sans" w:cs="Noto Sans"/>
                </w:rPr>
                <w:t>A21-R022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4">
              <w:r>
                <w:rPr>
                  <w:color w:val="1B6A87"/>
                  <w:b/>
                  <w:rFonts w:ascii="Noto Sans" w:hAnsi="Noto Sans" w:cs="Noto Sans"/>
                </w:rPr>
                <w:t>A21-R023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18">
              <w:r>
                <w:rPr>
                  <w:color w:val="1B6A87"/>
                  <w:b/>
                  <w:rFonts w:ascii="Noto Sans" w:hAnsi="Noto Sans" w:cs="Noto Sans"/>
                </w:rPr>
                <w:t>A21-R030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A21-R031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4">
              <w:r>
                <w:rPr>
                  <w:color w:val="1B6A87"/>
                  <w:b/>
                  <w:rFonts w:ascii="Noto Sans" w:hAnsi="Noto Sans" w:cs="Noto Sans"/>
                </w:rPr>
                <w:t>A21-R033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5">
              <w:r>
                <w:rPr>
                  <w:color w:val="1B6A87"/>
                  <w:b/>
                  <w:rFonts w:ascii="Noto Sans" w:hAnsi="Noto Sans" w:cs="Noto Sans"/>
                </w:rPr>
                <w:t>A21-R034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6">
              <w:r>
                <w:rPr>
                  <w:color w:val="1B6A87"/>
                  <w:b/>
                  <w:rFonts w:ascii="Noto Sans" w:hAnsi="Noto Sans" w:cs="Noto Sans"/>
                </w:rPr>
                <w:t>A21-R035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7">
              <w:r>
                <w:rPr>
                  <w:color w:val="1B6A87"/>
                  <w:b/>
                  <w:rFonts w:ascii="Noto Sans" w:hAnsi="Noto Sans" w:cs="Noto Sans"/>
                </w:rPr>
                <w:t>A21-R133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8">
              <w:r>
                <w:rPr>
                  <w:color w:val="1B6A87"/>
                  <w:b/>
                  <w:rFonts w:ascii="Noto Sans" w:hAnsi="Noto Sans" w:cs="Noto Sans"/>
                </w:rPr>
                <w:t>A21-R134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59">
              <w:r>
                <w:rPr>
                  <w:color w:val="1B6A87"/>
                  <w:b/>
                  <w:rFonts w:ascii="Noto Sans" w:hAnsi="Noto Sans" w:cs="Noto Sans"/>
                </w:rPr>
                <w:t>A21-R135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0">
              <w:r>
                <w:rPr>
                  <w:color w:val="1B6A87"/>
                  <w:b/>
                  <w:rFonts w:ascii="Noto Sans" w:hAnsi="Noto Sans" w:cs="Noto Sans"/>
                </w:rPr>
                <w:t>A21-R136</w:t>
              </w:r>
            </w:hyperlink>
            <w:r>
              <w:rPr>
                <w:rFonts w:ascii="Noto Sans" w:hAnsi="Noto Sans" w:eastAsia="Noto Sans"/>
                <w:color w:val="60707A"/>
                <w:sz w:val="15"/>
                <w:lang w:val="ru-RU"/>
              </w:rPr>
              <w:t xml:space="preserve">, </w:t>
            </w:r>
            <w:hyperlink r:id="rId61">
              <w:r>
                <w:rPr>
                  <w:color w:val="1B6A87"/>
                  <w:b/>
                  <w:rFonts w:ascii="Noto Sans" w:hAnsi="Noto Sans" w:cs="Noto Sans"/>
                </w:rPr>
                <w:t>A21-R137</w:t>
              </w:r>
            </w:hyperlink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4. Карта прав и практического использования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Права сгруппированы по реально применимым слоям. Ни одна из нижеследующих рекомендаций не распространяется автоматически на соседний перевод, фотографию, commentary apparatus, metadata export или весь сайт.</w:t>
      </w: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4.1. Наиболее свободный слой: CC0 и общественное достояние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MIRROR_OK / FULLTEXT_INDEX_OK / EMBEDDINGS_OK</w:t>
      </w:r>
      <w:r>
        <w:rPr>
          <w:rFonts w:ascii="Noto Sans" w:hAnsi="Noto Sans" w:eastAsia="Noto Sans"/>
          <w:sz w:val="18"/>
          <w:lang w:val="ru-RU"/>
        </w:rPr>
        <w:t xml:space="preserve"> — SuttaCentral original data, Bilara published repository и CRAN packages tipitaka/tipitaka.critical. Это наиболее сильная основа для локальной исследовательской копии, машинного поиска, embeddings, переразметки и собственного перевода с Pāli; сохранять provenance и release/version metadata всё равно желательно.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OWN_TRANSLATION_POSSIBLE</w:t>
      </w:r>
      <w:r>
        <w:rPr>
          <w:rFonts w:ascii="Noto Sans" w:hAnsi="Noto Sans" w:eastAsia="Noto Sans"/>
          <w:sz w:val="18"/>
          <w:lang w:val="ru-RU"/>
        </w:rPr>
        <w:t xml:space="preserve"> — Pāli root texts и CC0 datasets дают чистую исходную основу в пределах реально покрываемого текста. Тег не распространяется на утраченный Sinhala layer и не делает свободным современный protected apparatus.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LOCAL_RESEARCH_COPY / OCR_OK</w:t>
      </w:r>
      <w:r>
        <w:rPr>
          <w:rFonts w:ascii="Noto Sans" w:hAnsi="Noto Sans" w:eastAsia="Noto Sans"/>
          <w:sz w:val="18"/>
          <w:lang w:val="ru-RU"/>
        </w:rPr>
        <w:t xml:space="preserve"> — public-domain old editions and scans: Oldenberg, Geiger, Rhys Davids, Pe Maung Tin и Sacred Books of the East. Для зеркалирования конкретного digital object требуется различать PD underlying edition и условия репозитория/скана.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5">
        <w:r>
          <w:rPr>
            <w:color w:val="1B6A87"/>
            <w:b/>
            <w:rFonts w:ascii="Noto Sans" w:hAnsi="Noto Sans" w:cs="Noto Sans"/>
          </w:rPr>
          <w:t>A21-R008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6">
        <w:r>
          <w:rPr>
            <w:color w:val="1B6A87"/>
            <w:b/>
            <w:rFonts w:ascii="Noto Sans" w:hAnsi="Noto Sans" w:cs="Noto Sans"/>
          </w:rPr>
          <w:t>A21-R009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7">
        <w:r>
          <w:rPr>
            <w:color w:val="1B6A87"/>
            <w:b/>
            <w:rFonts w:ascii="Noto Sans" w:hAnsi="Noto Sans" w:cs="Noto Sans"/>
          </w:rPr>
          <w:t>A21-R012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6">
        <w:r>
          <w:rPr>
            <w:color w:val="1B6A87"/>
            <w:b/>
            <w:rFonts w:ascii="Noto Sans" w:hAnsi="Noto Sans" w:cs="Noto Sans"/>
          </w:rPr>
          <w:t>A21-R013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3">
        <w:r>
          <w:rPr>
            <w:color w:val="1B6A87"/>
            <w:b/>
            <w:rFonts w:ascii="Noto Sans" w:hAnsi="Noto Sans" w:cs="Noto Sans"/>
          </w:rPr>
          <w:t>A21-R084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4">
        <w:r>
          <w:rPr>
            <w:color w:val="1B6A87"/>
            <w:b/>
            <w:rFonts w:ascii="Noto Sans" w:hAnsi="Noto Sans" w:cs="Noto Sans"/>
          </w:rPr>
          <w:t>A21-R085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5">
        <w:r>
          <w:rPr>
            <w:color w:val="1B6A87"/>
            <w:b/>
            <w:rFonts w:ascii="Noto Sans" w:hAnsi="Noto Sans" w:cs="Noto Sans"/>
          </w:rPr>
          <w:t>A21-R086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0">
        <w:r>
          <w:rPr>
            <w:color w:val="1B6A87"/>
            <w:b/>
            <w:rFonts w:ascii="Noto Sans" w:hAnsi="Noto Sans" w:cs="Noto Sans"/>
          </w:rPr>
          <w:t>A21-R087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8">
        <w:r>
          <w:rPr>
            <w:color w:val="1B6A87"/>
            <w:b/>
            <w:rFonts w:ascii="Noto Sans" w:hAnsi="Noto Sans" w:cs="Noto Sans"/>
          </w:rPr>
          <w:t>A21-R092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9">
        <w:r>
          <w:rPr>
            <w:color w:val="1B6A87"/>
            <w:b/>
            <w:rFonts w:ascii="Noto Sans" w:hAnsi="Noto Sans" w:cs="Noto Sans"/>
          </w:rPr>
          <w:t>A21-R093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2">
        <w:r>
          <w:rPr>
            <w:color w:val="1B6A87"/>
            <w:b/>
            <w:rFonts w:ascii="Noto Sans" w:hAnsi="Noto Sans" w:cs="Noto Sans"/>
          </w:rPr>
          <w:t>A21-R094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3">
        <w:r>
          <w:rPr>
            <w:color w:val="1B6A87"/>
            <w:b/>
            <w:rFonts w:ascii="Noto Sans" w:hAnsi="Noto Sans" w:cs="Noto Sans"/>
          </w:rPr>
          <w:t>A21-R095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6">
        <w:r>
          <w:rPr>
            <w:color w:val="1B6A87"/>
            <w:b/>
            <w:rFonts w:ascii="Noto Sans" w:hAnsi="Noto Sans" w:cs="Noto Sans"/>
          </w:rPr>
          <w:t>A21-R096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9">
        <w:r>
          <w:rPr>
            <w:color w:val="1B6A87"/>
            <w:b/>
            <w:rFonts w:ascii="Noto Sans" w:hAnsi="Noto Sans" w:cs="Noto Sans"/>
          </w:rPr>
          <w:t>A21-R097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4.2. Некоммерческие открытые лицензии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MIRROR_NONCOMMERCIAL / MIRROR_WITH_ATTRIBUTION</w:t>
      </w:r>
      <w:r>
        <w:rPr>
          <w:rFonts w:ascii="Noto Sans" w:hAnsi="Noto Sans" w:eastAsia="Noto Sans"/>
          <w:sz w:val="18"/>
          <w:lang w:val="ru-RU"/>
        </w:rPr>
        <w:t xml:space="preserve"> — PTS CC BY-NC 3.0/4.0 translations, TextGrid/GRETIL CC BY-NC-SA 4.0 TEI records, CBETA Category A TEI/XML, DLNTM eligible images и Digital Pāli Dictionary datasets. Указывать авторство, источник, лицензию и изменения.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SHAREALIKE_REQUIRED</w:t>
      </w:r>
      <w:r>
        <w:rPr>
          <w:rFonts w:ascii="Noto Sans" w:hAnsi="Noto Sans" w:eastAsia="Noto Sans"/>
          <w:sz w:val="18"/>
          <w:lang w:val="ru-RU"/>
        </w:rPr>
        <w:t xml:space="preserve"> — TextGrid/GRETIL и CBETA materials под BY-NC-SA требуют распространять производный материал на совместимых условиях. Это особенно важно для исправленных TEI, segmented exports и собственного перевода, если он юридически является адаптацией конкретного licensed edition rather than нового перевода с независимого Pāli witness.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FULLTEXT_INDEX_OK / EMBEDDINGS_OK</w:t>
      </w:r>
      <w:r>
        <w:rPr>
          <w:rFonts w:ascii="Noto Sans" w:hAnsi="Noto Sans" w:eastAsia="Noto Sans"/>
          <w:sz w:val="18"/>
          <w:lang w:val="ru-RU"/>
        </w:rPr>
        <w:t xml:space="preserve"> — обычно допустимы для ToS как некоммерческого проекта в пределах licence scope, но dataset release должен сохранять attribution/SA where applicable. Для музейных/рукописных изображений не переносить text licence на image file.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07">
        <w:r>
          <w:rPr>
            <w:color w:val="1B6A87"/>
            <w:b/>
            <w:rFonts w:ascii="Noto Sans" w:hAnsi="Noto Sans" w:cs="Noto Sans"/>
          </w:rPr>
          <w:t>A21-R028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8">
        <w:r>
          <w:rPr>
            <w:color w:val="1B6A87"/>
            <w:b/>
            <w:rFonts w:ascii="Noto Sans" w:hAnsi="Noto Sans" w:cs="Noto Sans"/>
          </w:rPr>
          <w:t>A21-R029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2">
        <w:r>
          <w:rPr>
            <w:color w:val="1B6A87"/>
            <w:b/>
            <w:rFonts w:ascii="Noto Sans" w:hAnsi="Noto Sans" w:cs="Noto Sans"/>
          </w:rPr>
          <w:t>A21-R062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9">
        <w:r>
          <w:rPr>
            <w:color w:val="1B6A87"/>
            <w:b/>
            <w:rFonts w:ascii="Noto Sans" w:hAnsi="Noto Sans" w:cs="Noto Sans"/>
          </w:rPr>
          <w:t>A21-R063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0">
        <w:r>
          <w:rPr>
            <w:color w:val="1B6A87"/>
            <w:b/>
            <w:rFonts w:ascii="Noto Sans" w:hAnsi="Noto Sans" w:cs="Noto Sans"/>
          </w:rPr>
          <w:t>A21-R064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1">
        <w:r>
          <w:rPr>
            <w:color w:val="1B6A87"/>
            <w:b/>
            <w:rFonts w:ascii="Noto Sans" w:hAnsi="Noto Sans" w:cs="Noto Sans"/>
          </w:rPr>
          <w:t>A21-R065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2">
        <w:r>
          <w:rPr>
            <w:color w:val="1B6A87"/>
            <w:b/>
            <w:rFonts w:ascii="Noto Sans" w:hAnsi="Noto Sans" w:cs="Noto Sans"/>
          </w:rPr>
          <w:t>A21-R066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3">
        <w:r>
          <w:rPr>
            <w:color w:val="1B6A87"/>
            <w:b/>
            <w:rFonts w:ascii="Noto Sans" w:hAnsi="Noto Sans" w:cs="Noto Sans"/>
          </w:rPr>
          <w:t>A21-R067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4">
        <w:r>
          <w:rPr>
            <w:color w:val="1B6A87"/>
            <w:b/>
            <w:rFonts w:ascii="Noto Sans" w:hAnsi="Noto Sans" w:cs="Noto Sans"/>
          </w:rPr>
          <w:t>A21-R068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5">
        <w:r>
          <w:rPr>
            <w:color w:val="1B6A87"/>
            <w:b/>
            <w:rFonts w:ascii="Noto Sans" w:hAnsi="Noto Sans" w:cs="Noto Sans"/>
          </w:rPr>
          <w:t>A21-R069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6">
        <w:r>
          <w:rPr>
            <w:color w:val="1B6A87"/>
            <w:b/>
            <w:rFonts w:ascii="Noto Sans" w:hAnsi="Noto Sans" w:cs="Noto Sans"/>
          </w:rPr>
          <w:t>A21-R070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87">
        <w:r>
          <w:rPr>
            <w:color w:val="1B6A87"/>
            <w:b/>
            <w:rFonts w:ascii="Noto Sans" w:hAnsi="Noto Sans" w:cs="Noto Sans"/>
          </w:rPr>
          <w:t>A21-R071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3">
        <w:r>
          <w:rPr>
            <w:color w:val="1B6A87"/>
            <w:b/>
            <w:rFonts w:ascii="Noto Sans" w:hAnsi="Noto Sans" w:cs="Noto Sans"/>
          </w:rPr>
          <w:t>A21-R072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4">
        <w:r>
          <w:rPr>
            <w:color w:val="1B6A87"/>
            <w:b/>
            <w:rFonts w:ascii="Noto Sans" w:hAnsi="Noto Sans" w:cs="Noto Sans"/>
          </w:rPr>
          <w:t>A21-R073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5">
        <w:r>
          <w:rPr>
            <w:color w:val="1B6A87"/>
            <w:b/>
            <w:rFonts w:ascii="Noto Sans" w:hAnsi="Noto Sans" w:cs="Noto Sans"/>
          </w:rPr>
          <w:t>A21-R074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2">
        <w:r>
          <w:rPr>
            <w:color w:val="1B6A87"/>
            <w:b/>
            <w:rFonts w:ascii="Noto Sans" w:hAnsi="Noto Sans" w:cs="Noto Sans"/>
          </w:rPr>
          <w:t>A21-R075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6">
        <w:r>
          <w:rPr>
            <w:color w:val="1B6A87"/>
            <w:b/>
            <w:rFonts w:ascii="Noto Sans" w:hAnsi="Noto Sans" w:cs="Noto Sans"/>
          </w:rPr>
          <w:t>A21-R076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7">
        <w:r>
          <w:rPr>
            <w:color w:val="1B6A87"/>
            <w:b/>
            <w:rFonts w:ascii="Noto Sans" w:hAnsi="Noto Sans" w:cs="Noto Sans"/>
          </w:rPr>
          <w:t>A21-R101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8">
        <w:r>
          <w:rPr>
            <w:color w:val="1B6A87"/>
            <w:b/>
            <w:rFonts w:ascii="Noto Sans" w:hAnsi="Noto Sans" w:cs="Noto Sans"/>
          </w:rPr>
          <w:t>A21-R102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0">
        <w:r>
          <w:rPr>
            <w:color w:val="1B6A87"/>
            <w:b/>
            <w:rFonts w:ascii="Noto Sans" w:hAnsi="Noto Sans" w:cs="Noto Sans"/>
          </w:rPr>
          <w:t>A21-R103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3">
        <w:r>
          <w:rPr>
            <w:color w:val="1B6A87"/>
            <w:b/>
            <w:rFonts w:ascii="Noto Sans" w:hAnsi="Noto Sans" w:cs="Noto Sans"/>
          </w:rPr>
          <w:t>A21-R104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4">
        <w:r>
          <w:rPr>
            <w:color w:val="1B6A87"/>
            <w:b/>
            <w:rFonts w:ascii="Noto Sans" w:hAnsi="Noto Sans" w:cs="Noto Sans"/>
          </w:rPr>
          <w:t>A21-R105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9">
        <w:r>
          <w:rPr>
            <w:color w:val="1B6A87"/>
            <w:b/>
            <w:rFonts w:ascii="Noto Sans" w:hAnsi="Noto Sans" w:cs="Noto Sans"/>
          </w:rPr>
          <w:t>A21-R109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9">
        <w:r>
          <w:rPr>
            <w:color w:val="1B6A87"/>
            <w:b/>
            <w:rFonts w:ascii="Noto Sans" w:hAnsi="Noto Sans" w:cs="Noto Sans"/>
          </w:rPr>
          <w:t>A21-R135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0">
        <w:r>
          <w:rPr>
            <w:color w:val="1B6A87"/>
            <w:b/>
            <w:rFonts w:ascii="Noto Sans" w:hAnsi="Noto Sans" w:cs="Noto Sans"/>
          </w:rPr>
          <w:t>A21-R136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0">
        <w:r>
          <w:rPr>
            <w:color w:val="1B6A87"/>
            <w:b/>
            <w:rFonts w:ascii="Noto Sans" w:hAnsi="Noto Sans" w:cs="Noto Sans"/>
          </w:rPr>
          <w:t>A21-R144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4.3. Неизменённое распространение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UNCHANGED_ONLY</w:t>
      </w:r>
      <w:r>
        <w:rPr>
          <w:rFonts w:ascii="Noto Sans" w:hAnsi="Noto Sans" w:eastAsia="Noto Sans"/>
          <w:sz w:val="18"/>
          <w:lang w:val="ru-RU"/>
        </w:rPr>
        <w:t xml:space="preserve"> — Buddha Jayanti Tripitaka Pāli e-text на tipitaka.lk обозначен CC BY-ND 4.0. Ссылаться и распространять неизменённую копию с атрибуцией можно в пределах stated scope; исправленная транскрипция, адаптированная разметка и иной derivative workflow требуют отдельного анализа.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9B2C2C"/>
          <w:sz w:val="17"/>
          <w:lang w:val="ru-RU"/>
        </w:rPr>
        <w:t>RIGHTS_REVIEW_REQUIRED</w:t>
      </w:r>
      <w:r>
        <w:rPr>
          <w:rFonts w:ascii="Noto Sans" w:hAnsi="Noto Sans" w:eastAsia="Noto Sans"/>
          <w:sz w:val="18"/>
          <w:lang w:val="ru-RU"/>
        </w:rPr>
        <w:t xml:space="preserve"> — эта licence explicitly applies to the Pāli text, а не к Sinhala translation и не автоматически к Internet Archive scans.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21">
        <w:r>
          <w:rPr>
            <w:color w:val="1B6A87"/>
            <w:b/>
            <w:rFonts w:ascii="Noto Sans" w:hAnsi="Noto Sans" w:cs="Noto Sans"/>
          </w:rPr>
          <w:t>A21-R016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5">
        <w:r>
          <w:rPr>
            <w:color w:val="1B6A87"/>
            <w:b/>
            <w:rFonts w:ascii="Noto Sans" w:hAnsi="Noto Sans" w:cs="Noto Sans"/>
          </w:rPr>
          <w:t>A21-R017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2">
        <w:r>
          <w:rPr>
            <w:color w:val="1B6A87"/>
            <w:b/>
            <w:rFonts w:ascii="Noto Sans" w:hAnsi="Noto Sans" w:cs="Noto Sans"/>
          </w:rPr>
          <w:t>A21-R018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4.4. Custom free-distribution и site-specific permissions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FREE_READ / FREE_DOWNLOAD / LINK_OK</w:t>
      </w:r>
      <w:r>
        <w:rPr>
          <w:rFonts w:ascii="Noto Sans" w:hAnsi="Noto Sans" w:eastAsia="Noto Sans"/>
          <w:sz w:val="18"/>
          <w:lang w:val="ru-RU"/>
        </w:rPr>
        <w:t xml:space="preserve"> — BPS Path of Purification и Access to Insight материалы имеют собственные разрешения на бесплатное распространение. Их нельзя автоматически переименовать в CC или считать разрешением на любые derivatives.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MIRROR_OK только по прямому тексту разрешения</w:t>
      </w:r>
      <w:r>
        <w:rPr>
          <w:rFonts w:ascii="Noto Sans" w:hAnsi="Noto Sans" w:eastAsia="Noto Sans"/>
          <w:sz w:val="18"/>
          <w:lang w:val="ru-RU"/>
        </w:rPr>
        <w:t xml:space="preserve"> — при зеркалировании хранить copyright notice, attribution and unmodified-file conditions; если отдельная страница содержит third-party translation, проверять её отдельно.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16">
        <w:r>
          <w:rPr>
            <w:color w:val="1B6A87"/>
            <w:b/>
            <w:rFonts w:ascii="Noto Sans" w:hAnsi="Noto Sans" w:cs="Noto Sans"/>
          </w:rPr>
          <w:t>A21-R024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7">
        <w:r>
          <w:rPr>
            <w:color w:val="1B6A87"/>
            <w:b/>
            <w:rFonts w:ascii="Noto Sans" w:hAnsi="Noto Sans" w:cs="Noto Sans"/>
          </w:rPr>
          <w:t>A21-R025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0">
        <w:r>
          <w:rPr>
            <w:color w:val="1B6A87"/>
            <w:b/>
            <w:rFonts w:ascii="Noto Sans" w:hAnsi="Noto Sans" w:cs="Noto Sans"/>
          </w:rPr>
          <w:t>A21-R106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7">
        <w:r>
          <w:rPr>
            <w:color w:val="1B6A87"/>
            <w:b/>
            <w:rFonts w:ascii="Noto Sans" w:hAnsi="Noto Sans" w:cs="Noto Sans"/>
          </w:rPr>
          <w:t>A21-R142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4.5. Бесплатный доступ без доказанного права повторного размещения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LINK_ONLY / LOCAL_RESEARCH_COPY</w:t>
      </w:r>
      <w:r>
        <w:rPr>
          <w:rFonts w:ascii="Noto Sans" w:hAnsi="Noto Sans" w:eastAsia="Noto Sans"/>
          <w:sz w:val="18"/>
          <w:lang w:val="ru-RU"/>
        </w:rPr>
        <w:t xml:space="preserve"> — VRI web corpus, MMDL images, DLLM project-level materials, Kuthodaw digital records, PTS free PDFs and several national scans can be read or downloaded lawfully, but no sufficiently specific licence was found for public mirroring.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9B2C2C"/>
          <w:sz w:val="17"/>
          <w:lang w:val="ru-RU"/>
        </w:rPr>
        <w:t>OCR_OK / FULLTEXT_INDEX_OK — не автоматически</w:t>
      </w:r>
      <w:r>
        <w:rPr>
          <w:rFonts w:ascii="Noto Sans" w:hAnsi="Noto Sans" w:eastAsia="Noto Sans"/>
          <w:sz w:val="18"/>
          <w:lang w:val="ru-RU"/>
        </w:rPr>
        <w:t xml:space="preserve"> — OCR for internal research may be defensible depending on terms and jurisdiction; public searchable redistribution of OCR or embeddings remains rights-review territory when digital-object rights are unclear.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20">
        <w:r>
          <w:rPr>
            <w:color w:val="1B6A87"/>
            <w:b/>
            <w:rFonts w:ascii="Noto Sans" w:hAnsi="Noto Sans" w:cs="Noto Sans"/>
          </w:rPr>
          <w:t>A21-R006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4">
        <w:r>
          <w:rPr>
            <w:color w:val="1B6A87"/>
            <w:b/>
            <w:rFonts w:ascii="Noto Sans" w:hAnsi="Noto Sans" w:cs="Noto Sans"/>
          </w:rPr>
          <w:t>A21-R023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A21-R031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3">
        <w:r>
          <w:rPr>
            <w:color w:val="1B6A87"/>
            <w:b/>
            <w:rFonts w:ascii="Noto Sans" w:hAnsi="Noto Sans" w:cs="Noto Sans"/>
          </w:rPr>
          <w:t>A21-R032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5">
        <w:r>
          <w:rPr>
            <w:color w:val="1B6A87"/>
            <w:b/>
            <w:rFonts w:ascii="Noto Sans" w:hAnsi="Noto Sans" w:cs="Noto Sans"/>
          </w:rPr>
          <w:t>A21-R034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6">
        <w:r>
          <w:rPr>
            <w:color w:val="1B6A87"/>
            <w:b/>
            <w:rFonts w:ascii="Noto Sans" w:hAnsi="Noto Sans" w:cs="Noto Sans"/>
          </w:rPr>
          <w:t>A21-R035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4">
        <w:r>
          <w:rPr>
            <w:color w:val="1B6A87"/>
            <w:b/>
            <w:rFonts w:ascii="Noto Sans" w:hAnsi="Noto Sans" w:cs="Noto Sans"/>
          </w:rPr>
          <w:t>A21-R123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5">
        <w:r>
          <w:rPr>
            <w:color w:val="1B6A87"/>
            <w:b/>
            <w:rFonts w:ascii="Noto Sans" w:hAnsi="Noto Sans" w:cs="Noto Sans"/>
          </w:rPr>
          <w:t>A21-R124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8">
        <w:r>
          <w:rPr>
            <w:color w:val="1B6A87"/>
            <w:b/>
            <w:rFonts w:ascii="Noto Sans" w:hAnsi="Noto Sans" w:cs="Noto Sans"/>
          </w:rPr>
          <w:t>A21-R125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9">
        <w:r>
          <w:rPr>
            <w:color w:val="1B6A87"/>
            <w:b/>
            <w:rFonts w:ascii="Noto Sans" w:hAnsi="Noto Sans" w:cs="Noto Sans"/>
          </w:rPr>
          <w:t>A21-R126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6">
        <w:r>
          <w:rPr>
            <w:color w:val="1B6A87"/>
            <w:b/>
            <w:rFonts w:ascii="Noto Sans" w:hAnsi="Noto Sans" w:cs="Noto Sans"/>
          </w:rPr>
          <w:t>A21-R127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7">
        <w:r>
          <w:rPr>
            <w:color w:val="1B6A87"/>
            <w:b/>
            <w:rFonts w:ascii="Noto Sans" w:hAnsi="Noto Sans" w:cs="Noto Sans"/>
          </w:rPr>
          <w:t>A21-R128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8">
        <w:r>
          <w:rPr>
            <w:color w:val="1B6A87"/>
            <w:b/>
            <w:rFonts w:ascii="Noto Sans" w:hAnsi="Noto Sans" w:cs="Noto Sans"/>
          </w:rPr>
          <w:t>A21-R129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9">
        <w:r>
          <w:rPr>
            <w:color w:val="1B6A87"/>
            <w:b/>
            <w:rFonts w:ascii="Noto Sans" w:hAnsi="Noto Sans" w:cs="Noto Sans"/>
          </w:rPr>
          <w:t>A21-R130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7">
        <w:r>
          <w:rPr>
            <w:color w:val="1B6A87"/>
            <w:b/>
            <w:rFonts w:ascii="Noto Sans" w:hAnsi="Noto Sans" w:cs="Noto Sans"/>
          </w:rPr>
          <w:t>A21-R131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0">
        <w:r>
          <w:rPr>
            <w:color w:val="1B6A87"/>
            <w:b/>
            <w:rFonts w:ascii="Noto Sans" w:hAnsi="Noto Sans" w:cs="Noto Sans"/>
          </w:rPr>
          <w:t>A21-R132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A21-R138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A21-R139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A21-R140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A21-R141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4.6. Borrow, preview и purchase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PURCHASE / PREVIEW_ONLY</w:t>
      </w:r>
      <w:r>
        <w:rPr>
          <w:rFonts w:ascii="Noto Sans" w:hAnsi="Noto Sans" w:eastAsia="Noto Sans"/>
          <w:sz w:val="18"/>
          <w:lang w:val="ru-RU"/>
        </w:rPr>
        <w:t xml:space="preserve"> — Wisdom Nikāya translations и многие PTS editions остаются лучшими современными научными входами, хотя ToS не получает от покупки права размещать текст.</w:t>
      </w:r>
    </w:p>
    <w:p>
      <w:pPr>
        <w:keepNext w:val="0"/>
        <w:widowControl/>
        <w:spacing w:before="0" w:after="60" w:line="259" w:lineRule="auto"/>
      </w:pPr>
      <w:r>
        <w:rPr>
          <w:rFonts w:ascii="Noto Sans" w:hAnsi="Noto Sans" w:eastAsia="Noto Sans"/>
          <w:b/>
          <w:color w:val="2E6F40"/>
          <w:sz w:val="17"/>
          <w:lang w:val="ru-RU"/>
        </w:rPr>
        <w:t>LINK_OK / METADATA_ONLY</w:t>
      </w:r>
      <w:r>
        <w:rPr>
          <w:rFonts w:ascii="Noto Sans" w:hAnsi="Noto Sans" w:eastAsia="Noto Sans"/>
          <w:sz w:val="18"/>
          <w:lang w:val="ru-RU"/>
        </w:rPr>
        <w:t xml:space="preserve"> — ToS может показывать библиографические карточки, identifiers, краткое описание и официальную страницу покупки; quotations and previews должны оставаться в пределах применимого права и условий платформы.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9">
        <w:r>
          <w:rPr>
            <w:color w:val="1B6A87"/>
            <w:b/>
            <w:rFonts w:ascii="Noto Sans" w:hAnsi="Noto Sans" w:cs="Noto Sans"/>
          </w:rPr>
          <w:t>A21-R005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4">
        <w:r>
          <w:rPr>
            <w:color w:val="1B6A87"/>
            <w:b/>
            <w:rFonts w:ascii="Noto Sans" w:hAnsi="Noto Sans" w:cs="Noto Sans"/>
          </w:rPr>
          <w:t>A21-R078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5">
        <w:r>
          <w:rPr>
            <w:color w:val="1B6A87"/>
            <w:b/>
            <w:rFonts w:ascii="Noto Sans" w:hAnsi="Noto Sans" w:cs="Noto Sans"/>
          </w:rPr>
          <w:t>A21-R079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6">
        <w:r>
          <w:rPr>
            <w:color w:val="1B6A87"/>
            <w:b/>
            <w:rFonts w:ascii="Noto Sans" w:hAnsi="Noto Sans" w:cs="Noto Sans"/>
          </w:rPr>
          <w:t>A21-R080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7">
        <w:r>
          <w:rPr>
            <w:color w:val="1B6A87"/>
            <w:b/>
            <w:rFonts w:ascii="Noto Sans" w:hAnsi="Noto Sans" w:cs="Noto Sans"/>
          </w:rPr>
          <w:t>A21-R081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8">
        <w:r>
          <w:rPr>
            <w:color w:val="1B6A87"/>
            <w:b/>
            <w:rFonts w:ascii="Noto Sans" w:hAnsi="Noto Sans" w:cs="Noto Sans"/>
          </w:rPr>
          <w:t>A21-R082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79">
        <w:r>
          <w:rPr>
            <w:color w:val="1B6A87"/>
            <w:b/>
            <w:rFonts w:ascii="Noto Sans" w:hAnsi="Noto Sans" w:cs="Noto Sans"/>
          </w:rPr>
          <w:t>A21-R083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1">
        <w:r>
          <w:rPr>
            <w:color w:val="1B6A87"/>
            <w:b/>
            <w:rFonts w:ascii="Noto Sans" w:hAnsi="Noto Sans" w:cs="Noto Sans"/>
          </w:rPr>
          <w:t>A21-R107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2">
        <w:r>
          <w:rPr>
            <w:color w:val="1B6A87"/>
            <w:b/>
            <w:rFonts w:ascii="Noto Sans" w:hAnsi="Noto Sans" w:cs="Noto Sans"/>
          </w:rPr>
          <w:t>A21-R110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0">
        <w:r>
          <w:rPr>
            <w:color w:val="1B6A87"/>
            <w:b/>
            <w:rFonts w:ascii="Noto Sans" w:hAnsi="Noto Sans" w:cs="Noto Sans"/>
          </w:rPr>
          <w:t>A21-R111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1">
        <w:r>
          <w:rPr>
            <w:color w:val="1B6A87"/>
            <w:b/>
            <w:rFonts w:ascii="Noto Sans" w:hAnsi="Noto Sans" w:cs="Noto Sans"/>
          </w:rPr>
          <w:t>A21-R112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2">
        <w:r>
          <w:rPr>
            <w:color w:val="1B6A87"/>
            <w:b/>
            <w:rFonts w:ascii="Noto Sans" w:hAnsi="Noto Sans" w:cs="Noto Sans"/>
          </w:rPr>
          <w:t>A21-R113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3">
        <w:r>
          <w:rPr>
            <w:color w:val="1B6A87"/>
            <w:b/>
            <w:rFonts w:ascii="Noto Sans" w:hAnsi="Noto Sans" w:cs="Noto Sans"/>
          </w:rPr>
          <w:t>A21-R114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0">
        <w:r>
          <w:rPr>
            <w:color w:val="1B6A87"/>
            <w:b/>
            <w:rFonts w:ascii="Noto Sans" w:hAnsi="Noto Sans" w:cs="Noto Sans"/>
          </w:rPr>
          <w:t>A21-R115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1">
        <w:r>
          <w:rPr>
            <w:color w:val="1B6A87"/>
            <w:b/>
            <w:rFonts w:ascii="Noto Sans" w:hAnsi="Noto Sans" w:cs="Noto Sans"/>
          </w:rPr>
          <w:t>A21-R116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1">
        <w:r>
          <w:rPr>
            <w:color w:val="1B6A87"/>
            <w:b/>
            <w:rFonts w:ascii="Noto Sans" w:hAnsi="Noto Sans" w:cs="Noto Sans"/>
          </w:rPr>
          <w:t>A21-R117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4">
        <w:r>
          <w:rPr>
            <w:color w:val="1B6A87"/>
            <w:b/>
            <w:rFonts w:ascii="Noto Sans" w:hAnsi="Noto Sans" w:cs="Noto Sans"/>
          </w:rPr>
          <w:t>A21-R118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5">
        <w:r>
          <w:rPr>
            <w:color w:val="1B6A87"/>
            <w:b/>
            <w:rFonts w:ascii="Noto Sans" w:hAnsi="Noto Sans" w:cs="Noto Sans"/>
          </w:rPr>
          <w:t>A21-R119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6">
        <w:r>
          <w:rPr>
            <w:color w:val="1B6A87"/>
            <w:b/>
            <w:rFonts w:ascii="Noto Sans" w:hAnsi="Noto Sans" w:cs="Noto Sans"/>
          </w:rPr>
          <w:t>A21-R120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2">
        <w:r>
          <w:rPr>
            <w:color w:val="1B6A87"/>
            <w:b/>
            <w:rFonts w:ascii="Noto Sans" w:hAnsi="Noto Sans" w:cs="Noto Sans"/>
          </w:rPr>
          <w:t>A21-R121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3">
        <w:r>
          <w:rPr>
            <w:color w:val="1B6A87"/>
            <w:b/>
            <w:rFonts w:ascii="Noto Sans" w:hAnsi="Noto Sans" w:cs="Noto Sans"/>
          </w:rPr>
          <w:t>A21-R122</w:t>
        </w:r>
      </w:hyperlink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4.7. Смешанные права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4961"/>
        <w:gridCol w:w="4961"/>
      </w:tblGrid>
      <w:tr>
        <w:trPr>
          <w:tblHeader w:val="true"/>
        </w:trPr>
        <w:tc>
          <w:tcPr>
            <w:tcW w:type="dxa" w:w="2097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  <w:lang w:val="ru-RU"/>
              </w:rPr>
              <w:t>Проект</w:t>
            </w:r>
          </w:p>
        </w:tc>
        <w:tc>
          <w:tcPr>
            <w:tcW w:type="dxa" w:w="7086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6"/>
                <w:lang w:val="ru-RU"/>
              </w:rPr>
              <w:t>Как разделять права</w:t>
            </w:r>
          </w:p>
        </w:tc>
      </w:tr>
      <w:tr>
        <w:trPr>
          <w:cantSplit/>
        </w:trPr>
        <w:tc>
          <w:tcPr>
            <w:tcW w:type="dxa" w:w="209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SuttaCentral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root texts/data CC0; некоторые third-party translations могут иметь отдельные условия; сайт просит не использовать тяжёлый scraping и AI harvesting</w:t>
            </w:r>
          </w:p>
        </w:tc>
      </w:tr>
      <w:tr>
        <w:trPr>
          <w:cantSplit/>
        </w:trPr>
        <w:tc>
          <w:tcPr>
            <w:tcW w:type="dxa" w:w="209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SiPaKosa</w:t>
            </w:r>
          </w:p>
        </w:tc>
        <w:tc>
          <w:tcPr>
            <w:tcW w:type="dxa" w:w="708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dataset card MIT; underlying books, scraped translations and external sources heterogeneous — package licence не очищает source rights</w:t>
            </w:r>
          </w:p>
        </w:tc>
      </w:tr>
      <w:tr>
        <w:trPr>
          <w:cantSplit/>
        </w:trPr>
        <w:tc>
          <w:tcPr>
            <w:tcW w:type="dxa" w:w="209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PTS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часть translations explicitly CC BY-NC; другие products and free PDFs имеют иные или неясные условия</w:t>
            </w:r>
          </w:p>
        </w:tc>
      </w:tr>
      <w:tr>
        <w:trPr>
          <w:cantSplit/>
        </w:trPr>
        <w:tc>
          <w:tcPr>
            <w:tcW w:type="dxa" w:w="209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TextGrid/GRETIL</w:t>
            </w:r>
          </w:p>
        </w:tc>
        <w:tc>
          <w:tcPr>
            <w:tcW w:type="dxa" w:w="708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item-level CC BY-NC-SA records; project-level collection mixed</w:t>
            </w:r>
          </w:p>
        </w:tc>
      </w:tr>
      <w:tr>
        <w:trPr>
          <w:cantSplit/>
        </w:trPr>
        <w:tc>
          <w:tcPr>
            <w:tcW w:type="dxa" w:w="209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CBETA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Category A text/XML CC BY-NC-SA; external images and third-party components may be outside scope</w:t>
            </w:r>
          </w:p>
        </w:tc>
      </w:tr>
      <w:tr>
        <w:trPr>
          <w:cantSplit/>
        </w:trPr>
        <w:tc>
          <w:tcPr>
            <w:tcW w:type="dxa" w:w="2097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BDRC/FPL</w:t>
            </w:r>
          </w:p>
        </w:tc>
        <w:tc>
          <w:tcPr>
            <w:tcW w:type="dxa" w:w="7086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catalogue and access policy item-level; collection page is not blanket image licence</w:t>
            </w:r>
          </w:p>
        </w:tc>
      </w:tr>
      <w:tr>
        <w:trPr>
          <w:cantSplit/>
        </w:trPr>
        <w:tc>
          <w:tcPr>
            <w:tcW w:type="dxa" w:w="2097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Internet Archive</w:t>
            </w:r>
          </w:p>
        </w:tc>
        <w:tc>
          <w:tcPr>
            <w:tcW w:type="dxa" w:w="7086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6"/>
                <w:lang w:val="ru-RU"/>
              </w:rPr>
              <w:t>lawful access route, but presence of file alone is not proof of public-domain status or authorization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4.8. Основа для собственного перевода ToS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Наиболее чистая база — CC0 Pāli roots SuttaCentral/Bilara и CRAN datasets. Для отдельных works допустимы CC BY-NC-SA TEI texts и public-domain editions/facsimiles, но условия NC/SA или provenance должны быть сохранены. Современные protected translations могут служить справочным материалом, но не единственной основой производного перевода. Для Vimuttimagga чистая доступная база — Chinese T1648 XML CBETA; для утраченного Sinhala commentary substrate основы нет.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15">
        <w:r>
          <w:rPr>
            <w:color w:val="1B6A87"/>
            <w:b/>
            <w:rFonts w:ascii="Noto Sans" w:hAnsi="Noto Sans" w:cs="Noto Sans"/>
          </w:rPr>
          <w:t>A21-R008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6">
        <w:r>
          <w:rPr>
            <w:color w:val="1B6A87"/>
            <w:b/>
            <w:rFonts w:ascii="Noto Sans" w:hAnsi="Noto Sans" w:cs="Noto Sans"/>
          </w:rPr>
          <w:t>A21-R009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7">
        <w:r>
          <w:rPr>
            <w:color w:val="1B6A87"/>
            <w:b/>
            <w:rFonts w:ascii="Noto Sans" w:hAnsi="Noto Sans" w:cs="Noto Sans"/>
          </w:rPr>
          <w:t>A21-R012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6">
        <w:r>
          <w:rPr>
            <w:color w:val="1B6A87"/>
            <w:b/>
            <w:rFonts w:ascii="Noto Sans" w:hAnsi="Noto Sans" w:cs="Noto Sans"/>
          </w:rPr>
          <w:t>A21-R013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7">
        <w:r>
          <w:rPr>
            <w:color w:val="1B6A87"/>
            <w:b/>
            <w:rFonts w:ascii="Noto Sans" w:hAnsi="Noto Sans" w:cs="Noto Sans"/>
          </w:rPr>
          <w:t>A21-R101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8">
        <w:r>
          <w:rPr>
            <w:color w:val="1B6A87"/>
            <w:b/>
            <w:rFonts w:ascii="Noto Sans" w:hAnsi="Noto Sans" w:cs="Noto Sans"/>
          </w:rPr>
          <w:t>A21-R102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90">
        <w:r>
          <w:rPr>
            <w:color w:val="1B6A87"/>
            <w:b/>
            <w:rFonts w:ascii="Noto Sans" w:hAnsi="Noto Sans" w:cs="Noto Sans"/>
          </w:rPr>
          <w:t>A21-R103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9">
        <w:r>
          <w:rPr>
            <w:color w:val="1B6A87"/>
            <w:b/>
            <w:rFonts w:ascii="Noto Sans" w:hAnsi="Noto Sans" w:cs="Noto Sans"/>
          </w:rPr>
          <w:t>A21-R109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30">
        <w:r>
          <w:rPr>
            <w:color w:val="1B6A87"/>
            <w:b/>
            <w:rFonts w:ascii="Noto Sans" w:hAnsi="Noto Sans" w:cs="Noto Sans"/>
          </w:rPr>
          <w:t>A21-R144</w:t>
        </w:r>
      </w:hyperlink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5A04A"/>
          <w:left w:val="single" w:sz="8" w:space="0" w:color="C5A04A"/>
          <w:bottom w:val="single" w:sz="8" w:space="0" w:color="C5A04A"/>
          <w:right w:val="single" w:sz="8" w:space="0" w:color="C5A04A"/>
          <w:insideH w:val="single" w:sz="8" w:space="0" w:color="C5A04A"/>
          <w:insideV w:val="single" w:sz="8" w:space="0" w:color="C5A04A"/>
        </w:tblBorders>
      </w:tblPr>
      <w:tblGrid>
        <w:gridCol w:w="9922"/>
      </w:tblGrid>
      <w:tr>
        <w:tc>
          <w:tcPr>
            <w:tcW w:type="dxa" w:w="9922"/>
            <w:shd w:fill="F6F0D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C5A04A"/>
                <w:sz w:val="19"/>
                <w:lang w:val="ru-RU"/>
              </w:rPr>
              <w:t>Практическое правило для Codex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Автоматически импортировать только строки, где tos_use и rights_scope однозначны. Любая запись с RIGHTS_REVIEW_REQUIRED должна блокировать зеркалирование, публичный OCR corpus и derivative dataset за пределами явно доказанного компонента.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5. Характерные правовые тонкости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1. Древний оригинал и современный слой прав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Tipiṭaka, Dīpavaṃsa, Mahāvaṃsa и Visuddhimagga как древние works не охраняются авторским правом в обычном смысле, но конкретные translations, critical editions, reconstructions, introductions, annotations, typesetting, TEI encoding и photographs могут охраняться независимо.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2. Скачивание не равно зеркалированию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Free download означает лишь доступ к файлу на заданных условиях. Для PTS free PDFs, MMDL images, VRI corpus и части Internet Archive items не найдено blanket permission на повторное размещение; поэтому реестр сохраняет ссылку, но не ставит безусловный MIRROR_OK.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3. Internet Archive не является доказательством статуса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Возраст издания часто позволяет сделать сильный public-domain inference, однако сам факт наличия файла на Archive.org не доказывает права на скан, полноту, provenance или статус во всех юрисдикциях.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4. PTS лицензирует не весь каталог одинаково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Copyright page перечисляет конкретные translations и reference works под CC BY-NC 3.0/4.0. Нельзя переносить эту лицензию на все PTS editions, Pāli texts, free PDFs или scans. Для каждого title реестр хранит отдельную строку.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5. SuttaCentral: CC0 и операционные ограничения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SuttaCentral/Bilara предоставляет CC0 для собственной data layer, но сайт также просит избегать тяжёлого scraping и использования, нарушающего устойчивость сервиса. Лицензия и добросовестный способ технического доступа — разные уровни; для bulk work предпочтителен published repository.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6. BJT: Pāli под BY-ND, Sinhala отдельно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tipitaka.lk ясно ограничивает CC BY-ND statement палийским text layer. Sinhala translation нельзя считать открытой по той же лицензии. NoDerivatives также требует осторожности с исправлениями, нормализацией и производной разметкой.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7. SiPaKosa: лицензия оболочки и происхождение источников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MIT label на dataset card относится к release/package, но не автоматически очищает copyrights modern Sinhala translations или books collected from external sites. Для ToS это ценный research dataset, но не готовый к публичному зеркалу corpus.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8. CBETA и TextGrid: лицензия имеет границы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Открытая TEI/XML transcription не означает, что все связанные facsimiles, third-party images или scholarly apparatus покрываются теми же условиями. У CBETA Category A и у TextGrid item records rights scope должен сохраняться буквально.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9. Рукописная фотография — отдельный объект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Древний текст на palm leaf может быть public domain, но новая digital photograph, IIIF manifest metadata и platform terms остаются отдельными слоями. Поэтому MMDL, BDRC/FPL, DLNTM и UNESCO evaluated separately.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10. Собственный перевод и защищённая реконструкция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OWN_TRANSLATION_POSSIBLE ставится только при наличии открытого/PD оригинала, transcription или facsimile. Если чтение зависит от защищённого critical reconstruction или protected intermediary translation, нужен review; это особенно важно для утраченных или фрагментарных слоёв.</w:t>
      </w:r>
    </w:p>
    <w:p>
      <w:pPr>
        <w:keepNext/>
        <w:widowControl/>
        <w:spacing w:before="80" w:after="40" w:line="259" w:lineRule="auto"/>
      </w:pPr>
      <w:r>
        <w:rPr>
          <w:rFonts w:ascii="Noto Sans" w:hAnsi="Noto Sans" w:eastAsia="Noto Sans"/>
          <w:b/>
          <w:color w:val="0F3945"/>
          <w:sz w:val="20"/>
          <w:lang w:val="ru-RU"/>
        </w:rPr>
        <w:t>11. Юрисдикционная осторожность</w:t>
      </w:r>
    </w:p>
    <w:p>
      <w:pPr>
        <w:keepNext w:val="0"/>
        <w:widowControl/>
        <w:spacing w:before="0" w:after="100" w:line="259" w:lineRule="auto"/>
      </w:pPr>
      <w:r>
        <w:rPr>
          <w:rFonts w:ascii="Noto Sans" w:hAnsi="Noto Sans" w:eastAsia="Noto Sans"/>
          <w:lang w:val="ru-RU"/>
        </w:rPr>
        <w:t>Public-domain inference по дате обычно сильнее для США и старых британских/европейских editions, но ToS — международный публичный проект. Перед массовым зеркалированием лучше хранить country-of-origin, author death date and repository statement.</w:t>
      </w:r>
    </w:p>
    <w:p>
      <w:pPr>
        <w:keepNext w:val="0"/>
        <w:widowControl/>
        <w:spacing w:before="0" w:after="120" w:line="240" w:lineRule="auto"/>
      </w:pPr>
      <w:r>
        <w:rPr>
          <w:rFonts w:ascii="Noto Sans" w:hAnsi="Noto Sans" w:eastAsia="Noto Sans"/>
          <w:b/>
          <w:color w:val="60707A"/>
          <w:sz w:val="15"/>
          <w:lang w:val="ru-RU"/>
        </w:rPr>
        <w:t xml:space="preserve">Записи реестра: </w:t>
      </w:r>
      <w:hyperlink r:id="rId20">
        <w:r>
          <w:rPr>
            <w:color w:val="1B6A87"/>
            <w:b/>
            <w:rFonts w:ascii="Noto Sans" w:hAnsi="Noto Sans" w:cs="Noto Sans"/>
          </w:rPr>
          <w:t>A21-R006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5">
        <w:r>
          <w:rPr>
            <w:color w:val="1B6A87"/>
            <w:b/>
            <w:rFonts w:ascii="Noto Sans" w:hAnsi="Noto Sans" w:cs="Noto Sans"/>
          </w:rPr>
          <w:t>A21-R008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6">
        <w:r>
          <w:rPr>
            <w:color w:val="1B6A87"/>
            <w:b/>
            <w:rFonts w:ascii="Noto Sans" w:hAnsi="Noto Sans" w:cs="Noto Sans"/>
          </w:rPr>
          <w:t>A21-R009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1">
        <w:r>
          <w:rPr>
            <w:color w:val="1B6A87"/>
            <w:b/>
            <w:rFonts w:ascii="Noto Sans" w:hAnsi="Noto Sans" w:cs="Noto Sans"/>
          </w:rPr>
          <w:t>A21-R016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15">
        <w:r>
          <w:rPr>
            <w:color w:val="1B6A87"/>
            <w:b/>
            <w:rFonts w:ascii="Noto Sans" w:hAnsi="Noto Sans" w:cs="Noto Sans"/>
          </w:rPr>
          <w:t>A21-R017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2">
        <w:r>
          <w:rPr>
            <w:color w:val="1B6A87"/>
            <w:b/>
            <w:rFonts w:ascii="Noto Sans" w:hAnsi="Noto Sans" w:cs="Noto Sans"/>
          </w:rPr>
          <w:t>A21-R018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4">
        <w:r>
          <w:rPr>
            <w:color w:val="1B6A87"/>
            <w:b/>
            <w:rFonts w:ascii="Noto Sans" w:hAnsi="Noto Sans" w:cs="Noto Sans"/>
          </w:rPr>
          <w:t>A21-R026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25">
        <w:r>
          <w:rPr>
            <w:color w:val="1B6A87"/>
            <w:b/>
            <w:rFonts w:ascii="Noto Sans" w:hAnsi="Noto Sans" w:cs="Noto Sans"/>
          </w:rPr>
          <w:t>A21-R027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8">
        <w:r>
          <w:rPr>
            <w:color w:val="1B6A87"/>
            <w:b/>
            <w:rFonts w:ascii="Noto Sans" w:hAnsi="Noto Sans" w:cs="Noto Sans"/>
          </w:rPr>
          <w:t>A21-R030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1">
        <w:r>
          <w:rPr>
            <w:color w:val="1B6A87"/>
            <w:b/>
            <w:rFonts w:ascii="Noto Sans" w:hAnsi="Noto Sans" w:cs="Noto Sans"/>
          </w:rPr>
          <w:t>A21-R031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62">
        <w:r>
          <w:rPr>
            <w:color w:val="1B6A87"/>
            <w:b/>
            <w:rFonts w:ascii="Noto Sans" w:hAnsi="Noto Sans" w:cs="Noto Sans"/>
          </w:rPr>
          <w:t>A21-R062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7">
        <w:r>
          <w:rPr>
            <w:color w:val="1B6A87"/>
            <w:b/>
            <w:rFonts w:ascii="Noto Sans" w:hAnsi="Noto Sans" w:cs="Noto Sans"/>
          </w:rPr>
          <w:t>A21-R101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100">
        <w:r>
          <w:rPr>
            <w:color w:val="1B6A87"/>
            <w:b/>
            <w:rFonts w:ascii="Noto Sans" w:hAnsi="Noto Sans" w:cs="Noto Sans"/>
          </w:rPr>
          <w:t>A21-R106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29">
        <w:r>
          <w:rPr>
            <w:color w:val="1B6A87"/>
            <w:b/>
            <w:rFonts w:ascii="Noto Sans" w:hAnsi="Noto Sans" w:cs="Noto Sans"/>
          </w:rPr>
          <w:t>A21-R109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44">
        <w:r>
          <w:rPr>
            <w:color w:val="1B6A87"/>
            <w:b/>
            <w:rFonts w:ascii="Noto Sans" w:hAnsi="Noto Sans" w:cs="Noto Sans"/>
          </w:rPr>
          <w:t>A21-R123</w:t>
        </w:r>
      </w:hyperlink>
      <w:r>
        <w:rPr>
          <w:rFonts w:ascii="Noto Sans" w:hAnsi="Noto Sans" w:eastAsia="Noto Sans"/>
          <w:color w:val="60707A"/>
          <w:sz w:val="15"/>
          <w:lang w:val="ru-RU"/>
        </w:rPr>
        <w:t xml:space="preserve"> · </w:t>
      </w:r>
      <w:hyperlink r:id="rId59">
        <w:r>
          <w:rPr>
            <w:color w:val="1B6A87"/>
            <w:b/>
            <w:rFonts w:ascii="Noto Sans" w:hAnsi="Noto Sans" w:cs="Noto Sans"/>
          </w:rPr>
          <w:t>A21-R135</w:t>
        </w:r>
      </w:hyperlink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6. Пробелы и дальнейший поиск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Отдельный лист gaps содержит 16 объектов и задач, которые непосредственно относятся к A21, но не получили достаточно полного, устойчивого или rights-clear цифрового входа. Они не удалены из карты: каждый снабжён причиной релевантности и следующим действием.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2480"/>
        <w:gridCol w:w="2480"/>
        <w:gridCol w:w="2480"/>
        <w:gridCol w:w="2480"/>
      </w:tblGrid>
      <w:tr>
        <w:trPr>
          <w:tblHeader w:val="true"/>
        </w:trPr>
        <w:tc>
          <w:tcPr>
            <w:tcW w:type="dxa" w:w="1133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4"/>
                <w:lang w:val="ru-RU"/>
              </w:rPr>
              <w:t>Gap</w:t>
            </w:r>
          </w:p>
        </w:tc>
        <w:tc>
          <w:tcPr>
            <w:tcW w:type="dxa" w:w="2551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4"/>
                <w:lang w:val="ru-RU"/>
              </w:rPr>
              <w:t>Объект</w:t>
            </w:r>
          </w:p>
        </w:tc>
        <w:tc>
          <w:tcPr>
            <w:tcW w:type="dxa" w:w="2948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4"/>
                <w:lang w:val="ru-RU"/>
              </w:rPr>
              <w:t>Текущее состояние</w:t>
            </w:r>
          </w:p>
        </w:tc>
        <w:tc>
          <w:tcPr>
            <w:tcW w:type="dxa" w:w="2551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4"/>
                <w:lang w:val="ru-RU"/>
              </w:rPr>
              <w:t>Следующее действие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A21-G001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Утраченный Sinhala aṭṭhakathā substrate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Текст не сохранился напрямую; известен через Pāli redactions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Собрать testimonia и не реконструировать сверх свидетельств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A21-G002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Aluvihāra writing-down memory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Нет contemporaneous witness, подтверждающего одноразовое событие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Найти archaeological/site records и критические исследования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A21-G003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Abhayagiri textual corpus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Отдельный полный corpus не локализован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Искать Chinese/Tibetan/Sanskrit testimonia и inscriptions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A21-G004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Jetavana textual corpus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Нет complete item-level digital corpus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Проверить Sri Lankan epigraphy, catalogues и pilgrim sources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A21-G005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BUDSIR Siamese canon portal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Исторически важный портал сейчас не даёт устойчивого доступа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Проверить Mahidol archives, mirrors и releases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A21-G006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Current CSCD v3 package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Официальная download-link dead; terms конфликтуют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Запросить файл/чексумму у VRI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A21-G007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Полный открытый русский Tipiṭaka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Четыре Nikāya сильны; Vinaya/Khuddaka/Abhidhamma неполны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Отслеживать Bilara publication metadata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A21-G008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Dhammapāla machine-readable corpus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Отдельные тексты доступны, цельный rights-verified corpus не собран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Harvest TextGrid/VRI/PTS/JUT titles and editions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A21-G009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Buddhadatta compendia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Полный проверенный package не собран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Точечно искать Abhidhammāvatāra и Vinaya works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A21-G010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Полный Kuthodaw image set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Есть проекты и образцы; completeness/licence не подтверждены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Запросить manifest-level rights и полный image inventory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A21-G011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Item-level BDRC/FPL witnesses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Проверен collection route, но мало нормализованных items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Harvest BDRC IDs, titles и shelfmarks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A21-G012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UNESCO Mahāvaṃsa witness facsimile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Registry metadata найден; связанное полное facsimile не найдено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Идентифицировать конкретный witness и repository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A21-G013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Права на PTS free PDFs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Download работает; blanket licence не найдена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Получить письменное clarification от PTS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A21-G014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SiPaKosa source-rights audit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MIT package label не очищает underlying sources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Сопоставить каждую книгу с origin/translator/licence</w:t>
            </w:r>
          </w:p>
        </w:tc>
      </w:tr>
      <w:tr>
        <w:trPr>
          <w:cantSplit/>
        </w:trPr>
        <w:tc>
          <w:tcPr>
            <w:tcW w:type="dxa" w:w="1133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A21-G015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Независимая проверка tipitaka.critical</w:t>
            </w:r>
          </w:p>
        </w:tc>
        <w:tc>
          <w:tcPr>
            <w:tcW w:type="dxa" w:w="2948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Open dataset найден, но это новый research resource</w:t>
            </w:r>
          </w:p>
        </w:tc>
        <w:tc>
          <w:tcPr>
            <w:tcW w:type="dxa" w:w="255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Сверить samples с PTS/BJT/CST/Thai witnesses</w:t>
            </w:r>
          </w:p>
        </w:tc>
      </w:tr>
      <w:tr>
        <w:trPr>
          <w:cantSplit/>
        </w:trPr>
        <w:tc>
          <w:tcPr>
            <w:tcW w:type="dxa" w:w="1133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A21-G016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Полный open Mahāvaṃsa TEI/XML</w:t>
            </w:r>
          </w:p>
        </w:tc>
        <w:tc>
          <w:tcPr>
            <w:tcW w:type="dxa" w:w="2948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PD scans и official purchase есть; complete licensed TEI не найден</w:t>
            </w:r>
          </w:p>
        </w:tc>
        <w:tc>
          <w:tcPr>
            <w:tcW w:type="dxa" w:w="255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4"/>
                <w:lang w:val="ru-RU"/>
              </w:rPr>
              <w:t>Искать repository release или делать новый text from clean basis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Приоритетные targeted follow-up направления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1. Sinhala substrate и Buddhaghosa testimonia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Собрать точные названия, прологи и self-referential passages в Samantapāsādikā, Sumangalavilāsinī и других aṭṭhakathā; отделить традиционный рассказ от восстановимого содержания.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2. Abhayagiri и Jetavana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Проверить китайские каталоги, pilgrim accounts, Sanskrit fragments, inscriptions и Sri Lankan archaeological publications на item-level traces rival monastic corpora.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3. Dhammapāla и Buddhadatta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Собрать полный title list, editions, translations, machine-readable texts and rights; приоритет — works directly continuing the V–VI century commentary system.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4. Kuthodaw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Найти или запросить complete IIIF/image manifest, transcription mapping slab↔canonical location, image licence and reuse policy.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5. BDRC/FPL and MMDL witness harvest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Нормализовать shelfmarks, dates, scripts, monasteries, work identifications and item rights for a representative canonical/commentarial sample.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6. Mahāvaṃsa digital text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Локализовать complete licensed TEI/XML or create a fresh edition from public-domain scan/OCR with manual correction and explicit provenance.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7. Русская полнота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Отслеживать CC0 Bilara releases beyond four Nikāya; отдельно искать lawful Vinaya, Abhidhamma, commentary and chronicle translations.</w:t>
      </w:r>
    </w:p>
    <w:p>
      <w:pPr>
        <w:keepNext/>
        <w:widowControl/>
        <w:spacing w:before="60" w:after="20" w:line="259" w:lineRule="auto"/>
      </w:pPr>
      <w:r>
        <w:rPr>
          <w:rFonts w:ascii="Noto Sans" w:hAnsi="Noto Sans" w:eastAsia="Noto Sans"/>
          <w:b/>
          <w:color w:val="0F3945"/>
          <w:sz w:val="19"/>
          <w:lang w:val="ru-RU"/>
        </w:rPr>
        <w:t>8. Dataset validation and provenance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Провести philological audit tipitaka.critical and source-rights audit SiPaKosa before using them as authoritative or redistributable ToS corpora.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154C5B"/>
          <w:left w:val="single" w:sz="8" w:space="0" w:color="154C5B"/>
          <w:bottom w:val="single" w:sz="8" w:space="0" w:color="154C5B"/>
          <w:right w:val="single" w:sz="8" w:space="0" w:color="154C5B"/>
          <w:insideH w:val="single" w:sz="8" w:space="0" w:color="154C5B"/>
          <w:insideV w:val="single" w:sz="8" w:space="0" w:color="154C5B"/>
        </w:tblBorders>
      </w:tblPr>
      <w:tblGrid>
        <w:gridCol w:w="9922"/>
      </w:tblGrid>
      <w:tr>
        <w:tc>
          <w:tcPr>
            <w:tcW w:type="dxa" w:w="9922"/>
            <w:shd w:fill="EAF3F5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154C5B"/>
                <w:sz w:val="19"/>
                <w:lang w:val="ru-RU"/>
              </w:rPr>
              <w:t>Правило для незакрытых объектов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Наличие gaps не уменьшает ценность завершённого ядра. Эти записи обозначают границу доказанного: они должны быть переданы Codex как frontier tasks, а не заполнены предположениями или общими ссылками на порталы.</w:t>
            </w:r>
          </w:p>
        </w:tc>
      </w:tr>
    </w:tbl>
    <w:p>
      <w:pPr>
        <w:spacing w:after="0"/>
      </w:pPr>
    </w:p>
    <w:p>
      <w:pPr>
        <w:pStyle w:val="Heading1"/>
        <w:keepNext/>
        <w:widowControl/>
        <w:spacing w:before="240" w:after="140" w:line="240" w:lineRule="auto"/>
        <w:pBdr>
          <w:bottom w:val="single" w:sz="10" w:space="4" w:color="C5A04A"/>
        </w:pBdr>
      </w:pPr>
      <w:r>
        <w:rPr>
          <w:rFonts w:ascii="Noto Serif" w:hAnsi="Noto Serif" w:eastAsia="Noto Serif"/>
          <w:b/>
          <w:color w:val="0F3945"/>
          <w:sz w:val="32"/>
          <w:lang w:val="ru-RU"/>
        </w:rPr>
        <w:t>7. Итоговая оценка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3307"/>
        <w:gridCol w:w="3307"/>
        <w:gridCol w:w="3307"/>
      </w:tblGrid>
      <w:tr>
        <w:trPr>
          <w:tblHeader w:val="true"/>
        </w:trPr>
        <w:tc>
          <w:tcPr>
            <w:tcW w:type="dxa" w:w="2381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Измерение</w:t>
            </w:r>
          </w:p>
        </w:tc>
        <w:tc>
          <w:tcPr>
            <w:tcW w:type="dxa" w:w="1700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Оценка</w:t>
            </w:r>
          </w:p>
        </w:tc>
        <w:tc>
          <w:tcPr>
            <w:tcW w:type="dxa" w:w="5102"/>
            <w:shd w:fill="154C5B"/>
            <w:tcMar>
              <w:top w:w="90" w:type="dxa"/>
              <w:start w:w="90" w:type="dxa"/>
              <w:bottom w:w="9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left"/>
            </w:pPr>
            <w:r>
              <w:rPr>
                <w:rFonts w:ascii="Noto Sans" w:hAnsi="Noto Sans" w:eastAsia="Noto Sans"/>
                <w:b/>
                <w:color w:val="FFFFFF"/>
                <w:sz w:val="15"/>
                <w:lang w:val="ru-RU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Покрытие центрального корпуса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Высокое</w:t>
            </w:r>
          </w:p>
        </w:tc>
        <w:tc>
          <w:tcPr>
            <w:tcW w:type="dxa" w:w="51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Tipiṭaka, три piṭaka, Nikāya, Abhidhamma/Kathāvatthu, chronicles, Visuddhimagga и commentary infrastructure имеют несколько законных входов.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Доступность Pāli originals</w:t>
            </w:r>
          </w:p>
        </w:tc>
        <w:tc>
          <w:tcPr>
            <w:tcW w:type="dxa" w:w="17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Очень высокая для normalized e-text</w:t>
            </w:r>
          </w:p>
        </w:tc>
        <w:tc>
          <w:tcPr>
            <w:tcW w:type="dxa" w:w="51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CC0 corpora and datasets доступны; manuscript-level variance и early witnesses покрыты неравномерно.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Английские переводы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Высокая</w:t>
            </w:r>
          </w:p>
        </w:tc>
        <w:tc>
          <w:tcPr>
            <w:tcW w:type="dxa" w:w="51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есть CC0 SuttaCentral, CC BY-NC PTS, public-domain classics и современные Wisdom editions.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Русские переводы</w:t>
            </w:r>
          </w:p>
        </w:tc>
        <w:tc>
          <w:tcPr>
            <w:tcW w:type="dxa" w:w="17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Средне-высокая, но не полная</w:t>
            </w:r>
          </w:p>
        </w:tc>
        <w:tc>
          <w:tcPr>
            <w:tcW w:type="dxa" w:w="51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четыре Nikāya 2026 доступны под CC0; Vinaya, Abhidhamma, полный Khuddaka и commentary corpus остаются фрагментарными.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Факсимиле и рукописи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Средняя</w:t>
            </w:r>
          </w:p>
        </w:tc>
        <w:tc>
          <w:tcPr>
            <w:tcW w:type="dxa" w:w="51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доступны BDRC/FPL, MMDL, DLNTM, DLLM и old scans; главная слабость — item-level normalization и image rights.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Наиболее свободный слой</w:t>
            </w:r>
          </w:p>
        </w:tc>
        <w:tc>
          <w:tcPr>
            <w:tcW w:type="dxa" w:w="17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Сильный</w:t>
            </w:r>
          </w:p>
        </w:tc>
        <w:tc>
          <w:tcPr>
            <w:tcW w:type="dxa" w:w="51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SuttaCentral/Bilara CC0, CRAN CC0, selected TextGrid/CBETA/DLNTM NC-open records и public-domain editions.</w:t>
            </w:r>
          </w:p>
        </w:tc>
      </w:tr>
      <w:tr>
        <w:trPr>
          <w:cantSplit/>
        </w:trPr>
        <w:tc>
          <w:tcPr>
            <w:tcW w:type="dxa" w:w="2381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Главные ограничения</w:t>
            </w:r>
          </w:p>
        </w:tc>
        <w:tc>
          <w:tcPr>
            <w:tcW w:type="dxa" w:w="1700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Современные editions/translations и digital images</w:t>
            </w:r>
          </w:p>
        </w:tc>
        <w:tc>
          <w:tcPr>
            <w:tcW w:type="dxa" w:w="5102"/>
            <w:shd w:fill="FFFFFF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purchase-only scholarship, mixed licences, ND, custom terms, rights_unknown scans and photographs.</w:t>
            </w:r>
          </w:p>
        </w:tc>
      </w:tr>
      <w:tr>
        <w:trPr>
          <w:cantSplit/>
        </w:trPr>
        <w:tc>
          <w:tcPr>
            <w:tcW w:type="dxa" w:w="2381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Готовность для Codex</w:t>
            </w:r>
          </w:p>
        </w:tc>
        <w:tc>
          <w:tcPr>
            <w:tcW w:type="dxa" w:w="1700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Да</w:t>
            </w:r>
          </w:p>
        </w:tc>
        <w:tc>
          <w:tcPr>
            <w:tcW w:type="dxa" w:w="5102"/>
            <w:shd w:fill="F7F9FA"/>
            <w:tcMar>
              <w:top w:w="70" w:type="dxa"/>
              <w:start w:w="90" w:type="dxa"/>
              <w:bottom w:w="70" w:type="dxa"/>
              <w:end w:w="90" w:type="dxa"/>
            </w:tcMar>
            <w:vAlign w:val="top"/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record_id просты, поля нормализованы, positive tags ограничены rights_scope/coverage, gaps вынесены отдельно.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Сводный вердикт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Корпус A21 покрыт достаточно хорошо для передачи в следующую стадию ToS. Самый доступный и юридически чистый слой находится не в современных коммерческих переводах, а в открытых Pāli roots and data: SuttaCentral/Bilara and CRAN. Они дают основу для локального исследования, полнотекстового поиска, embeddings, comparative alignment и собственного перевода. Для selected works этот слой дополняют CC BY-NC-SA TEI/XML и public-domain editions.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Главные ограничения сосредоточены в трёх местах: современная академическая редактура и перевод, где доступ часто purchase/preview; manuscript photography, где древний текст не освобождает современное изображение; и исторически важные, но утраченные или неразделимые слои — прежде всего Sinhala commentary substrate и rival monastic corpora. Эти ограничения не мешают ссылочному и исследовательскому использованию, но блокируют автоматическое зеркалирование.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Результат пригоден для Codex как исследовательский пакет: реестр и отчёт описывают один набор из 150 записей, права разнесены по work/version/digital object/site terms, а 16 нерешённых задач вынесены в gaps. Следующий этап должен заниматься дедупликацией сущностей, stable identifiers, relationship graph and automated ingestion rules — без изменения A21 и его статуса 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  <w:tblBorders>
          <w:top w:val="single" w:sz="8" w:space="0" w:color="C5A04A"/>
          <w:left w:val="single" w:sz="8" w:space="0" w:color="C5A04A"/>
          <w:bottom w:val="single" w:sz="8" w:space="0" w:color="C5A04A"/>
          <w:right w:val="single" w:sz="8" w:space="0" w:color="C5A04A"/>
          <w:insideH w:val="single" w:sz="8" w:space="0" w:color="C5A04A"/>
          <w:insideV w:val="single" w:sz="8" w:space="0" w:color="C5A04A"/>
        </w:tblBorders>
      </w:tblPr>
      <w:tblGrid>
        <w:gridCol w:w="9922"/>
      </w:tblGrid>
      <w:tr>
        <w:tc>
          <w:tcPr>
            <w:tcW w:type="dxa" w:w="9922"/>
            <w:shd w:fill="F6F0DF"/>
            <w:tcMar>
              <w:top w:w="110" w:type="dxa"/>
              <w:start w:w="150" w:type="dxa"/>
              <w:bottom w:w="110" w:type="dxa"/>
              <w:end w:w="150" w:type="dxa"/>
            </w:tcMar>
          </w:tcPr>
          <w:p>
            <w:pPr>
              <w:keepNext w:val="0"/>
              <w:widowControl/>
              <w:spacing w:before="0" w:after="40" w:line="259" w:lineRule="auto"/>
            </w:pPr>
            <w:r>
              <w:rPr>
                <w:rFonts w:ascii="Noto Sans" w:hAnsi="Noto Sans" w:eastAsia="Noto Sans"/>
                <w:b/>
                <w:color w:val="C5A04A"/>
                <w:sz w:val="19"/>
                <w:lang w:val="ru-RU"/>
              </w:rPr>
              <w:t>Итог в одной формуле</w:t>
            </w:r>
          </w:p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8"/>
                <w:lang w:val="ru-RU"/>
              </w:rPr>
              <w:t>A21 имеет сильный открытый цифровой фундамент, но не единый «свободный канон»: оригиналы, переводы, научные редакции, OCR, фотографии и datasets образуют разные правовые слои, которые ToS должен импортировать раздельно.</w:t>
            </w:r>
          </w:p>
        </w:tc>
      </w:tr>
    </w:tbl>
    <w:p>
      <w:pPr>
        <w:spacing w:after="0"/>
      </w:pPr>
    </w:p>
    <w:p>
      <w:pPr>
        <w:pStyle w:val="Heading2"/>
        <w:keepNext/>
        <w:widowControl/>
        <w:spacing w:before="160" w:after="80" w:line="240" w:lineRule="auto"/>
      </w:pPr>
      <w:r>
        <w:rPr>
          <w:rFonts w:ascii="Noto Sans" w:hAnsi="Noto Sans" w:eastAsia="Noto Sans"/>
          <w:b/>
          <w:color w:val="0F3945"/>
          <w:sz w:val="24"/>
          <w:lang w:val="ru-RU"/>
        </w:rPr>
        <w:t>Опорные страницы проверки</w:t>
      </w:r>
    </w:p>
    <w:p>
      <w:pPr>
        <w:keepNext w:val="0"/>
        <w:widowControl/>
        <w:spacing w:before="0" w:after="80" w:line="259" w:lineRule="auto"/>
      </w:pPr>
      <w:r>
        <w:rPr>
          <w:rFonts w:ascii="Noto Sans" w:hAnsi="Noto Sans" w:eastAsia="Noto Sans"/>
          <w:lang w:val="ru-RU"/>
        </w:rPr>
        <w:t>Ниже дана компактная выборка наиболее несущих official/academic access and rights pages. Полный набор landing URLs, direct downloads and rights evidence находится в XLSX.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space="0" w:color="D7E1E5"/>
          <w:left w:val="single" w:sz="4" w:space="0" w:color="D7E1E5"/>
          <w:bottom w:val="single" w:sz="4" w:space="0" w:color="D7E1E5"/>
          <w:right w:val="single" w:sz="4" w:space="0" w:color="D7E1E5"/>
          <w:insideH w:val="single" w:sz="4" w:space="0" w:color="D7E1E5"/>
          <w:insideV w:val="single" w:sz="4" w:space="0" w:color="D7E1E5"/>
        </w:tblBorders>
      </w:tblPr>
      <w:tblGrid>
        <w:gridCol w:w="4961"/>
        <w:gridCol w:w="4961"/>
      </w:tblGrid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Pali Text Society — canon inventory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1">
              <w:r>
                <w:rPr>
                  <w:color w:val="1B6A87"/>
                  <w:b/>
                  <w:rFonts w:ascii="Noto Sans" w:hAnsi="Noto Sans" w:cs="Noto Sans"/>
                </w:rPr>
                <w:t>A21-R001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Pali Text Society — commentaries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2">
              <w:r>
                <w:rPr>
                  <w:color w:val="1B6A87"/>
                  <w:b/>
                  <w:rFonts w:ascii="Noto Sans" w:hAnsi="Noto Sans" w:cs="Noto Sans"/>
                </w:rPr>
                <w:t>A21-R002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PTS copyright information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62">
              <w:r>
                <w:rPr>
                  <w:color w:val="1B6A87"/>
                  <w:b/>
                  <w:rFonts w:ascii="Noto Sans" w:hAnsi="Noto Sans" w:cs="Noto Sans"/>
                </w:rPr>
                <w:t>A21-R062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VRI Chaṭṭha Saṅgāyana corpus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0">
              <w:r>
                <w:rPr>
                  <w:color w:val="1B6A87"/>
                  <w:b/>
                  <w:rFonts w:ascii="Noto Sans" w:hAnsi="Noto Sans" w:cs="Noto Sans"/>
                </w:rPr>
                <w:t>A21-R006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SuttaCentral Pāli corpus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5">
              <w:r>
                <w:rPr>
                  <w:color w:val="1B6A87"/>
                  <w:b/>
                  <w:rFonts w:ascii="Noto Sans" w:hAnsi="Noto Sans" w:cs="Noto Sans"/>
                </w:rPr>
                <w:t>A21-R008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Bilara published data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6">
              <w:r>
                <w:rPr>
                  <w:color w:val="1B6A87"/>
                  <w:b/>
                  <w:rFonts w:ascii="Noto Sans" w:hAnsi="Noto Sans" w:cs="Noto Sans"/>
                </w:rPr>
                <w:t>A21-R009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SuttaCentral API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5">
              <w:r>
                <w:rPr>
                  <w:color w:val="1B6A87"/>
                  <w:b/>
                  <w:rFonts w:ascii="Noto Sans" w:hAnsi="Noto Sans" w:cs="Noto Sans"/>
                </w:rPr>
                <w:t>A21-R010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CRAN tipitaka.critical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7">
              <w:r>
                <w:rPr>
                  <w:color w:val="1B6A87"/>
                  <w:b/>
                  <w:rFonts w:ascii="Noto Sans" w:hAnsi="Noto Sans" w:cs="Noto Sans"/>
                </w:rPr>
                <w:t>A21-R012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CRAN tipitaka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6">
              <w:r>
                <w:rPr>
                  <w:color w:val="1B6A87"/>
                  <w:b/>
                  <w:rFonts w:ascii="Noto Sans" w:hAnsi="Noto Sans" w:cs="Noto Sans"/>
                </w:rPr>
                <w:t>A21-R013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BJT Pāli text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1">
              <w:r>
                <w:rPr>
                  <w:color w:val="1B6A87"/>
                  <w:b/>
                  <w:rFonts w:ascii="Noto Sans" w:hAnsi="Noto Sans" w:cs="Noto Sans"/>
                </w:rPr>
                <w:t>A21-R016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TextGrid Dīpavaṃsa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7">
              <w:r>
                <w:rPr>
                  <w:color w:val="1B6A87"/>
                  <w:b/>
                  <w:rFonts w:ascii="Noto Sans" w:hAnsi="Noto Sans" w:cs="Noto Sans"/>
                </w:rPr>
                <w:t>A21-R101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TextGrid Kathāvatthu I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8">
              <w:r>
                <w:rPr>
                  <w:color w:val="1B6A87"/>
                  <w:b/>
                  <w:rFonts w:ascii="Noto Sans" w:hAnsi="Noto Sans" w:cs="Noto Sans"/>
                </w:rPr>
                <w:t>A21-R102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BPS Path of Purification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00">
              <w:r>
                <w:rPr>
                  <w:color w:val="1B6A87"/>
                  <w:b/>
                  <w:rFonts w:ascii="Noto Sans" w:hAnsi="Noto Sans" w:cs="Noto Sans"/>
                </w:rPr>
                <w:t>A21-R106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HKU Vimuttimagga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36">
              <w:r>
                <w:rPr>
                  <w:color w:val="1B6A87"/>
                  <w:b/>
                  <w:rFonts w:ascii="Noto Sans" w:hAnsi="Noto Sans" w:cs="Noto Sans"/>
                </w:rPr>
                <w:t>A21-R108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CBETA T1648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29">
              <w:r>
                <w:rPr>
                  <w:color w:val="1B6A87"/>
                  <w:b/>
                  <w:rFonts w:ascii="Noto Sans" w:hAnsi="Noto Sans" w:cs="Noto Sans"/>
                </w:rPr>
                <w:t>A21-R109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BDRC Fragile Palm Leaves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18">
              <w:r>
                <w:rPr>
                  <w:color w:val="1B6A87"/>
                  <w:b/>
                  <w:rFonts w:ascii="Noto Sans" w:hAnsi="Noto Sans" w:cs="Noto Sans"/>
                </w:rPr>
                <w:t>A21-R030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Myanmar Manuscript Digital Library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51">
              <w:r>
                <w:rPr>
                  <w:color w:val="1B6A87"/>
                  <w:b/>
                  <w:rFonts w:ascii="Noto Sans" w:hAnsi="Noto Sans" w:cs="Noto Sans"/>
                </w:rPr>
                <w:t>A21-R031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Northern Thai Manuscripts IIIF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54">
              <w:r>
                <w:rPr>
                  <w:color w:val="1B6A87"/>
                  <w:b/>
                  <w:rFonts w:ascii="Noto Sans" w:hAnsi="Noto Sans" w:cs="Noto Sans"/>
                </w:rPr>
                <w:t>A21-R033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Kuthodaw UNESCO entry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55">
              <w:r>
                <w:rPr>
                  <w:color w:val="1B6A87"/>
                  <w:b/>
                  <w:rFonts w:ascii="Noto Sans" w:hAnsi="Noto Sans" w:cs="Noto Sans"/>
                </w:rPr>
                <w:t>A21-R034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7F9FA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CBETA Saṃyukta Āgama T99</w:t>
            </w:r>
          </w:p>
        </w:tc>
        <w:tc>
          <w:tcPr>
            <w:tcW w:type="dxa" w:w="2381"/>
            <w:shd w:fill="F6F0D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30">
              <w:r>
                <w:rPr>
                  <w:color w:val="1B6A87"/>
                  <w:b/>
                  <w:rFonts w:ascii="Noto Sans" w:hAnsi="Noto Sans" w:cs="Noto Sans"/>
                </w:rPr>
                <w:t>A21-R144</w:t>
              </w:r>
            </w:hyperlink>
          </w:p>
        </w:tc>
      </w:tr>
      <w:tr>
        <w:trPr>
          <w:cantSplit/>
        </w:trPr>
        <w:tc>
          <w:tcPr>
            <w:tcW w:type="dxa" w:w="6689"/>
            <w:shd w:fill="FFFFFF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</w:pPr>
            <w:r>
              <w:rPr>
                <w:rFonts w:ascii="Noto Sans" w:hAnsi="Noto Sans" w:eastAsia="Noto Sans"/>
                <w:sz w:val="15"/>
                <w:lang w:val="ru-RU"/>
              </w:rPr>
              <w:t>UNESCO Mahāvaṃsa entry</w:t>
            </w:r>
          </w:p>
        </w:tc>
        <w:tc>
          <w:tcPr>
            <w:tcW w:type="dxa" w:w="2381"/>
            <w:shd w:fill="EAF3F5"/>
            <w:tcMar>
              <w:top w:w="60" w:type="dxa"/>
              <w:start w:w="90" w:type="dxa"/>
              <w:bottom w:w="60" w:type="dxa"/>
              <w:end w:w="90" w:type="dxa"/>
            </w:tcMar>
          </w:tcPr>
          <w:p>
            <w:pPr>
              <w:keepNext w:val="0"/>
              <w:widowControl/>
              <w:spacing w:before="0" w:after="0" w:line="259" w:lineRule="auto"/>
              <w:jc w:val="center"/>
            </w:pPr>
            <w:hyperlink r:id="rId98">
              <w:r>
                <w:rPr>
                  <w:color w:val="1B6A87"/>
                  <w:b/>
                  <w:rFonts w:ascii="Noto Sans" w:hAnsi="Noto Sans" w:cs="Noto Sans"/>
                </w:rPr>
                <w:t>A21-R147</w:t>
              </w:r>
            </w:hyperlink>
          </w:p>
        </w:tc>
      </w:tr>
    </w:tbl>
    <w:p/>
    <w:p>
      <w:pPr>
        <w:keepNext w:val="0"/>
        <w:widowControl/>
        <w:spacing w:before="200" w:after="0" w:line="259" w:lineRule="auto"/>
        <w:jc w:val="center"/>
        <w:pBdr>
          <w:bottom w:val="single" w:sz="8" w:space="3" w:color="C5A04A"/>
        </w:pBdr>
      </w:pPr>
      <w:r>
        <w:rPr>
          <w:rFonts w:ascii="Noto Sans" w:hAnsi="Noto Sans" w:eastAsia="Noto Sans"/>
          <w:b/>
          <w:color w:val="C5A04A"/>
          <w:sz w:val="16"/>
          <w:lang w:val="ru-RU"/>
        </w:rPr>
        <w:t>Конец отчёта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935" w:right="992" w:bottom="879" w:left="992" w:header="397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" w:hAnsi="Noto Sans"/>
        <w:color w:val="60707A"/>
        <w:sz w:val="16"/>
      </w:rPr>
      <w:t xml:space="preserve">A21  ·  </w:t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widowControl/>
      <w:spacing w:before="0" w:after="0" w:line="259" w:lineRule="auto"/>
      <w:jc w:val="left"/>
      <w:pBdr>
        <w:bottom w:val="single" w:sz="4" w:space="2" w:color="D7E1E5"/>
      </w:pBdr>
    </w:pPr>
    <w:r>
      <w:rPr>
        <w:rFonts w:ascii="Noto Sans" w:hAnsi="Noto Sans" w:eastAsia="Noto Sans"/>
        <w:b/>
        <w:color w:val="0F3945"/>
        <w:sz w:val="16"/>
        <w:lang w:val="ru-RU"/>
      </w:rPr>
      <w:t>ToS Corpus &amp; Rights Registry</w:t>
    </w:r>
    <w:r>
      <w:rPr>
        <w:rFonts w:ascii="Noto Sans" w:hAnsi="Noto Sans" w:eastAsia="Noto Sans"/>
        <w:color w:val="60707A"/>
        <w:sz w:val="16"/>
        <w:lang w:val="ru-RU"/>
      </w:rPr>
      <w:t xml:space="preserve">   ·   A21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80" w:line="259" w:lineRule="auto"/>
    </w:pPr>
    <w:rPr>
      <w:rFonts w:ascii="Noto Sans" w:hAnsi="Noto Sans" w:eastAsia="Noto Sans"/>
      <w:color w:val="1F2933"/>
      <w:sz w:val="18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widowControl/>
      <w:spacing w:before="480" w:after="0"/>
      <w:outlineLvl w:val="0"/>
    </w:pPr>
    <w:rPr>
      <w:rFonts w:asciiTheme="majorHAnsi" w:eastAsiaTheme="majorEastAsia" w:hAnsiTheme="majorHAnsi" w:cstheme="majorBidi" w:ascii="Noto Serif" w:hAnsi="Noto Serif" w:eastAsia="Noto Serif"/>
      <w:b/>
      <w:bCs/>
      <w:color w:val="0F3945"/>
      <w:sz w:val="32"/>
      <w:szCs w:val="28"/>
      <w:lang w:val="ru-RU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widowControl/>
      <w:spacing w:before="200" w:after="0"/>
      <w:outlineLvl w:val="1"/>
    </w:pPr>
    <w:rPr>
      <w:rFonts w:asciiTheme="majorHAnsi" w:eastAsiaTheme="majorEastAsia" w:hAnsiTheme="majorHAnsi" w:cstheme="majorBidi" w:ascii="Noto Sans" w:hAnsi="Noto Sans" w:eastAsia="Noto Sans"/>
      <w:b/>
      <w:bCs/>
      <w:color w:val="0F3945"/>
      <w:sz w:val="24"/>
      <w:szCs w:val="26"/>
      <w:lang w:val="ru-RU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200" w:after="0"/>
      <w:outlineLvl w:val="2"/>
    </w:pPr>
    <w:rPr>
      <w:rFonts w:asciiTheme="majorHAnsi" w:eastAsiaTheme="majorEastAsia" w:hAnsiTheme="majorHAnsi" w:cstheme="majorBidi" w:ascii="Noto Sans" w:hAnsi="Noto Sans" w:eastAsia="Noto Sans"/>
      <w:b/>
      <w:bCs/>
      <w:color w:val="1F2933"/>
      <w:sz w:val="21"/>
      <w:lang w:val="ru-RU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erif" w:hAnsi="Noto Serif" w:eastAsia="Noto Serif"/>
      <w:b/>
      <w:color w:val="0F3945"/>
      <w:spacing w:val="5"/>
      <w:kern w:val="28"/>
      <w:sz w:val="48"/>
      <w:szCs w:val="52"/>
      <w:lang w:val="ru-RU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60707A"/>
      <w:spacing w:val="15"/>
      <w:sz w:val="24"/>
      <w:szCs w:val="24"/>
      <w:lang w:val="ru-RU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pPr>
      <w:spacing w:after="40" w:line="240" w:lineRule="auto"/>
    </w:pPr>
    <w:rPr>
      <w:rFonts w:ascii="Noto Sans" w:hAnsi="Noto Sans" w:eastAsia="Noto Sans"/>
      <w:color w:val="60707A"/>
      <w:sz w:val="15"/>
      <w:lang w:val="ru-RU"/>
    </w:rPr>
  </w:style>
  <w:style w:type="paragraph" w:customStyle="1" w:styleId="Metric">
    <w:name w:val="Metric"/>
    <w:pPr>
      <w:spacing w:after="0"/>
    </w:pPr>
    <w:rPr>
      <w:rFonts w:ascii="Noto Sans" w:hAnsi="Noto Sans" w:eastAsia="Noto Sans"/>
      <w:b/>
      <w:color w:val="0F3945"/>
      <w:sz w:val="32"/>
      <w:lang w:val="ru-RU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palitextsociety.org/the-books-of-the-pali-canon/" TargetMode="External"/><Relationship Id="rId12" Type="http://schemas.openxmlformats.org/officeDocument/2006/relationships/hyperlink" Target="https://palitextsociety.org/the-books-of-the-pali-canon-the-commentaries/" TargetMode="External"/><Relationship Id="rId13" Type="http://schemas.openxmlformats.org/officeDocument/2006/relationships/hyperlink" Target="https://palitextsociety.org/non-canonical-texts-their-translations/" TargetMode="External"/><Relationship Id="rId14" Type="http://schemas.openxmlformats.org/officeDocument/2006/relationships/hyperlink" Target="https://palitextsociety.org/non-pts-editions-of-pali-texts/" TargetMode="External"/><Relationship Id="rId15" Type="http://schemas.openxmlformats.org/officeDocument/2006/relationships/hyperlink" Target="https://suttacentral.net/pitaka" TargetMode="External"/><Relationship Id="rId16" Type="http://schemas.openxmlformats.org/officeDocument/2006/relationships/hyperlink" Target="https://github.com/suttacentral/bilara-data" TargetMode="External"/><Relationship Id="rId17" Type="http://schemas.openxmlformats.org/officeDocument/2006/relationships/hyperlink" Target="https://cran.r-project.org/package=tipitaka.critical" TargetMode="External"/><Relationship Id="rId18" Type="http://schemas.openxmlformats.org/officeDocument/2006/relationships/hyperlink" Target="https://library.bdrc.io/show/bdr:PR1EAP1150" TargetMode="External"/><Relationship Id="rId19" Type="http://schemas.openxmlformats.org/officeDocument/2006/relationships/hyperlink" Target="https://palitextsociety.org/product/pali-canon-in-english-translation-set/" TargetMode="External"/><Relationship Id="rId20" Type="http://schemas.openxmlformats.org/officeDocument/2006/relationships/hyperlink" Target="https://www.tipitaka.org/" TargetMode="External"/><Relationship Id="rId21" Type="http://schemas.openxmlformats.org/officeDocument/2006/relationships/hyperlink" Target="https://open.tipitaka.lk/latn/" TargetMode="External"/><Relationship Id="rId22" Type="http://schemas.openxmlformats.org/officeDocument/2006/relationships/hyperlink" Target="https://suttacentral.net/pitaka/vinaya" TargetMode="External"/><Relationship Id="rId23" Type="http://schemas.openxmlformats.org/officeDocument/2006/relationships/hyperlink" Target="https://suttacentral.net/pitaka/sutta" TargetMode="External"/><Relationship Id="rId24" Type="http://schemas.openxmlformats.org/officeDocument/2006/relationships/hyperlink" Target="https://suttacentral.net/pitaka/abhidhamma" TargetMode="External"/><Relationship Id="rId25" Type="http://schemas.openxmlformats.org/officeDocument/2006/relationships/hyperlink" Target="https://suttacentral.net/api/docs/" TargetMode="External"/><Relationship Id="rId26" Type="http://schemas.openxmlformats.org/officeDocument/2006/relationships/hyperlink" Target="https://cran.r-project.org/package=tipitaka" TargetMode="External"/><Relationship Id="rId27" Type="http://schemas.openxmlformats.org/officeDocument/2006/relationships/hyperlink" Target="https://www.textgridrep.org/browse/49pm9.0?mode=gallery" TargetMode="External"/><Relationship Id="rId28" Type="http://schemas.openxmlformats.org/officeDocument/2006/relationships/hyperlink" Target="https://textgridrep.org/browse/49pst.0?lang=en" TargetMode="External"/><Relationship Id="rId29" Type="http://schemas.openxmlformats.org/officeDocument/2006/relationships/hyperlink" Target="https://cbetaonline.dila.edu.tw/zh/T1648" TargetMode="External"/><Relationship Id="rId30" Type="http://schemas.openxmlformats.org/officeDocument/2006/relationships/hyperlink" Target="https://cbetaonline.dila.edu.tw/zh/T0099" TargetMode="External"/><Relationship Id="rId31" Type="http://schemas.openxmlformats.org/officeDocument/2006/relationships/hyperlink" Target="https://suttacentral.net/dn" TargetMode="External"/><Relationship Id="rId32" Type="http://schemas.openxmlformats.org/officeDocument/2006/relationships/hyperlink" Target="https://suttacentral.net/mn" TargetMode="External"/><Relationship Id="rId33" Type="http://schemas.openxmlformats.org/officeDocument/2006/relationships/hyperlink" Target="https://suttacentral.net/sn" TargetMode="External"/><Relationship Id="rId34" Type="http://schemas.openxmlformats.org/officeDocument/2006/relationships/hyperlink" Target="https://suttacentral.net/an" TargetMode="External"/><Relationship Id="rId35" Type="http://schemas.openxmlformats.org/officeDocument/2006/relationships/hyperlink" Target="https://gandhari.org/" TargetMode="External"/><Relationship Id="rId36" Type="http://schemas.openxmlformats.org/officeDocument/2006/relationships/hyperlink" Target="https://www.buddhism.hku.hk/publication-post/the-path-to-freedom-vimuttimagga/" TargetMode="External"/><Relationship Id="rId37" Type="http://schemas.openxmlformats.org/officeDocument/2006/relationships/hyperlink" Target="https://www.accesstoinsight.org/lib/authors/dhammika/wheel386.html" TargetMode="External"/><Relationship Id="rId38" Type="http://schemas.openxmlformats.org/officeDocument/2006/relationships/hyperlink" Target="https://asian.washington.edu/british-library-kharosthi-fragments" TargetMode="External"/><Relationship Id="rId39" Type="http://schemas.openxmlformats.org/officeDocument/2006/relationships/hyperlink" Target="https://guides.loc.gov/south-asian-manuscripts/gandhara" TargetMode="External"/><Relationship Id="rId40" Type="http://schemas.openxmlformats.org/officeDocument/2006/relationships/hyperlink" Target="https://palitextsociety.org/product/abhidhammatthasa%E1%B9%85gaha-and-abhidhammatthavibhavini-%E1%B9%ADika/" TargetMode="External"/><Relationship Id="rId41" Type="http://schemas.openxmlformats.org/officeDocument/2006/relationships/hyperlink" Target="https://palitextsociety.org/product/culava%E1%B9%83sa/" TargetMode="External"/><Relationship Id="rId42" Type="http://schemas.openxmlformats.org/officeDocument/2006/relationships/hyperlink" Target="https://palitextsociety.org/product/mahava%E1%B9%83sa-%E1%B9%ADika-va%E1%B9%83satthappakasini-2-volume-set/" TargetMode="External"/><Relationship Id="rId43" Type="http://schemas.openxmlformats.org/officeDocument/2006/relationships/hyperlink" Target="https://palitextsociety.org/product/extended-mahava%E1%B9%83sa/" TargetMode="External"/><Relationship Id="rId44" Type="http://schemas.openxmlformats.org/officeDocument/2006/relationships/hyperlink" Target="https://palitextsociety.org/product/anagatava%E1%B9%83sa/" TargetMode="External"/><Relationship Id="rId45" Type="http://schemas.openxmlformats.org/officeDocument/2006/relationships/hyperlink" Target="https://palitextsociety.org/product/da%E1%B9%ADhava%E1%B9%83sa/" TargetMode="External"/><Relationship Id="rId46" Type="http://schemas.openxmlformats.org/officeDocument/2006/relationships/hyperlink" Target="https://palitextsociety.org/product/khuddasikkha-and-mulasikkha/" TargetMode="External"/><Relationship Id="rId47" Type="http://schemas.openxmlformats.org/officeDocument/2006/relationships/hyperlink" Target="https://palitextsociety.org/product/namarupariccheda/" TargetMode="External"/><Relationship Id="rId48" Type="http://schemas.openxmlformats.org/officeDocument/2006/relationships/hyperlink" Target="https://palitextsociety.org/product/paramatthavinicchaya/" TargetMode="External"/><Relationship Id="rId49" Type="http://schemas.openxmlformats.org/officeDocument/2006/relationships/hyperlink" Target="https://palitextsociety.org/product/saccasa%E1%B9%85khepa/" TargetMode="External"/><Relationship Id="rId50" Type="http://schemas.openxmlformats.org/officeDocument/2006/relationships/hyperlink" Target="https://palitextsociety.org/product/yamaka-commentary/" TargetMode="External"/><Relationship Id="rId51" Type="http://schemas.openxmlformats.org/officeDocument/2006/relationships/hyperlink" Target="https://myanmarmanuscripts.org/databases/" TargetMode="External"/><Relationship Id="rId52" Type="http://schemas.openxmlformats.org/officeDocument/2006/relationships/hyperlink" Target="https://archive.org/details/buddha-jayanthi-tripitaka-collection" TargetMode="External"/><Relationship Id="rId53" Type="http://schemas.openxmlformats.org/officeDocument/2006/relationships/hyperlink" Target="https://digital.crossasia.org/digital-library-of-lao-manuscripts/?lang=en" TargetMode="External"/><Relationship Id="rId54" Type="http://schemas.openxmlformats.org/officeDocument/2006/relationships/hyperlink" Target="https://iiif.crossasia.org/s/lanna/search?fulltext=" TargetMode="External"/><Relationship Id="rId55" Type="http://schemas.openxmlformats.org/officeDocument/2006/relationships/hyperlink" Target="https://www.unesco.org/en/memory-world/maha-lawkamarazein-or-kuthodaw-inscription-shrines" TargetMode="External"/><Relationship Id="rId56" Type="http://schemas.openxmlformats.org/officeDocument/2006/relationships/hyperlink" Target="https://kuthodaw-texts.net/s/pali-texts/page/research" TargetMode="External"/><Relationship Id="rId57" Type="http://schemas.openxmlformats.org/officeDocument/2006/relationships/hyperlink" Target="https://searcharchives.bl.uk/?f%5Blevel_ssi%5D%5B%5D=%5B40%5D+File&amp;f%5Bproject_collections_ssim%5D%5B%5D=Fragile+palm+leaves+digitisation+initiative" TargetMode="External"/><Relationship Id="rId58" Type="http://schemas.openxmlformats.org/officeDocument/2006/relationships/hyperlink" Target="https://searcharchives.bl.uk/?f%5Bproject_collections_ssim%5D%5B%5D=Fragile+palm+leaves+digitisation+initiative&amp;f%5Brelated_subjects_ssim%5D%5B%5D=Abhidharma" TargetMode="External"/><Relationship Id="rId59" Type="http://schemas.openxmlformats.org/officeDocument/2006/relationships/hyperlink" Target="https://iiif.crossasia.org/s/lanna/manifests/560999" TargetMode="External"/><Relationship Id="rId60" Type="http://schemas.openxmlformats.org/officeDocument/2006/relationships/hyperlink" Target="https://iiif.crossasia.org/s/lanna/manifests/559711" TargetMode="External"/><Relationship Id="rId61" Type="http://schemas.openxmlformats.org/officeDocument/2006/relationships/hyperlink" Target="https://searcharchives.bl.uk/catalog/040-004362197" TargetMode="External"/><Relationship Id="rId62" Type="http://schemas.openxmlformats.org/officeDocument/2006/relationships/hyperlink" Target="https://palitextsociety.org/product/the-book-of-the-discipline-complete-set-of-6-volumes/" TargetMode="External"/><Relationship Id="rId63" Type="http://schemas.openxmlformats.org/officeDocument/2006/relationships/hyperlink" Target="https://sacred-texts.com/bud/sbe13/index.htm" TargetMode="External"/><Relationship Id="rId64" Type="http://schemas.openxmlformats.org/officeDocument/2006/relationships/hyperlink" Target="https://sacred-texts.com/bud/sbe17/index.htm" TargetMode="External"/><Relationship Id="rId65" Type="http://schemas.openxmlformats.org/officeDocument/2006/relationships/hyperlink" Target="https://sacred-texts.com/bud/sbe20/index.htm" TargetMode="External"/><Relationship Id="rId66" Type="http://schemas.openxmlformats.org/officeDocument/2006/relationships/hyperlink" Target="https://archive.org/details/in.ernet.dli.2015.196037" TargetMode="External"/><Relationship Id="rId67" Type="http://schemas.openxmlformats.org/officeDocument/2006/relationships/hyperlink" Target="https://suttacentral.net/dhp" TargetMode="External"/><Relationship Id="rId68" Type="http://schemas.openxmlformats.org/officeDocument/2006/relationships/hyperlink" Target="https://suttacentral.net/snp" TargetMode="External"/><Relationship Id="rId69" Type="http://schemas.openxmlformats.org/officeDocument/2006/relationships/hyperlink" Target="https://suttacentral.net/ud" TargetMode="External"/><Relationship Id="rId70" Type="http://schemas.openxmlformats.org/officeDocument/2006/relationships/hyperlink" Target="https://suttacentral.net/iti" TargetMode="External"/><Relationship Id="rId71" Type="http://schemas.openxmlformats.org/officeDocument/2006/relationships/hyperlink" Target="https://suttacentral.net/kp" TargetMode="External"/><Relationship Id="rId72" Type="http://schemas.openxmlformats.org/officeDocument/2006/relationships/hyperlink" Target="https://suttacentral.net/thag" TargetMode="External"/><Relationship Id="rId73" Type="http://schemas.openxmlformats.org/officeDocument/2006/relationships/hyperlink" Target="https://suttacentral.net/thig" TargetMode="External"/><Relationship Id="rId74" Type="http://schemas.openxmlformats.org/officeDocument/2006/relationships/hyperlink" Target="https://wisdomexperience.org/product/long-discourses-buddha/" TargetMode="External"/><Relationship Id="rId75" Type="http://schemas.openxmlformats.org/officeDocument/2006/relationships/hyperlink" Target="https://wisdomexperience.org/product/middle-length-discourses-buddha/" TargetMode="External"/><Relationship Id="rId76" Type="http://schemas.openxmlformats.org/officeDocument/2006/relationships/hyperlink" Target="https://wisdomexperience.org/product/connected-discourses-buddha/" TargetMode="External"/><Relationship Id="rId77" Type="http://schemas.openxmlformats.org/officeDocument/2006/relationships/hyperlink" Target="https://wisdomexperience.org/product/numerical-discourses-buddha/" TargetMode="External"/><Relationship Id="rId78" Type="http://schemas.openxmlformats.org/officeDocument/2006/relationships/hyperlink" Target="https://wisdomexperience.org/product/suttanipata/" TargetMode="External"/><Relationship Id="rId79" Type="http://schemas.openxmlformats.org/officeDocument/2006/relationships/hyperlink" Target="https://wisdomexperience.org/product/the-nikayas-set/" TargetMode="External"/><Relationship Id="rId80" Type="http://schemas.openxmlformats.org/officeDocument/2006/relationships/hyperlink" Target="https://sacred-texts.com/bud/dob/index.htm" TargetMode="External"/><Relationship Id="rId81" Type="http://schemas.openxmlformats.org/officeDocument/2006/relationships/hyperlink" Target="https://sacred-texts.com/bud/sbe10/index.htm" TargetMode="External"/><Relationship Id="rId82" Type="http://schemas.openxmlformats.org/officeDocument/2006/relationships/hyperlink" Target="https://palitextsociety.org/product/a-buddhist-manual-of-psychological-ethics/" TargetMode="External"/><Relationship Id="rId83" Type="http://schemas.openxmlformats.org/officeDocument/2006/relationships/hyperlink" Target="https://palitextsociety.org/product/the-book-of-analysis/" TargetMode="External"/><Relationship Id="rId84" Type="http://schemas.openxmlformats.org/officeDocument/2006/relationships/hyperlink" Target="https://palitextsociety.org/product/discourse-on-elements/" TargetMode="External"/><Relationship Id="rId85" Type="http://schemas.openxmlformats.org/officeDocument/2006/relationships/hyperlink" Target="https://palitextsociety.org/product/a-designation-of-human-types/" TargetMode="External"/><Relationship Id="rId86" Type="http://schemas.openxmlformats.org/officeDocument/2006/relationships/hyperlink" Target="https://palitextsociety.org/product/points-of-controversy/" TargetMode="External"/><Relationship Id="rId87" Type="http://schemas.openxmlformats.org/officeDocument/2006/relationships/hyperlink" Target="https://palitextsociety.org/product/conditional-relations/" TargetMode="External"/><Relationship Id="rId88" Type="http://schemas.openxmlformats.org/officeDocument/2006/relationships/hyperlink" Target="https://archive.org/details/buddhistmanualof00davirich" TargetMode="External"/><Relationship Id="rId89" Type="http://schemas.openxmlformats.org/officeDocument/2006/relationships/hyperlink" Target="https://archive.org/details/pointsofcontrove00mogg" TargetMode="External"/><Relationship Id="rId90" Type="http://schemas.openxmlformats.org/officeDocument/2006/relationships/hyperlink" Target="https://www.textgridrep.org/browse/49psx.0?mode=gallery" TargetMode="External"/><Relationship Id="rId91" Type="http://schemas.openxmlformats.org/officeDocument/2006/relationships/hyperlink" Target="https://palitextsociety.org/product/compendium-of-philosophy/" TargetMode="External"/><Relationship Id="rId92" Type="http://schemas.openxmlformats.org/officeDocument/2006/relationships/hyperlink" Target="https://archive.org/details/in.ernet.dli.2015.22171" TargetMode="External"/><Relationship Id="rId93" Type="http://schemas.openxmlformats.org/officeDocument/2006/relationships/hyperlink" Target="https://archive.org/details/in.ernet.dli.2015.188996" TargetMode="External"/><Relationship Id="rId94" Type="http://schemas.openxmlformats.org/officeDocument/2006/relationships/hyperlink" Target="https://palitextsociety.org/product/culava%E1%B9%83sa-translation/" TargetMode="External"/><Relationship Id="rId95" Type="http://schemas.openxmlformats.org/officeDocument/2006/relationships/hyperlink" Target="https://palitextsociety.org/product/mahava%E1%B9%83sa/" TargetMode="External"/><Relationship Id="rId96" Type="http://schemas.openxmlformats.org/officeDocument/2006/relationships/hyperlink" Target="https://palitextsociety.org/product/the-great-chronicle-of-ceylon/" TargetMode="External"/><Relationship Id="rId97" Type="http://schemas.openxmlformats.org/officeDocument/2006/relationships/hyperlink" Target="https://palitextsociety.org/product/saddhammasa%E1%B9%85gaha/" TargetMode="External"/><Relationship Id="rId98" Type="http://schemas.openxmlformats.org/officeDocument/2006/relationships/hyperlink" Target="https://www.unesco.org/en/memory-world/mahavamsa-great-chronicle-sri-lanka-covering-period-6th-century-bce-1815-ce" TargetMode="External"/><Relationship Id="rId99" Type="http://schemas.openxmlformats.org/officeDocument/2006/relationships/hyperlink" Target="https://archive.org/details/pathofpuritybein01budduoft" TargetMode="External"/><Relationship Id="rId100" Type="http://schemas.openxmlformats.org/officeDocument/2006/relationships/hyperlink" Target="https://archive.org/download/bpscom/BPS%20COM.rar/BPS%20COM%2FBP%20BOOKS%2Fbp207h_The-Path-of-Purification-%28Visuddhimagga%29.pdf" TargetMode="External"/><Relationship Id="rId101" Type="http://schemas.openxmlformats.org/officeDocument/2006/relationships/hyperlink" Target="https://store.pariyatti.org/products/1386" TargetMode="External"/><Relationship Id="rId102" Type="http://schemas.openxmlformats.org/officeDocument/2006/relationships/hyperlink" Target="https://store.pariyatti.org/products/1467" TargetMode="External"/><Relationship Id="rId103" Type="http://schemas.openxmlformats.org/officeDocument/2006/relationships/hyperlink" Target="https://palitextsociety.org/product/dispeller-of-delusion/" TargetMode="External"/><Relationship Id="rId104" Type="http://schemas.openxmlformats.org/officeDocument/2006/relationships/hyperlink" Target="https://palitextsociety.org/product/the-guide/" TargetMode="External"/><Relationship Id="rId105" Type="http://schemas.openxmlformats.org/officeDocument/2006/relationships/hyperlink" Target="https://palitextsociety.org/product/the-minor-readings-and-the-illustrator-of-ultimate-meaning/" TargetMode="External"/><Relationship Id="rId106" Type="http://schemas.openxmlformats.org/officeDocument/2006/relationships/hyperlink" Target="https://palitextsociety.org/product/pi%E1%B9%ADaka-disclosure/" TargetMode="External"/><Relationship Id="rId107" Type="http://schemas.openxmlformats.org/officeDocument/2006/relationships/hyperlink" Target="https://github.com/digitalpalidictionary/dpd-db" TargetMode="External"/><Relationship Id="rId108" Type="http://schemas.openxmlformats.org/officeDocument/2006/relationships/hyperlink" Target="https://github.com/sasanarakkha/dpd-db-sbs" TargetMode="External"/><Relationship Id="rId109" Type="http://schemas.openxmlformats.org/officeDocument/2006/relationships/hyperlink" Target="https://palitextsociety.org/product/middle-length-sayings-3-volume-set/" TargetMode="External"/><Relationship Id="rId110" Type="http://schemas.openxmlformats.org/officeDocument/2006/relationships/hyperlink" Target="https://palitextsociety.org/product/the-book-of-the-kindred-sayings-5-volume-set/" TargetMode="External"/><Relationship Id="rId111" Type="http://schemas.openxmlformats.org/officeDocument/2006/relationships/hyperlink" Target="https://palitextsociety.org/product/the-book-of-gradual-sayings-5-volume-set/" TargetMode="External"/><Relationship Id="rId112" Type="http://schemas.openxmlformats.org/officeDocument/2006/relationships/hyperlink" Target="https://palitextsociety.org/product/the-path-of-discrimination/" TargetMode="External"/><Relationship Id="rId113" Type="http://schemas.openxmlformats.org/officeDocument/2006/relationships/hyperlink" Target="https://www.textgridrep.org/browse/49pp9.0?mode=gallery" TargetMode="External"/><Relationship Id="rId114" Type="http://schemas.openxmlformats.org/officeDocument/2006/relationships/hyperlink" Target="https://textgridrep.org/browse/49pph.0" TargetMode="External"/><Relationship Id="rId115" Type="http://schemas.openxmlformats.org/officeDocument/2006/relationships/hyperlink" Target="https://tipitaka.lk/" TargetMode="External"/><Relationship Id="rId116" Type="http://schemas.openxmlformats.org/officeDocument/2006/relationships/hyperlink" Target="https://www.accesstoinsight.org/tech/download/bulk.html" TargetMode="External"/><Relationship Id="rId117" Type="http://schemas.openxmlformats.org/officeDocument/2006/relationships/hyperlink" Target="https://www.accesstoinsight.org/" TargetMode="External"/><Relationship Id="rId118" Type="http://schemas.openxmlformats.org/officeDocument/2006/relationships/hyperlink" Target="https://palitextsociety.org/product/gandhava%E1%B9%83sa/" TargetMode="External"/><Relationship Id="rId119" Type="http://schemas.openxmlformats.org/officeDocument/2006/relationships/hyperlink" Target="https://palitextsociety.org/product/jinacarita/" TargetMode="External"/><Relationship Id="rId120" Type="http://schemas.openxmlformats.org/officeDocument/2006/relationships/hyperlink" Target="https://palitextsociety.org/product/milindapanha-milinda-%E1%B9%ADika/" TargetMode="External"/><Relationship Id="rId121" Type="http://schemas.openxmlformats.org/officeDocument/2006/relationships/hyperlink" Target="https://palitextsociety.org/product/milindas-questions-2-volume-set/" TargetMode="External"/><Relationship Id="rId122" Type="http://schemas.openxmlformats.org/officeDocument/2006/relationships/hyperlink" Target="https://palitextsociety.org/product/nettipakara%E1%B9%87a/" TargetMode="External"/><Relationship Id="rId123" Type="http://schemas.openxmlformats.org/officeDocument/2006/relationships/hyperlink" Target="https://palitextsociety.org/product/pe%E1%B9%ADakopadesa/" TargetMode="External"/><Relationship Id="rId124" Type="http://schemas.openxmlformats.org/officeDocument/2006/relationships/hyperlink" Target="https://huggingface.co/datasets/RaniduG/SiPaKosa" TargetMode="External"/><Relationship Id="rId125" Type="http://schemas.openxmlformats.org/officeDocument/2006/relationships/hyperlink" Target="https://huggingface.co/datasets/RaniduG/SiPaKosa-Sen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ToS Corpus &amp; Rights Registry — A21</dc:title>
  <dc:subject>Тхеравада и письменная фиксация палийского канона</dc:subject>
  <dc:creator>ToS / Древо Софии</dc:creator>
  <cp:keywords>Theravada, Pali Canon, Tipitaka, rights, corpus, A21</cp:keywords>
  <dc:description>Research package checked 2026-09-03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