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91"/>
        <w:jc w:val="center"/>
      </w:pPr>
      <w:r>
        <w:rPr>
          <w:rFonts w:ascii="Liberation Sans" w:hAnsi="Liberation Sans"/>
          <w:b/>
          <w:color w:val="0B4F5C"/>
          <w:sz w:val="50"/>
        </w:rPr>
        <w:t>ToS Corpus &amp; Rights Registry</w:t>
      </w:r>
    </w:p>
    <w:p>
      <w:pPr>
        <w:spacing w:after="120"/>
        <w:jc w:val="center"/>
      </w:pPr>
      <w:r>
        <w:rPr>
          <w:b/>
          <w:color w:val="A45A12"/>
          <w:sz w:val="64"/>
        </w:rPr>
        <w:t>A45</w:t>
      </w:r>
    </w:p>
    <w:p>
      <w:pPr>
        <w:pStyle w:val="ToSSubtitle"/>
        <w:jc w:val="center"/>
      </w:pPr>
      <w:r>
        <w:t>Америка — Оахака и Монте-Альбан:</w:t>
        <w:br/>
        <w:t>ранняя запотекская письменность</w:t>
      </w:r>
    </w:p>
    <w:p>
      <w:pPr>
        <w:jc w:val="center"/>
      </w:pPr>
      <w:r>
        <w:rPr>
          <w:color w:val="4B5563"/>
          <w:sz w:val="22"/>
        </w:rPr>
        <w:t>Отдельный исследовательский пакет доступа, корпусов и прав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B4F5C"/>
          <w:left w:val="single" w:sz="5" w:space="0" w:color="0B4F5C"/>
          <w:bottom w:val="single" w:sz="5" w:space="0" w:color="0B4F5C"/>
          <w:right w:val="single" w:sz="5" w:space="0" w:color="0B4F5C"/>
          <w:insideH w:val="single" w:sz="5" w:space="0" w:color="0B4F5C"/>
          <w:insideV w:val="single" w:sz="5" w:space="0" w:color="0B4F5C"/>
        </w:tblBorders>
      </w:tblPr>
      <w:tblGrid>
        <w:gridCol w:w="2480"/>
        <w:gridCol w:w="2480"/>
        <w:gridCol w:w="2480"/>
        <w:gridCol w:w="2480"/>
      </w:tblGrid>
      <w:t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shd w:fill="EAF5F7"/>
          </w:tcPr>
          <w:p>
            <w:pPr>
              <w:jc w:val="center"/>
            </w:pPr>
            <w:r>
              <w:rPr>
                <w:b/>
                <w:color w:val="0B4F5C"/>
              </w:rPr>
              <w:t>Статус</w:t>
            </w:r>
          </w:p>
        </w:tc>
        <w:tc>
          <w:tcPr>
            <w:tcW w:type="dxa" w:w="119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C</w:t>
            </w:r>
          </w:p>
        </w:tc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shd w:fill="EAF5F7"/>
          </w:tcPr>
          <w:p>
            <w:pPr>
              <w:jc w:val="center"/>
            </w:pPr>
            <w:r>
              <w:rPr>
                <w:b/>
                <w:color w:val="0B4F5C"/>
              </w:rPr>
              <w:t>Проверено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4 сентября 2026</w:t>
            </w:r>
          </w:p>
        </w:tc>
      </w:tr>
      <w:t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shd w:fill="EAF5F7"/>
          </w:tcPr>
          <w:p>
            <w:pPr>
              <w:jc w:val="center"/>
            </w:pPr>
            <w:r>
              <w:rPr>
                <w:b/>
                <w:color w:val="0B4F5C"/>
              </w:rPr>
              <w:t>Записи доступа</w:t>
            </w:r>
          </w:p>
        </w:tc>
        <w:tc>
          <w:tcPr>
            <w:tcW w:type="dxa" w:w="119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94</w:t>
            </w:r>
          </w:p>
        </w:tc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shd w:fill="EAF5F7"/>
          </w:tcPr>
          <w:p>
            <w:pPr>
              <w:jc w:val="center"/>
            </w:pPr>
            <w:r>
              <w:rPr>
                <w:b/>
                <w:color w:val="0B4F5C"/>
              </w:rPr>
              <w:t>Практически различимые объекты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около 71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single" w:sz="6" w:space="0" w:color="0B4F5C"/>
          <w:left w:val="single" w:sz="6" w:space="0" w:color="0B4F5C"/>
          <w:bottom w:val="single" w:sz="6" w:space="0" w:color="0B4F5C"/>
          <w:right w:val="single" w:sz="6" w:space="0" w:color="0B4F5C"/>
          <w:insideH w:val="single" w:sz="6" w:space="0" w:color="0B4F5C"/>
          <w:insideV w:val="single" w:sz="6" w:space="0" w:color="0B4F5C"/>
        </w:tblBorders>
      </w:tblPr>
      <w:tblGrid>
        <w:gridCol w:w="9922"/>
      </w:tblGrid>
      <w:tr>
        <w:tc>
          <w:tcPr>
            <w:tcW w:type="dxa" w:w="9922"/>
            <w:shd w:fill="EAF5F7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0B4F5C"/>
              </w:rPr>
              <w:t>Граница доказуемости</w:t>
            </w:r>
            <w:r>
              <w:br/>
              <w:t>Узел сохраняет исходный статус C. Реестр картирует письмо, эпиграфику, артефакты, поздние линии передачи и законные пути доступа, но не реконструирует несуществующий философский корпус.</w:t>
            </w:r>
          </w:p>
        </w:tc>
      </w:tr>
    </w:tbl>
    <w:p>
      <w:pPr>
        <w:pStyle w:val="ToSMeta"/>
        <w:spacing w:before="240"/>
        <w:jc w:val="center"/>
      </w:pPr>
      <w:r>
        <w:t xml:space="preserve">Исходный документ: </w:t>
      </w:r>
      <w:r>
        <w:rPr>
          <w:b/>
        </w:rPr>
        <w:t>ToS Deep Research_ A45 — Америка — Оахака и Монте-Альбан_ ранняя запотекская письменность(1).docx</w:t>
      </w:r>
    </w:p>
    <w:p>
      <w:pPr>
        <w:pStyle w:val="ToSMeta"/>
        <w:jc w:val="center"/>
      </w:pPr>
      <w:r>
        <w:t>Состав пакета: XLSX registry + DOCX report · без изменения мастер-строки и исходного DR</w:t>
      </w:r>
    </w:p>
    <w:p>
      <w:r>
        <w:br w:type="page"/>
      </w:r>
    </w:p>
    <w:p>
      <w:pPr>
        <w:pStyle w:val="Heading1"/>
      </w:pPr>
      <w:r>
        <w:t>1. Паспорт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E4E8"/>
          <w:left w:val="single" w:sz="4" w:space="0" w:color="D5E4E8"/>
          <w:bottom w:val="single" w:sz="4" w:space="0" w:color="D5E4E8"/>
          <w:right w:val="single" w:sz="4" w:space="0" w:color="D5E4E8"/>
          <w:insideH w:val="single" w:sz="4" w:space="0" w:color="D5E4E8"/>
          <w:insideV w:val="single" w:sz="4" w:space="0" w:color="D5E4E8"/>
        </w:tblBorders>
      </w:tblPr>
      <w:tblGrid>
        <w:gridCol w:w="4961"/>
        <w:gridCol w:w="4961"/>
      </w:tblGrid>
      <w:tr>
        <w:trPr>
          <w:tblHeader w:val="true"/>
        </w:trPr>
        <w:tc>
          <w:tcPr>
            <w:tcW w:type="dxa" w:w="2268"/>
            <w:shd w:fill="0B4F5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6917"/>
            <w:shd w:fill="0B4F5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ID / название</w:t>
            </w:r>
          </w:p>
        </w:tc>
        <w:tc>
          <w:tcPr>
            <w:tcW w:type="dxa" w:w="691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A45 — Америка — Оахака и Монте-Альбан: ранняя запотекская письменность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Исходный статус</w:t>
            </w:r>
          </w:p>
        </w:tc>
        <w:tc>
          <w:tcPr>
            <w:tcW w:type="dxa" w:w="691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C; уверенность исходного DR 3/5. Статус не изменён.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Источник</w:t>
            </w:r>
          </w:p>
        </w:tc>
        <w:tc>
          <w:tcPr>
            <w:tcW w:type="dxa" w:w="691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Прикреплённый ToS Deep Research по A45; мастер-строка Таблицы I использована только для идентификации.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Дата проверки</w:t>
            </w:r>
          </w:p>
        </w:tc>
        <w:tc>
          <w:tcPr>
            <w:tcW w:type="dxa" w:w="691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4 сентября 2026 года.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Языки поиска</w:t>
            </w:r>
          </w:p>
        </w:tc>
        <w:tc>
          <w:tcPr>
            <w:tcW w:type="dxa" w:w="691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Русский, английский, испанский; дополнительно использовались оригинальные названия, музейные идентификаторы и варианты Zapotec / zapoteca / Ñuiñe.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Ядро корпуса</w:t>
            </w:r>
          </w:p>
        </w:tc>
        <w:tc>
          <w:tcPr>
            <w:tcW w:type="dxa" w:w="691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Monument 3 Сан-Хосе-Моготе; Danzantes; надписи Building J; Stelae 12/13 и South Platform; Tomb 104; керамические и костяные надписи; раннезапотекская система письма как частично дешифрованный эпиграфический корпус.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Типы объектов</w:t>
            </w:r>
          </w:p>
        </w:tc>
        <w:tc>
          <w:tcPr>
            <w:tcW w:type="dxa" w:w="691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Корпусы, отдельные каменные и керамические свидетели, цифровые факсимиле, издания, переводы/транскрипции, каталоги, IIIF/API/3D datasets, библиотечные и издательские входы.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Классы access sources</w:t>
            </w:r>
          </w:p>
        </w:tc>
        <w:tc>
          <w:tcPr>
            <w:tcW w:type="dxa" w:w="691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Официальные item-level страницы музеев и INAH, университетские проекты, FAMSI, цифровые библиотеки, издатели, библиотечные каталоги, Open Access repositories.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Классы evidence sources</w:t>
            </w:r>
          </w:p>
        </w:tc>
        <w:tc>
          <w:tcPr>
            <w:tcW w:type="dxa" w:w="691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Item-level rights statements, официальные Terms of Use, Creative Commons notices, publisher metadata, library identifiers, DOI/ARK/ISBN/OCLC и специализированные академические издания.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Слабые навигационные источники</w:t>
            </w:r>
          </w:p>
        </w:tc>
        <w:tc>
          <w:tcPr>
            <w:tcW w:type="dxa" w:w="691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Wikipedia не использована в итоговом registry. Спекулятивные связи, не подтверждённые сильным источником, вынесены в gaps как unverified_candidate.</w:t>
            </w:r>
          </w:p>
        </w:tc>
      </w:tr>
    </w:tbl>
    <w:p>
      <w:pPr>
        <w:pStyle w:val="ToSSmall"/>
      </w:pP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single" w:sz="6" w:space="0" w:color="A45A12"/>
          <w:left w:val="single" w:sz="6" w:space="0" w:color="A45A12"/>
          <w:bottom w:val="single" w:sz="6" w:space="0" w:color="A45A12"/>
          <w:right w:val="single" w:sz="6" w:space="0" w:color="A45A12"/>
          <w:insideH w:val="single" w:sz="6" w:space="0" w:color="A45A12"/>
          <w:insideV w:val="single" w:sz="6" w:space="0" w:color="A45A12"/>
        </w:tblBorders>
      </w:tblPr>
      <w:tblGrid>
        <w:gridCol w:w="9922"/>
      </w:tblGrid>
      <w:tr>
        <w:tc>
          <w:tcPr>
            <w:tcW w:type="dxa" w:w="9922"/>
            <w:shd w:fill="FFF5E9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A45A12"/>
              </w:rPr>
              <w:t>Методическая рамка</w:t>
            </w:r>
            <w:r>
              <w:br/>
              <w:t>Для A45 первичными «текстами» являются надписи и их материальные свидетели. Полный перевод корпуса невозможен: язык и знаковая система читаются лишь частично, двуязычный ключ отсутствует, а длинные рукописные тексты на собственно запотекском письме не сохранились.</w:t>
            </w:r>
          </w:p>
        </w:tc>
      </w:tr>
    </w:tbl>
    <w:p>
      <w:pPr>
        <w:pStyle w:val="Heading2"/>
      </w:pPr>
      <w:r>
        <w:t>Ключевые проверенные институциональные входы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E4E8"/>
          <w:left w:val="single" w:sz="4" w:space="0" w:color="D5E4E8"/>
          <w:bottom w:val="single" w:sz="4" w:space="0" w:color="D5E4E8"/>
          <w:right w:val="single" w:sz="4" w:space="0" w:color="D5E4E8"/>
          <w:insideH w:val="single" w:sz="4" w:space="0" w:color="D5E4E8"/>
          <w:insideV w:val="single" w:sz="4" w:space="0" w:color="D5E4E8"/>
        </w:tblBorders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984"/>
            <w:shd w:fill="0B4F5C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Источник</w:t>
            </w:r>
          </w:p>
        </w:tc>
        <w:tc>
          <w:tcPr>
            <w:tcW w:type="dxa" w:w="4536"/>
            <w:shd w:fill="0B4F5C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Роль</w:t>
            </w:r>
          </w:p>
        </w:tc>
        <w:tc>
          <w:tcPr>
            <w:tcW w:type="dxa" w:w="2664"/>
            <w:shd w:fill="0B4F5C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Ссылка</w:t>
            </w:r>
          </w:p>
        </w:tc>
      </w:tr>
      <w:tr>
        <w:trPr>
          <w:cantSplit/>
        </w:trPr>
        <w:tc>
          <w:tcPr>
            <w:tcW w:type="dxa" w:w="198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FAMSI / Urcid</w:t>
            </w:r>
          </w:p>
        </w:tc>
        <w:tc>
          <w:tcPr>
            <w:tcW w:type="dxa" w:w="453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Полный английский и испанский тексты, отдельные figure volumes; сильнейшая бесплатная визуально-корпусная база.</w:t>
            </w:r>
          </w:p>
        </w:tc>
        <w:tc>
          <w:tcPr>
            <w:tcW w:type="dxa" w:w="266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hyperlink r:id="rId11">
              <w:r>
                <w:rPr>
                  <w:color w:val="005A8D"/>
                  <w:u w:val="single"/>
                  <w:rFonts w:ascii="Liberation Sans" w:hAnsi="Liberation Sans"/>
                </w:rPr>
                <w:t>открыть</w:t>
              </w:r>
            </w:hyperlink>
          </w:p>
        </w:tc>
      </w:tr>
      <w:tr>
        <w:trPr>
          <w:cantSplit/>
        </w:trPr>
        <w:tc>
          <w:tcPr>
            <w:tcW w:type="dxa" w:w="198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University of Michigan</w:t>
            </w:r>
          </w:p>
        </w:tc>
        <w:tc>
          <w:tcPr>
            <w:tcW w:type="dxa" w:w="453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Наиболее удобный академический вход к Monument 3 и происхождению письма в Оахаке.</w:t>
            </w:r>
          </w:p>
        </w:tc>
        <w:tc>
          <w:tcPr>
            <w:tcW w:type="dxa" w:w="266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hyperlink r:id="rId12">
              <w:r>
                <w:rPr>
                  <w:color w:val="005A8D"/>
                  <w:u w:val="single"/>
                  <w:rFonts w:ascii="Liberation Sans" w:hAnsi="Liberation Sans"/>
                </w:rPr>
                <w:t>открыть</w:t>
              </w:r>
            </w:hyperlink>
          </w:p>
        </w:tc>
      </w:tr>
      <w:tr>
        <w:trPr>
          <w:cantSplit/>
        </w:trPr>
        <w:tc>
          <w:tcPr>
            <w:tcW w:type="dxa" w:w="198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INAH Lugares / Repositorio</w:t>
            </w:r>
          </w:p>
        </w:tc>
        <w:tc>
          <w:tcPr>
            <w:tcW w:type="dxa" w:w="453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Официальные страницы Монте-Альбана, Danzantes, Building J, Tomb 104 и региональных памятников.</w:t>
            </w:r>
          </w:p>
        </w:tc>
        <w:tc>
          <w:tcPr>
            <w:tcW w:type="dxa" w:w="266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hyperlink r:id="rId13">
              <w:r>
                <w:rPr>
                  <w:color w:val="005A8D"/>
                  <w:u w:val="single"/>
                  <w:rFonts w:ascii="Liberation Sans" w:hAnsi="Liberation Sans"/>
                </w:rPr>
                <w:t>открыть</w:t>
              </w:r>
            </w:hyperlink>
          </w:p>
        </w:tc>
      </w:tr>
      <w:tr>
        <w:trPr>
          <w:cantSplit/>
        </w:trPr>
        <w:tc>
          <w:tcPr>
            <w:tcW w:type="dxa" w:w="198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Dumbarton Oaks / Internet Archive</w:t>
            </w:r>
          </w:p>
        </w:tc>
        <w:tc>
          <w:tcPr>
            <w:tcW w:type="dxa" w:w="453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Полная монография Urcid 2001 с PDF/OCR и явной CC BY-NC-ND 4.0.</w:t>
            </w:r>
          </w:p>
        </w:tc>
        <w:tc>
          <w:tcPr>
            <w:tcW w:type="dxa" w:w="266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hyperlink r:id="rId14">
              <w:r>
                <w:rPr>
                  <w:color w:val="005A8D"/>
                  <w:u w:val="single"/>
                  <w:rFonts w:ascii="Liberation Sans" w:hAnsi="Liberation Sans"/>
                </w:rPr>
                <w:t>открыть</w:t>
              </w:r>
            </w:hyperlink>
          </w:p>
        </w:tc>
      </w:tr>
      <w:tr>
        <w:trPr>
          <w:cantSplit/>
        </w:trPr>
        <w:tc>
          <w:tcPr>
            <w:tcW w:type="dxa" w:w="198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The Met Open Access</w:t>
            </w:r>
          </w:p>
        </w:tc>
        <w:tc>
          <w:tcPr>
            <w:tcW w:type="dxa" w:w="453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CC0 изображения и данные отдельных запотекских предметов; публичный API.</w:t>
            </w:r>
          </w:p>
        </w:tc>
        <w:tc>
          <w:tcPr>
            <w:tcW w:type="dxa" w:w="266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hyperlink r:id="rId15">
              <w:r>
                <w:rPr>
                  <w:color w:val="005A8D"/>
                  <w:u w:val="single"/>
                  <w:rFonts w:ascii="Liberation Sans" w:hAnsi="Liberation Sans"/>
                </w:rPr>
                <w:t>открыть</w:t>
              </w:r>
            </w:hyperlink>
          </w:p>
        </w:tc>
      </w:tr>
      <w:tr>
        <w:trPr>
          <w:cantSplit/>
        </w:trPr>
        <w:tc>
          <w:tcPr>
            <w:tcW w:type="dxa" w:w="198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Ticha</w:t>
            </w:r>
          </w:p>
        </w:tc>
        <w:tc>
          <w:tcPr>
            <w:tcW w:type="dxa" w:w="453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Колониальные запотекские рукописи, транскрипции, переводы и анализ; CC BY-NC-SA для проектных слоёв.</w:t>
            </w:r>
          </w:p>
        </w:tc>
        <w:tc>
          <w:tcPr>
            <w:tcW w:type="dxa" w:w="266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hyperlink r:id="rId16">
              <w:r>
                <w:rPr>
                  <w:color w:val="005A8D"/>
                  <w:u w:val="single"/>
                  <w:rFonts w:ascii="Liberation Sans" w:hAnsi="Liberation Sans"/>
                </w:rPr>
                <w:t>открыть</w:t>
              </w:r>
            </w:hyperlink>
          </w:p>
        </w:tc>
      </w:tr>
      <w:tr>
        <w:trPr>
          <w:cantSplit/>
        </w:trPr>
        <w:tc>
          <w:tcPr>
            <w:tcW w:type="dxa" w:w="198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Primeros Libros</w:t>
            </w:r>
          </w:p>
        </w:tc>
        <w:tc>
          <w:tcPr>
            <w:tcW w:type="dxa" w:w="453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Полное факсимиле и IIIF манифест Córdova, Vocabulario 1578; смешанные права на текст и изображения.</w:t>
            </w:r>
          </w:p>
        </w:tc>
        <w:tc>
          <w:tcPr>
            <w:tcW w:type="dxa" w:w="266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hyperlink r:id="rId17">
              <w:r>
                <w:rPr>
                  <w:color w:val="005A8D"/>
                  <w:u w:val="single"/>
                  <w:rFonts w:ascii="Liberation Sans" w:hAnsi="Liberation Sans"/>
                </w:rPr>
                <w:t>открыть</w:t>
              </w:r>
            </w:hyperlink>
          </w:p>
        </w:tc>
      </w:tr>
      <w:tr>
        <w:trPr>
          <w:cantSplit/>
        </w:trPr>
        <w:tc>
          <w:tcPr>
            <w:tcW w:type="dxa" w:w="198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Open Heritage 3D</w:t>
            </w:r>
          </w:p>
        </w:tc>
        <w:tc>
          <w:tcPr>
            <w:tcW w:type="dxa" w:w="453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Лицензированный LiDAR dataset System IV; DOI и CC BY-NC-SA.</w:t>
            </w:r>
          </w:p>
        </w:tc>
        <w:tc>
          <w:tcPr>
            <w:tcW w:type="dxa" w:w="266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hyperlink r:id="rId18">
              <w:r>
                <w:rPr>
                  <w:color w:val="005A8D"/>
                  <w:u w:val="single"/>
                  <w:rFonts w:ascii="Liberation Sans" w:hAnsi="Liberation Sans"/>
                </w:rPr>
                <w:t>открыть</w:t>
              </w:r>
            </w:hyperlink>
          </w:p>
        </w:tc>
      </w:tr>
    </w:tbl>
    <w:p>
      <w:pPr>
        <w:pStyle w:val="ToSSmall"/>
      </w:pPr>
    </w:p>
    <w:p>
      <w:pPr>
        <w:pStyle w:val="ToSSmall"/>
      </w:pPr>
      <w:r>
        <w:rPr>
          <w:b/>
        </w:rPr>
        <w:t xml:space="preserve">Правовая оговорка: </w:t>
      </w:r>
      <w:r>
        <w:t>оценки предназначены для исследовательского планирования ToS и не заменяют юридическое заключение по конкретной юрисдикции или способу распространения.</w:t>
      </w:r>
    </w:p>
    <w:p>
      <w:pPr>
        <w:pStyle w:val="Heading1"/>
      </w:pPr>
      <w:r>
        <w:t>2. Охват корпуса</w:t>
      </w:r>
    </w:p>
    <w:p>
      <w:r>
        <w:rPr>
          <w:b/>
        </w:rPr>
        <w:t xml:space="preserve">Итоговый XLSX содержит </w:t>
      </w:r>
      <w:r>
        <w:t>94 записей доступа</w:t>
      </w:r>
      <w:r>
        <w:t xml:space="preserve">, сгруппированных примерно в </w:t>
      </w:r>
      <w:r>
        <w:rPr>
          <w:b/>
        </w:rPr>
        <w:t>71 практически различимый объект, корпус, издание или сервис</w:t>
      </w:r>
      <w:r>
        <w:t>. Это разные способы доступа, а не 94 самостоятельных древних произведения. Отдельный лист gaps содержит 20 незакрытых или принципиально отрицательных позиций.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E4E8"/>
          <w:left w:val="single" w:sz="4" w:space="0" w:color="D5E4E8"/>
          <w:bottom w:val="single" w:sz="4" w:space="0" w:color="D5E4E8"/>
          <w:right w:val="single" w:sz="4" w:space="0" w:color="D5E4E8"/>
          <w:insideH w:val="single" w:sz="4" w:space="0" w:color="D5E4E8"/>
          <w:insideV w:val="single" w:sz="4" w:space="0" w:color="D5E4E8"/>
        </w:tblBorders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551"/>
            <w:shd w:fill="0B4F5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Роль</w:t>
            </w:r>
          </w:p>
        </w:tc>
        <w:tc>
          <w:tcPr>
            <w:tcW w:type="dxa" w:w="1134"/>
            <w:shd w:fill="0B4F5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Записей</w:t>
            </w:r>
          </w:p>
        </w:tc>
        <w:tc>
          <w:tcPr>
            <w:tcW w:type="dxa" w:w="5499"/>
            <w:shd w:fill="0B4F5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Что покрыто</w:t>
            </w:r>
          </w:p>
        </w:tc>
      </w:tr>
      <w:tr>
        <w:trPr>
          <w:cantSplit/>
        </w:trPr>
        <w:tc>
          <w:tcPr>
            <w:tcW w:type="dxa" w:w="255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core</w:t>
            </w:r>
          </w:p>
        </w:tc>
        <w:tc>
          <w:tcPr>
            <w:tcW w:type="dxa" w:w="113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18</w:t>
            </w:r>
          </w:p>
        </w:tc>
        <w:tc>
          <w:tcPr>
            <w:tcW w:type="dxa" w:w="5499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Центральные произведения/корпусы и прямые цифровые входы.</w:t>
            </w:r>
          </w:p>
        </w:tc>
      </w:tr>
      <w:tr>
        <w:trPr>
          <w:cantSplit/>
        </w:trPr>
        <w:tc>
          <w:tcPr>
            <w:tcW w:type="dxa" w:w="255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same_corpus_or_tradition</w:t>
            </w:r>
          </w:p>
        </w:tc>
        <w:tc>
          <w:tcPr>
            <w:tcW w:type="dxa" w:w="113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22</w:t>
            </w:r>
          </w:p>
        </w:tc>
        <w:tc>
          <w:tcPr>
            <w:tcW w:type="dxa" w:w="5499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Тomb 104, Tomb 5, керамика, региональные запотекские свидетели.</w:t>
            </w:r>
          </w:p>
        </w:tc>
      </w:tr>
      <w:tr>
        <w:trPr>
          <w:cantSplit/>
        </w:trPr>
        <w:tc>
          <w:tcPr>
            <w:tcW w:type="dxa" w:w="255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antecedent</w:t>
            </w:r>
          </w:p>
        </w:tc>
        <w:tc>
          <w:tcPr>
            <w:tcW w:type="dxa" w:w="113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5499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Cascajal и San Andrés как ранний формативный контекст; без доказанной прямой генеалогии.</w:t>
            </w:r>
          </w:p>
        </w:tc>
      </w:tr>
      <w:tr>
        <w:trPr>
          <w:cantSplit/>
        </w:trPr>
        <w:tc>
          <w:tcPr>
            <w:tcW w:type="dxa" w:w="255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continuation</w:t>
            </w:r>
          </w:p>
        </w:tc>
        <w:tc>
          <w:tcPr>
            <w:tcW w:type="dxa" w:w="113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7</w:t>
            </w:r>
          </w:p>
        </w:tc>
        <w:tc>
          <w:tcPr>
            <w:tcW w:type="dxa" w:w="5499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Поздняя запотекская линия, Ñuiñe, Lambityeco, Mitla, Yagul, Atzompa.</w:t>
            </w:r>
          </w:p>
        </w:tc>
      </w:tr>
      <w:tr>
        <w:trPr>
          <w:cantSplit/>
        </w:trPr>
        <w:tc>
          <w:tcPr>
            <w:tcW w:type="dxa" w:w="255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transmission_or_preservation</w:t>
            </w:r>
          </w:p>
        </w:tc>
        <w:tc>
          <w:tcPr>
            <w:tcW w:type="dxa" w:w="113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11</w:t>
            </w:r>
          </w:p>
        </w:tc>
        <w:tc>
          <w:tcPr>
            <w:tcW w:type="dxa" w:w="5499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Tomb 7, Mixtec screenfolds, Córdova, Ticha и колониальная латиница.</w:t>
            </w:r>
          </w:p>
        </w:tc>
      </w:tr>
      <w:tr>
        <w:trPr>
          <w:cantSplit/>
        </w:trPr>
        <w:tc>
          <w:tcPr>
            <w:tcW w:type="dxa" w:w="255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commentary_or_reception</w:t>
            </w:r>
          </w:p>
        </w:tc>
        <w:tc>
          <w:tcPr>
            <w:tcW w:type="dxa" w:w="113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8</w:t>
            </w:r>
          </w:p>
        </w:tc>
        <w:tc>
          <w:tcPr>
            <w:tcW w:type="dxa" w:w="5499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Современные монографии, статьи и музейные очерки.</w:t>
            </w:r>
          </w:p>
        </w:tc>
      </w:tr>
      <w:tr>
        <w:trPr>
          <w:cantSplit/>
        </w:trPr>
        <w:tc>
          <w:tcPr>
            <w:tcW w:type="dxa" w:w="255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infrastructure</w:t>
            </w:r>
          </w:p>
        </w:tc>
        <w:tc>
          <w:tcPr>
            <w:tcW w:type="dxa" w:w="113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14</w:t>
            </w:r>
          </w:p>
        </w:tc>
        <w:tc>
          <w:tcPr>
            <w:tcW w:type="dxa" w:w="5499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Каталоги, UNESCO, API, IIIF, 3D datasets и музейные порталы.</w:t>
            </w:r>
          </w:p>
        </w:tc>
      </w:tr>
      <w:tr>
        <w:trPr>
          <w:cantSplit/>
        </w:trPr>
        <w:tc>
          <w:tcPr>
            <w:tcW w:type="dxa" w:w="255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прочие</w:t>
            </w:r>
          </w:p>
        </w:tc>
        <w:tc>
          <w:tcPr>
            <w:tcW w:type="dxa" w:w="113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12</w:t>
            </w:r>
          </w:p>
        </w:tc>
        <w:tc>
          <w:tcPr>
            <w:tcW w:type="dxa" w:w="5499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Supporting, boundary и secondary navigation записи.</w:t>
            </w:r>
          </w:p>
        </w:tc>
      </w:tr>
    </w:tbl>
    <w:p>
      <w:pPr>
        <w:pStyle w:val="ToSSmall"/>
      </w:pPr>
    </w:p>
    <w:p>
      <w:pPr>
        <w:pStyle w:val="Heading2"/>
      </w:pPr>
      <w:r>
        <w:t>Ядро из исходного DR</w:t>
      </w:r>
    </w:p>
    <w:p>
      <w:pPr>
        <w:pStyle w:val="ToSBullet"/>
        <w:ind w:left="312" w:hanging="198"/>
      </w:pPr>
      <w:r>
        <w:rPr>
          <w:b/>
        </w:rPr>
        <w:t xml:space="preserve">• </w:t>
      </w:r>
      <w:r>
        <w:t>San José Mogote Monument 3: пороговый свидетель ранней календарной подписи, лучший академический веб-вход — University of Michigan.</w:t>
      </w:r>
    </w:p>
    <w:p>
      <w:pPr>
        <w:pStyle w:val="ToSBullet"/>
        <w:ind w:left="312" w:hanging="198"/>
      </w:pPr>
      <w:r>
        <w:rPr>
          <w:b/>
        </w:rPr>
        <w:t xml:space="preserve">• </w:t>
      </w:r>
      <w:r>
        <w:t>Monte Albán Danzantes: серийный монументальный корпус телесно-политической памяти; в registry есть репрезентативные INAH item pages и FAMSI figure volumes.</w:t>
      </w:r>
    </w:p>
    <w:p>
      <w:pPr>
        <w:pStyle w:val="ToSBullet"/>
        <w:ind w:left="312" w:hanging="198"/>
      </w:pPr>
      <w:r>
        <w:rPr>
          <w:b/>
        </w:rPr>
        <w:t xml:space="preserve">• </w:t>
      </w:r>
      <w:r>
        <w:t>Building J: place glyphs и «conquest slabs»; представлены официальный контекст, несколько item-level изображений и музейный показ.</w:t>
      </w:r>
    </w:p>
    <w:p>
      <w:pPr>
        <w:pStyle w:val="ToSBullet"/>
        <w:ind w:left="312" w:hanging="198"/>
      </w:pPr>
      <w:r>
        <w:rPr>
          <w:b/>
        </w:rPr>
        <w:t xml:space="preserve">• </w:t>
      </w:r>
      <w:r>
        <w:t>Stelae 12/13, South Platform и Stela 18: официальный музейный/сайтовый доступ найден, но полноценная item-level цифровая серия остаётся пробелом.</w:t>
      </w:r>
    </w:p>
    <w:p>
      <w:pPr>
        <w:pStyle w:val="ToSBullet"/>
        <w:ind w:left="312" w:hanging="198"/>
      </w:pPr>
      <w:r>
        <w:rPr>
          <w:b/>
        </w:rPr>
        <w:t xml:space="preserve">• </w:t>
      </w:r>
      <w:r>
        <w:t>Tomb 104: отдельный узел mortuary epigraphy с официальными изображениями стен, фигур, входной плиты, урн и интерьера.</w:t>
      </w:r>
    </w:p>
    <w:p>
      <w:pPr>
        <w:pStyle w:val="ToSBullet"/>
        <w:ind w:left="312" w:hanging="198"/>
      </w:pPr>
      <w:r>
        <w:rPr>
          <w:b/>
        </w:rPr>
        <w:t xml:space="preserve">• </w:t>
      </w:r>
      <w:r>
        <w:t>Керамические и костяные надписи: покрыты через Urcid, каталог Adam Sellen, Met Open Access и поздние региональные примеры; полного открытого корпуса нет.</w:t>
      </w:r>
    </w:p>
    <w:p>
      <w:pPr>
        <w:pStyle w:val="ToSBullet"/>
        <w:ind w:left="312" w:hanging="198"/>
      </w:pPr>
      <w:r>
        <w:rPr>
          <w:b/>
        </w:rPr>
        <w:t xml:space="preserve">• </w:t>
      </w:r>
      <w:r>
        <w:t>FAMSI Zapotec Writing: центральный исследовательский регистр текста, рисунков, фотографий и библиографии — свободно читаемый, но не открыто лицензированный.</w:t>
      </w:r>
    </w:p>
    <w:p>
      <w:pPr>
        <w:pStyle w:val="Heading2"/>
      </w:pPr>
      <w:r>
        <w:t>Добавленные объекты и хронологический ореол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E4E8"/>
          <w:left w:val="single" w:sz="4" w:space="0" w:color="D5E4E8"/>
          <w:bottom w:val="single" w:sz="4" w:space="0" w:color="D5E4E8"/>
          <w:right w:val="single" w:sz="4" w:space="0" w:color="D5E4E8"/>
          <w:insideH w:val="single" w:sz="4" w:space="0" w:color="D5E4E8"/>
          <w:insideV w:val="single" w:sz="4" w:space="0" w:color="D5E4E8"/>
        </w:tblBorders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701"/>
            <w:shd w:fill="0B4F5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Роль</w:t>
            </w:r>
          </w:p>
        </w:tc>
        <w:tc>
          <w:tcPr>
            <w:tcW w:type="dxa" w:w="2891"/>
            <w:shd w:fill="0B4F5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Объекты</w:t>
            </w:r>
          </w:p>
        </w:tc>
        <w:tc>
          <w:tcPr>
            <w:tcW w:type="dxa" w:w="4592"/>
            <w:shd w:fill="0B4F5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Конкретная связь с A45</w:t>
            </w:r>
          </w:p>
        </w:tc>
      </w:tr>
      <w:tr>
        <w:trPr>
          <w:cantSplit/>
        </w:trPr>
        <w:tc>
          <w:tcPr>
            <w:tcW w:type="dxa" w:w="170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antecedent</w:t>
            </w:r>
          </w:p>
        </w:tc>
        <w:tc>
          <w:tcPr>
            <w:tcW w:type="dxa" w:w="289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Cascajal Block; San Andrés seal/plaque</w:t>
            </w:r>
          </w:p>
        </w:tc>
        <w:tc>
          <w:tcPr>
            <w:tcW w:type="dxa" w:w="459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Более ранние или параллельные знаковые системы формативной Мезоамерики. Связь с A45 — общий календарно-политический и письменный горизонт; прямое происхождение Zapotec script не доказано.</w:t>
            </w:r>
          </w:p>
        </w:tc>
      </w:tr>
      <w:tr>
        <w:trPr>
          <w:cantSplit/>
        </w:trPr>
        <w:tc>
          <w:tcPr>
            <w:tcW w:type="dxa" w:w="170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same corpus / later phase</w:t>
            </w:r>
          </w:p>
        </w:tc>
        <w:tc>
          <w:tcPr>
            <w:tcW w:type="dxa" w:w="289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Tomb 5 Cerro de la Campana; Dainzú; Lambityeco; later Monte Albán</w:t>
            </w:r>
          </w:p>
        </w:tc>
        <w:tc>
          <w:tcPr>
            <w:tcW w:type="dxa" w:w="459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Продолжают тот же региональный режим публичной, погребальной и генеалогической записи.</w:t>
            </w:r>
          </w:p>
        </w:tc>
      </w:tr>
      <w:tr>
        <w:trPr>
          <w:cantSplit/>
        </w:trPr>
        <w:tc>
          <w:tcPr>
            <w:tcW w:type="dxa" w:w="170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continuation</w:t>
            </w:r>
          </w:p>
        </w:tc>
        <w:tc>
          <w:tcPr>
            <w:tcW w:type="dxa" w:w="289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Ñuiñe; Mitla; Yagul; Atzompa; Zaachila</w:t>
            </w:r>
          </w:p>
        </w:tc>
        <w:tc>
          <w:tcPr>
            <w:tcW w:type="dxa" w:w="459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Поздние и региональные трансформации оахакской письменной/визуальной традиции; Ñuiñe может быть производной от Zapotec, но детали генеалогии спорны.</w:t>
            </w:r>
          </w:p>
        </w:tc>
      </w:tr>
      <w:tr>
        <w:trPr>
          <w:cantSplit/>
        </w:trPr>
        <w:tc>
          <w:tcPr>
            <w:tcW w:type="dxa" w:w="170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transmission / boundary</w:t>
            </w:r>
          </w:p>
        </w:tc>
        <w:tc>
          <w:tcPr>
            <w:tcW w:type="dxa" w:w="289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Tomb 7; Codex Zouche-Nuttall; Codex Egerton 2895</w:t>
            </w:r>
          </w:p>
        </w:tc>
        <w:tc>
          <w:tcPr>
            <w:tcW w:type="dxa" w:w="459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Показывают смену на Mixteca-Puebla-style graphic regime и сохранение генеалогической памяти в более поздней Mixtec книжности. Они не являются сохранившимися Zapotec screenfolds.</w:t>
            </w:r>
          </w:p>
        </w:tc>
      </w:tr>
      <w:tr>
        <w:trPr>
          <w:cantSplit/>
        </w:trPr>
        <w:tc>
          <w:tcPr>
            <w:tcW w:type="dxa" w:w="170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transmission</w:t>
            </w:r>
          </w:p>
        </w:tc>
        <w:tc>
          <w:tcPr>
            <w:tcW w:type="dxa" w:w="289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Juan de Córdova 1578; Ticha handwritten corpus</w:t>
            </w:r>
          </w:p>
        </w:tc>
        <w:tc>
          <w:tcPr>
            <w:tcW w:type="dxa" w:w="459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Сохраняют сапотекский язык и писцовую деятельность после перехода на латиницу. Это продолжение языковой книжности, а не древнего графического скрипта.</w:t>
            </w:r>
          </w:p>
        </w:tc>
      </w:tr>
    </w:tbl>
    <w:p>
      <w:pPr>
        <w:pStyle w:val="ToSSmall"/>
      </w:pPr>
    </w:p>
    <w:p>
      <w:pPr>
        <w:pStyle w:val="Heading2"/>
      </w:pPr>
      <w:r>
        <w:t>Доступность по режимам</w:t>
      </w:r>
    </w:p>
    <w:p>
      <w:r>
        <w:rPr>
          <w:b/>
        </w:rPr>
        <w:t xml:space="preserve">Из 94 записей: </w:t>
      </w:r>
      <w:r>
        <w:t xml:space="preserve">78 дают бесплатное чтение/просмотр; </w:t>
      </w:r>
      <w:r>
        <w:t xml:space="preserve">29 — бесплатную загрузку; </w:t>
      </w:r>
      <w:r>
        <w:t xml:space="preserve">6 — preview/snippet; </w:t>
      </w:r>
      <w:r>
        <w:t xml:space="preserve">4 — библиотечную выдачу; </w:t>
      </w:r>
      <w:r>
        <w:t xml:space="preserve">7 — покупку; </w:t>
      </w:r>
      <w:r>
        <w:t xml:space="preserve">9 — только метаданные. </w:t>
      </w:r>
      <w:r>
        <w:t>Категории пересекаются: одна запись может одновременно давать чтение, загрузку и условия повторного использования.</w:t>
      </w:r>
    </w:p>
    <w:p>
      <w:r>
        <w:rPr>
          <w:b/>
        </w:rPr>
        <w:t xml:space="preserve">Уверенность в выводах о правах: </w:t>
      </w:r>
      <w:r>
        <w:t>High — 69, Medium — 23, Low — 2.</w:t>
      </w:r>
      <w:r>
        <w:t xml:space="preserve"> Низкая уверенность оставлена только там, где официальный URL подтверждён, но страница блокировалась или не открылась полностью.</w:t>
      </w:r>
    </w:p>
    <w:p>
      <w:r>
        <w:br w:type="page"/>
      </w:r>
    </w:p>
    <w:p>
      <w:pPr>
        <w:pStyle w:val="Heading1"/>
      </w:pPr>
      <w:r>
        <w:t>3. Лучшие пути доступа</w:t>
      </w:r>
    </w:p>
    <w:p>
      <w:pPr>
        <w:pStyle w:val="Heading2"/>
      </w:pPr>
      <w:r>
        <w:t>Раннезапотекская письменность как целый исследовательский корпус</w:t>
      </w:r>
    </w:p>
    <w:p>
      <w:r>
        <w:rPr>
          <w:b/>
          <w:color w:val="0F6B78"/>
        </w:rPr>
        <w:t xml:space="preserve">Лучшее бесплатное полное чтение и скачивание. </w:t>
      </w:r>
      <w:r>
        <w:t>Javier Urcid, Zapotec Hieroglyphic Writing (2001), полный PDF/OCR через Internet Archive; item page прямо указывает CC BY-NC-ND 4.0.</w:t>
      </w:r>
    </w:p>
    <w:p>
      <w:pPr>
        <w:pStyle w:val="ToSSmall"/>
      </w:pPr>
      <w:r>
        <w:rPr>
          <w:b/>
        </w:rPr>
        <w:t xml:space="preserve">Доступ: </w:t>
      </w:r>
      <w:hyperlink r:id="rId14">
        <w:r>
          <w:rPr>
            <w:color w:val="005A8D"/>
            <w:u w:val="single"/>
            <w:rFonts w:ascii="Liberation Sans" w:hAnsi="Liberation Sans"/>
          </w:rPr>
          <w:t>https://archive.org/details/serrano-zapotec-hieroglyphic-writing</w:t>
        </w:r>
      </w:hyperlink>
    </w:p>
    <w:p>
      <w:r>
        <w:rPr>
          <w:b/>
          <w:color w:val="0F6B78"/>
        </w:rPr>
        <w:t xml:space="preserve">Лучший бесплатный визуальный корпус. </w:t>
      </w:r>
      <w:r>
        <w:t>FAMSI Zapotec Writing: отдельные text и figure PDFs на английском и испанском. Это наиболее подробный открытый для чтения набор, но text/images all rights reserved.</w:t>
      </w:r>
    </w:p>
    <w:p>
      <w:pPr>
        <w:pStyle w:val="ToSSmall"/>
      </w:pPr>
      <w:r>
        <w:rPr>
          <w:b/>
        </w:rPr>
        <w:t xml:space="preserve">FAMSI: </w:t>
      </w:r>
      <w:hyperlink r:id="rId11">
        <w:r>
          <w:rPr>
            <w:color w:val="005A8D"/>
            <w:u w:val="single"/>
            <w:rFonts w:ascii="Liberation Sans" w:hAnsi="Liberation Sans"/>
          </w:rPr>
          <w:t>https://www.famsi.org/zapotecwriting/</w:t>
        </w:r>
      </w:hyperlink>
    </w:p>
    <w:p>
      <w:r>
        <w:rPr>
          <w:b/>
          <w:color w:val="0F6B78"/>
        </w:rPr>
        <w:t xml:space="preserve">Лучший современный научный вариант. </w:t>
      </w:r>
      <w:r>
        <w:t>Joyce Marcus, Zapotec Monuments and Political History (2020), издательская страница и библиотечная покупка/выдача; Google Books даёт ограниченный preview.</w:t>
      </w:r>
    </w:p>
    <w:p>
      <w:pPr>
        <w:pStyle w:val="ToSSmall"/>
      </w:pPr>
      <w:r>
        <w:rPr>
          <w:b/>
        </w:rPr>
        <w:t xml:space="preserve">Publisher: </w:t>
      </w:r>
      <w:hyperlink r:id="rId19">
        <w:r>
          <w:rPr>
            <w:color w:val="005A8D"/>
            <w:u w:val="single"/>
            <w:rFonts w:ascii="Liberation Sans" w:hAnsi="Liberation Sans"/>
          </w:rPr>
          <w:t>https://press.umich.edu/Books/Z/Zapotec-Monuments-and-Political-History</w:t>
        </w:r>
      </w:hyperlink>
    </w:p>
    <w:p>
      <w:r>
        <w:rPr>
          <w:b/>
          <w:color w:val="0F6B78"/>
        </w:rPr>
        <w:t xml:space="preserve">Лучший старый публичнодоменный перевод. </w:t>
      </w:r>
      <w:r>
        <w:t>Не применимо: древний Zapotec corpus не имеет полного прочитанного оригинала и, следовательно, не имеет старого полного перевода. Старые работы Caso — исследования и реконструкции, а не публичнодоменные переводы корпуса.</w:t>
      </w:r>
    </w:p>
    <w:p>
      <w:pPr>
        <w:pStyle w:val="Heading2"/>
      </w:pPr>
      <w:r>
        <w:t>Monument 3, Danzantes и Building J</w:t>
      </w:r>
    </w:p>
    <w:p>
      <w:pPr>
        <w:pStyle w:val="ToSBullet"/>
        <w:ind w:left="312" w:hanging="198"/>
      </w:pPr>
      <w:r>
        <w:rPr>
          <w:b/>
        </w:rPr>
        <w:t xml:space="preserve">• </w:t>
      </w:r>
      <w:r>
        <w:t>Monument 3: University of Michigan даёт наиболее ясный контекст обнаружения in situ, датировку Late Rosario и чтение day-name ‘1 Motion’. Это бесплатное чтение, но не open-image license.</w:t>
      </w:r>
    </w:p>
    <w:p>
      <w:pPr>
        <w:pStyle w:val="ToSSmall"/>
      </w:pPr>
      <w:r>
        <w:rPr>
          <w:b/>
        </w:rPr>
        <w:t xml:space="preserve">Monument 3: </w:t>
      </w:r>
      <w:hyperlink r:id="rId12">
        <w:r>
          <w:rPr>
            <w:color w:val="005A8D"/>
            <w:u w:val="single"/>
            <w:rFonts w:ascii="Liberation Sans" w:hAnsi="Liberation Sans"/>
          </w:rPr>
          <w:t>https://sites.lsa.umich.edu/oaxaca-archaeology/origins-of-hieroglyphic-writing-2/</w:t>
        </w:r>
      </w:hyperlink>
    </w:p>
    <w:p>
      <w:pPr>
        <w:pStyle w:val="ToSBullet"/>
        <w:ind w:left="312" w:hanging="198"/>
      </w:pPr>
      <w:r>
        <w:rPr>
          <w:b/>
        </w:rPr>
        <w:t xml:space="preserve">• </w:t>
      </w:r>
      <w:r>
        <w:t>Danzantes: лучший официальный путь — INAH Repositorio item o-525004 плюс контекстная страница/галерея o-121573; для серийного сравнения — FAMSI Figures 1–4.</w:t>
      </w:r>
    </w:p>
    <w:p>
      <w:pPr>
        <w:pStyle w:val="ToSSmall"/>
      </w:pPr>
      <w:r>
        <w:rPr>
          <w:b/>
        </w:rPr>
        <w:t xml:space="preserve">INAH Danzante: </w:t>
      </w:r>
      <w:hyperlink r:id="rId20">
        <w:r>
          <w:rPr>
            <w:color w:val="005A8D"/>
            <w:u w:val="single"/>
            <w:rFonts w:ascii="Liberation Sans" w:hAnsi="Liberation Sans"/>
          </w:rPr>
          <w:t>https://repositorio.inah.gob.mx/o-525004</w:t>
        </w:r>
      </w:hyperlink>
    </w:p>
    <w:p>
      <w:pPr>
        <w:pStyle w:val="ToSBullet"/>
        <w:ind w:left="312" w:hanging="198"/>
      </w:pPr>
      <w:r>
        <w:rPr>
          <w:b/>
        </w:rPr>
        <w:t xml:space="preserve">• </w:t>
      </w:r>
      <w:r>
        <w:t>Building J: item o-262359, отдельная slab in situ o-349496 и музейная группа o-336939. Это официальный предметный доступ, но не полный machine-readable corpus.</w:t>
      </w:r>
    </w:p>
    <w:p>
      <w:pPr>
        <w:pStyle w:val="ToSSmall"/>
      </w:pPr>
      <w:r>
        <w:rPr>
          <w:b/>
        </w:rPr>
        <w:t xml:space="preserve">INAH Building J: </w:t>
      </w:r>
      <w:hyperlink r:id="rId21">
        <w:r>
          <w:rPr>
            <w:color w:val="005A8D"/>
            <w:u w:val="single"/>
            <w:rFonts w:ascii="Liberation Sans" w:hAnsi="Liberation Sans"/>
          </w:rPr>
          <w:t>https://repositorio.inah.gob.mx/o-262359</w:t>
        </w:r>
      </w:hyperlink>
    </w:p>
    <w:p>
      <w:pPr>
        <w:pStyle w:val="Heading2"/>
      </w:pPr>
      <w:r>
        <w:t>Tomb 104, Tomb 5 и региональные свидетели</w:t>
      </w:r>
    </w:p>
    <w:p>
      <w:pPr>
        <w:pStyle w:val="ToSBullet"/>
        <w:ind w:left="312" w:hanging="198"/>
      </w:pPr>
      <w:r>
        <w:rPr>
          <w:b/>
        </w:rPr>
        <w:t xml:space="preserve">• </w:t>
      </w:r>
      <w:r>
        <w:t>Tomb 104: набор отдельных INAH records для боковой стены, mural figure, entrance slab, urns и интерьера. Это лучший item-level cluster в реестре.</w:t>
      </w:r>
    </w:p>
    <w:p>
      <w:pPr>
        <w:pStyle w:val="ToSSmall"/>
      </w:pPr>
      <w:r>
        <w:rPr>
          <w:b/>
        </w:rPr>
        <w:t xml:space="preserve">Tomb 104, lateral: </w:t>
      </w:r>
      <w:hyperlink r:id="rId22">
        <w:r>
          <w:rPr>
            <w:color w:val="005A8D"/>
            <w:u w:val="single"/>
            <w:rFonts w:ascii="Liberation Sans" w:hAnsi="Liberation Sans"/>
          </w:rPr>
          <w:t>https://repositorio.inah.gob.mx/o-379962</w:t>
        </w:r>
      </w:hyperlink>
    </w:p>
    <w:p>
      <w:pPr>
        <w:pStyle w:val="ToSBullet"/>
        <w:ind w:left="312" w:hanging="198"/>
      </w:pPr>
      <w:r>
        <w:rPr>
          <w:b/>
        </w:rPr>
        <w:t xml:space="preserve">• </w:t>
      </w:r>
      <w:r>
        <w:t>Tomb 5 Cerro de la Campana: официальный INAH site page — лучший быстрый вход к большой painted/genealogical programme 300–800 CE.</w:t>
      </w:r>
    </w:p>
    <w:p>
      <w:pPr>
        <w:pStyle w:val="ToSSmall"/>
      </w:pPr>
      <w:r>
        <w:rPr>
          <w:b/>
        </w:rPr>
        <w:t xml:space="preserve">Tomb 5: </w:t>
      </w:r>
      <w:hyperlink r:id="rId23">
        <w:r>
          <w:rPr>
            <w:color w:val="005A8D"/>
            <w:u w:val="single"/>
            <w:rFonts w:ascii="Liberation Sans" w:hAnsi="Liberation Sans"/>
          </w:rPr>
          <w:t>https://lugares.inah.gob.mx/es/node/4417</w:t>
        </w:r>
      </w:hyperlink>
    </w:p>
    <w:p>
      <w:pPr>
        <w:pStyle w:val="ToSBullet"/>
        <w:ind w:left="312" w:hanging="198"/>
      </w:pPr>
      <w:r>
        <w:rPr>
          <w:b/>
        </w:rPr>
        <w:t xml:space="preserve">• </w:t>
      </w:r>
      <w:r>
        <w:t>Dainzú, Lambityeco, Mitla, Yagul, Atzompa и Zaachila: официальные site-level страницы полезны для расширения корпуса, но item-level epigraphy ещё неполна.</w:t>
      </w:r>
    </w:p>
    <w:p>
      <w:pPr>
        <w:pStyle w:val="Heading2"/>
      </w:pPr>
      <w:r>
        <w:t>Керамика, урны и переносимые объекты</w:t>
      </w:r>
    </w:p>
    <w:p>
      <w:pPr>
        <w:pStyle w:val="ToSBullet"/>
        <w:ind w:left="312" w:hanging="198"/>
      </w:pPr>
      <w:r>
        <w:rPr>
          <w:b/>
        </w:rPr>
        <w:t xml:space="preserve">• </w:t>
      </w:r>
      <w:r>
        <w:t>Лучший специализированный каталог: Adam T. Sellen, Catalogue of Zapotec Effigy Vessels. Он позволяет искать по учреждению, каталожному номеру, provenance, chronology, references и glyphs; рисунки требуют разрешения для публикации.</w:t>
      </w:r>
    </w:p>
    <w:p>
      <w:pPr>
        <w:pStyle w:val="ToSSmall"/>
      </w:pPr>
      <w:r>
        <w:rPr>
          <w:b/>
        </w:rPr>
        <w:t xml:space="preserve">FAMSI catalogue: </w:t>
      </w:r>
      <w:hyperlink r:id="rId24">
        <w:r>
          <w:rPr>
            <w:color w:val="005A8D"/>
            <w:u w:val="single"/>
            <w:rFonts w:ascii="Liberation Sans" w:hAnsi="Liberation Sans"/>
          </w:rPr>
          <w:t>https://research.famsi.org/zapotec/zapotec.html</w:t>
        </w:r>
      </w:hyperlink>
    </w:p>
    <w:p>
      <w:pPr>
        <w:pStyle w:val="ToSBullet"/>
        <w:ind w:left="312" w:hanging="198"/>
      </w:pPr>
      <w:r>
        <w:rPr>
          <w:b/>
        </w:rPr>
        <w:t xml:space="preserve">• </w:t>
      </w:r>
      <w:r>
        <w:t>Самый свободный предметный слой: The Met Open Access. Effigy urn with day-name 7 Ñ, Face Jar, Figure Vessel и другие объектные записи дают CC0 images/data; через API их можно индексировать и использовать в embeddings.</w:t>
      </w:r>
    </w:p>
    <w:p>
      <w:pPr>
        <w:pStyle w:val="ToSSmall"/>
      </w:pPr>
      <w:r>
        <w:rPr>
          <w:b/>
        </w:rPr>
        <w:t xml:space="preserve">Met urn 7 Ñ: </w:t>
      </w:r>
      <w:hyperlink r:id="rId25">
        <w:r>
          <w:rPr>
            <w:color w:val="005A8D"/>
            <w:u w:val="single"/>
            <w:rFonts w:ascii="Liberation Sans" w:hAnsi="Liberation Sans"/>
          </w:rPr>
          <w:t>https://www.metmuseum.org/art/collection/search/319468</w:t>
        </w:r>
      </w:hyperlink>
    </w:p>
    <w:p>
      <w:pPr>
        <w:pStyle w:val="ToSSmall"/>
      </w:pPr>
      <w:r>
        <w:rPr>
          <w:b/>
        </w:rPr>
        <w:t xml:space="preserve">Met API: </w:t>
      </w:r>
      <w:hyperlink r:id="rId26">
        <w:r>
          <w:rPr>
            <w:color w:val="005A8D"/>
            <w:u w:val="single"/>
            <w:rFonts w:ascii="Liberation Sans" w:hAnsi="Liberation Sans"/>
          </w:rPr>
          <w:t>https://metmuseum.github.io/</w:t>
        </w:r>
      </w:hyperlink>
    </w:p>
    <w:p>
      <w:pPr>
        <w:pStyle w:val="Heading2"/>
      </w:pPr>
      <w:r>
        <w:t>Поздняя передача: Ñuiñe, Mixteca-Puebla и Tomb 7</w:t>
      </w:r>
    </w:p>
    <w:p>
      <w:pPr>
        <w:pStyle w:val="ToSBullet"/>
        <w:ind w:left="312" w:hanging="198"/>
      </w:pPr>
      <w:r>
        <w:rPr>
          <w:b/>
        </w:rPr>
        <w:t xml:space="preserve">• </w:t>
      </w:r>
      <w:r>
        <w:t>Ñuiñe: официальный INAH article ‘Algunas reconsideraciones sobre la escritura ñuiñe’ — лучший прямой испаноязычный вход; права на повторное размещение PDF неясны.</w:t>
      </w:r>
    </w:p>
    <w:p>
      <w:pPr>
        <w:pStyle w:val="ToSSmall"/>
      </w:pPr>
      <w:r>
        <w:rPr>
          <w:b/>
        </w:rPr>
        <w:t xml:space="preserve">INAH journal: </w:t>
      </w:r>
      <w:hyperlink r:id="rId27">
        <w:r>
          <w:rPr>
            <w:color w:val="005A8D"/>
            <w:u w:val="single"/>
            <w:rFonts w:ascii="Liberation Sans" w:hAnsi="Liberation Sans"/>
          </w:rPr>
          <w:t>https://revistas.inah.gob.mx/index.php/arqueologia/article/view/12528</w:t>
        </w:r>
      </w:hyperlink>
    </w:p>
    <w:p>
      <w:pPr>
        <w:pStyle w:val="ToSBullet"/>
        <w:ind w:left="312" w:hanging="198"/>
      </w:pPr>
      <w:r>
        <w:rPr>
          <w:b/>
        </w:rPr>
        <w:t xml:space="preserve">• </w:t>
      </w:r>
      <w:r>
        <w:t>Tomb 7: наиболее свободный научный вариант — OA chapter в JSTOR/Brill под CC BY-NC 4.0; правовой охват изображений внутри главы надо проверить по credits.</w:t>
      </w:r>
    </w:p>
    <w:p>
      <w:pPr>
        <w:pStyle w:val="ToSSmall"/>
      </w:pPr>
      <w:r>
        <w:rPr>
          <w:b/>
        </w:rPr>
        <w:t xml:space="preserve">Tomb 7 OA chapter: </w:t>
      </w:r>
      <w:hyperlink r:id="rId28">
        <w:r>
          <w:rPr>
            <w:color w:val="005A8D"/>
            <w:u w:val="single"/>
            <w:rFonts w:ascii="Liberation Sans" w:hAnsi="Liberation Sans"/>
          </w:rPr>
          <w:t>https://www.jstor.org/content/oa_chapter_monograph/10.1163/j.ctv2gjwv2m.13</w:t>
        </w:r>
      </w:hyperlink>
    </w:p>
    <w:p>
      <w:pPr>
        <w:pStyle w:val="ToSBullet"/>
        <w:ind w:left="312" w:hanging="198"/>
      </w:pPr>
      <w:r>
        <w:rPr>
          <w:b/>
        </w:rPr>
        <w:t xml:space="preserve">• </w:t>
      </w:r>
      <w:r>
        <w:t>Mixtec screenfolds: British Museum pages Codex Zouche-Nuttall и Codex Egerton 2895 дают официальный visual/catalogue access, но не были признаны свободными для mirroring. Это boundary objects, а не Zapotec codices.</w:t>
      </w:r>
    </w:p>
    <w:p>
      <w:pPr>
        <w:pStyle w:val="Heading2"/>
      </w:pPr>
      <w:r>
        <w:t>Колониальная сапотекская книжность</w:t>
      </w:r>
    </w:p>
    <w:p>
      <w:pPr>
        <w:pStyle w:val="ToSBullet"/>
        <w:ind w:left="312" w:hanging="198"/>
      </w:pPr>
      <w:r>
        <w:rPr>
          <w:b/>
        </w:rPr>
        <w:t xml:space="preserve">• </w:t>
      </w:r>
      <w:r>
        <w:t>Лучший открытый текстовый слой: Ticha. Транскрипции, переводы и анализ доступны бесплатно; проектные слои CC BY-NC-SA 4.0, архивные images могут иметь отдельные права.</w:t>
      </w:r>
    </w:p>
    <w:p>
      <w:pPr>
        <w:pStyle w:val="ToSSmall"/>
      </w:pPr>
      <w:r>
        <w:rPr>
          <w:b/>
        </w:rPr>
        <w:t xml:space="preserve">Ticha handwritten corpus: </w:t>
      </w:r>
      <w:hyperlink r:id="rId29">
        <w:r>
          <w:rPr>
            <w:color w:val="005A8D"/>
            <w:u w:val="single"/>
            <w:rFonts w:ascii="Liberation Sans" w:hAnsi="Liberation Sans"/>
          </w:rPr>
          <w:t>https://ticha.haverford.edu/en/texts/handwritten/</w:t>
        </w:r>
      </w:hyperlink>
    </w:p>
    <w:p>
      <w:pPr>
        <w:pStyle w:val="ToSBullet"/>
        <w:ind w:left="312" w:hanging="198"/>
      </w:pPr>
      <w:r>
        <w:rPr>
          <w:b/>
        </w:rPr>
        <w:t xml:space="preserve">• </w:t>
      </w:r>
      <w:r>
        <w:t>Лучший public-domain original для собственного перевода: Córdova, Arte en lengua zapoteca (1578). Ticha даёт diplomatic transcription и regularized Spanish; Internet Archive — полный facsimile/OCR.</w:t>
      </w:r>
    </w:p>
    <w:p>
      <w:pPr>
        <w:pStyle w:val="ToSSmall"/>
      </w:pPr>
      <w:r>
        <w:rPr>
          <w:b/>
        </w:rPr>
        <w:t xml:space="preserve">Ticha Arte: </w:t>
      </w:r>
      <w:hyperlink r:id="rId30">
        <w:r>
          <w:rPr>
            <w:color w:val="005A8D"/>
            <w:u w:val="single"/>
            <w:rFonts w:ascii="Liberation Sans" w:hAnsi="Liberation Sans"/>
          </w:rPr>
          <w:t>https://ticha.haverford.edu/en/arte_original/</w:t>
        </w:r>
      </w:hyperlink>
    </w:p>
    <w:p>
      <w:pPr>
        <w:pStyle w:val="ToSSmall"/>
      </w:pPr>
      <w:r>
        <w:rPr>
          <w:b/>
        </w:rPr>
        <w:t xml:space="preserve">Internet Archive Arte: </w:t>
      </w:r>
      <w:hyperlink r:id="rId31">
        <w:r>
          <w:rPr>
            <w:color w:val="005A8D"/>
            <w:u w:val="single"/>
            <w:rFonts w:ascii="Liberation Sans" w:hAnsi="Liberation Sans"/>
          </w:rPr>
          <w:t>https://archive.org/details/arteenlenguazapo00juan</w:t>
        </w:r>
      </w:hyperlink>
    </w:p>
    <w:p>
      <w:pPr>
        <w:pStyle w:val="ToSBullet"/>
        <w:ind w:left="312" w:hanging="198"/>
      </w:pPr>
      <w:r>
        <w:rPr>
          <w:b/>
        </w:rPr>
        <w:t xml:space="preserve">• </w:t>
      </w:r>
      <w:r>
        <w:t>Лучший machine-addressable facsimile: Vocabulario en lengua zapoteca (1578) в Primeros Libros с полным PDF и IIIF manifest. Сам текст public domain, но repository restricts publication of images.</w:t>
      </w:r>
    </w:p>
    <w:p>
      <w:pPr>
        <w:pStyle w:val="ToSSmall"/>
      </w:pPr>
      <w:r>
        <w:rPr>
          <w:b/>
        </w:rPr>
        <w:t xml:space="preserve">Primeros Libros: </w:t>
      </w:r>
      <w:hyperlink r:id="rId17">
        <w:r>
          <w:rPr>
            <w:color w:val="005A8D"/>
            <w:u w:val="single"/>
            <w:rFonts w:ascii="Liberation Sans" w:hAnsi="Liberation Sans"/>
          </w:rPr>
          <w:t>https://primeroslibros-prod.lib.utexas.edu/spotlight/primeros-libros-de-las-americas/catalog/0e294fe893f258748a81f3d71644c36a?locale=es</w:t>
        </w:r>
      </w:hyperlink>
    </w:p>
    <w:p>
      <w:pPr>
        <w:pStyle w:val="Heading2"/>
      </w:pPr>
      <w:r>
        <w:t>Машиночитаемые и наиболее свободные варианты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E4E8"/>
          <w:left w:val="single" w:sz="4" w:space="0" w:color="D5E4E8"/>
          <w:bottom w:val="single" w:sz="4" w:space="0" w:color="D5E4E8"/>
          <w:right w:val="single" w:sz="4" w:space="0" w:color="D5E4E8"/>
          <w:insideH w:val="single" w:sz="4" w:space="0" w:color="D5E4E8"/>
          <w:insideV w:val="single" w:sz="4" w:space="0" w:color="D5E4E8"/>
        </w:tblBorders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438"/>
            <w:shd w:fill="0B4F5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Ресурс</w:t>
            </w:r>
          </w:p>
        </w:tc>
        <w:tc>
          <w:tcPr>
            <w:tcW w:type="dxa" w:w="2835"/>
            <w:shd w:fill="0B4F5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Формат/лицензия</w:t>
            </w:r>
          </w:p>
        </w:tc>
        <w:tc>
          <w:tcPr>
            <w:tcW w:type="dxa" w:w="3912"/>
            <w:shd w:fill="0B4F5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Практический вывод</w:t>
            </w:r>
          </w:p>
        </w:tc>
      </w:tr>
      <w:tr>
        <w:trPr>
          <w:cantSplit/>
        </w:trPr>
        <w:tc>
          <w:tcPr>
            <w:tcW w:type="dxa" w:w="243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The Met OA + API</w:t>
            </w:r>
          </w:p>
        </w:tc>
        <w:tc>
          <w:tcPr>
            <w:tcW w:type="dxa" w:w="283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CC0 images/data отдельных предметов</w:t>
            </w:r>
          </w:p>
        </w:tc>
        <w:tc>
          <w:tcPr>
            <w:tcW w:type="dxa" w:w="391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Свободное mirroring, индексация, embeddings; проверять OA status item-by-item.</w:t>
            </w:r>
          </w:p>
        </w:tc>
      </w:tr>
      <w:tr>
        <w:trPr>
          <w:cantSplit/>
        </w:trPr>
        <w:tc>
          <w:tcPr>
            <w:tcW w:type="dxa" w:w="243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Ticha text layers</w:t>
            </w:r>
          </w:p>
        </w:tc>
        <w:tc>
          <w:tcPr>
            <w:tcW w:type="dxa" w:w="283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CC BY-NC-SA 4.0</w:t>
            </w:r>
          </w:p>
        </w:tc>
        <w:tc>
          <w:tcPr>
            <w:tcW w:type="dxa" w:w="391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NC + attribution + ShareAlike; изображения архивов отдельно.</w:t>
            </w:r>
          </w:p>
        </w:tc>
      </w:tr>
      <w:tr>
        <w:trPr>
          <w:cantSplit/>
        </w:trPr>
        <w:tc>
          <w:tcPr>
            <w:tcW w:type="dxa" w:w="243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Open Heritage 3D System IV</w:t>
            </w:r>
          </w:p>
        </w:tc>
        <w:tc>
          <w:tcPr>
            <w:tcW w:type="dxa" w:w="283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CC BY-NC-SA 4.0, DOI 10.26301/edsm-3w14</w:t>
            </w:r>
          </w:p>
        </w:tc>
        <w:tc>
          <w:tcPr>
            <w:tcW w:type="dxa" w:w="391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4.61 GB LiDAR; noncommercial mirror/derivatives with attribution and SA.</w:t>
            </w:r>
          </w:p>
        </w:tc>
      </w:tr>
      <w:tr>
        <w:trPr>
          <w:cantSplit/>
        </w:trPr>
        <w:tc>
          <w:tcPr>
            <w:tcW w:type="dxa" w:w="243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Primeros Libros IIIF</w:t>
            </w:r>
          </w:p>
        </w:tc>
        <w:tc>
          <w:tcPr>
            <w:tcW w:type="dxa" w:w="283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Open technical access, но restricted image publication</w:t>
            </w:r>
          </w:p>
        </w:tc>
        <w:tc>
          <w:tcPr>
            <w:tcW w:type="dxa" w:w="391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Подходит для локального OCR/исследования; публичное распространение images требует review.</w:t>
            </w:r>
          </w:p>
        </w:tc>
      </w:tr>
      <w:tr>
        <w:trPr>
          <w:cantSplit/>
        </w:trPr>
        <w:tc>
          <w:tcPr>
            <w:tcW w:type="dxa" w:w="243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FAMSI PDFs</w:t>
            </w:r>
          </w:p>
        </w:tc>
        <w:tc>
          <w:tcPr>
            <w:tcW w:type="dxa" w:w="283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PDF only; all rights reserved</w:t>
            </w:r>
          </w:p>
        </w:tc>
        <w:tc>
          <w:tcPr>
            <w:tcW w:type="dxa" w:w="391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Прекрасны для локального исследования, но не для автоматического public corpus release.</w:t>
            </w:r>
          </w:p>
        </w:tc>
      </w:tr>
    </w:tbl>
    <w:p>
      <w:pPr>
        <w:pStyle w:val="ToSSmall"/>
      </w:pPr>
    </w:p>
    <w:p>
      <w:r>
        <w:br w:type="page"/>
      </w:r>
    </w:p>
    <w:p>
      <w:pPr>
        <w:pStyle w:val="Heading1"/>
      </w:pPr>
      <w:r>
        <w:t>4. Карта прав и практического использования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E4E8"/>
          <w:left w:val="single" w:sz="4" w:space="0" w:color="D5E4E8"/>
          <w:bottom w:val="single" w:sz="4" w:space="0" w:color="D5E4E8"/>
          <w:right w:val="single" w:sz="4" w:space="0" w:color="D5E4E8"/>
          <w:insideH w:val="single" w:sz="4" w:space="0" w:color="D5E4E8"/>
          <w:insideV w:val="single" w:sz="4" w:space="0" w:color="D5E4E8"/>
        </w:tblBorders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097"/>
            <w:shd w:fill="0B4F5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Правовой слой</w:t>
            </w:r>
          </w:p>
        </w:tc>
        <w:tc>
          <w:tcPr>
            <w:tcW w:type="dxa" w:w="2721"/>
            <w:shd w:fill="0B4F5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Примеры</w:t>
            </w:r>
          </w:p>
        </w:tc>
        <w:tc>
          <w:tcPr>
            <w:tcW w:type="dxa" w:w="4365"/>
            <w:shd w:fill="0B4F5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Что делать ToS</w:t>
            </w:r>
          </w:p>
        </w:tc>
      </w:tr>
      <w:tr>
        <w:trPr>
          <w:cantSplit/>
        </w:trPr>
        <w:tc>
          <w:tcPr>
            <w:tcW w:type="dxa" w:w="209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CC0 / Public Domain OA</w:t>
            </w:r>
          </w:p>
        </w:tc>
        <w:tc>
          <w:tcPr>
            <w:tcW w:type="dxa" w:w="272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The Met OA images/data</w:t>
            </w:r>
          </w:p>
        </w:tc>
        <w:tc>
          <w:tcPr>
            <w:tcW w:type="dxa" w:w="436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Можно зеркалировать, индексировать и строить embeddings в пределах marked OA components. Не переносить CC0 на Met essays или non-OA media.</w:t>
            </w:r>
          </w:p>
        </w:tc>
      </w:tr>
      <w:tr>
        <w:trPr>
          <w:cantSplit/>
        </w:trPr>
        <w:tc>
          <w:tcPr>
            <w:tcW w:type="dxa" w:w="209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CC BY-NC-SA</w:t>
            </w:r>
          </w:p>
        </w:tc>
        <w:tc>
          <w:tcPr>
            <w:tcW w:type="dxa" w:w="272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Ticha text layers; Open Heritage 3D</w:t>
            </w:r>
          </w:p>
        </w:tc>
        <w:tc>
          <w:tcPr>
            <w:tcW w:type="dxa" w:w="436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Некоммерческое использование, attribution, ShareAlike. Для Ticha source images — отдельная проверка; для 3D — dataset scope only.</w:t>
            </w:r>
          </w:p>
        </w:tc>
      </w:tr>
      <w:tr>
        <w:trPr>
          <w:cantSplit/>
        </w:trPr>
        <w:tc>
          <w:tcPr>
            <w:tcW w:type="dxa" w:w="209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CC BY-NC-ND</w:t>
            </w:r>
          </w:p>
        </w:tc>
        <w:tc>
          <w:tcPr>
            <w:tcW w:type="dxa" w:w="272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INAH files; Urcid 2001 IA item</w:t>
            </w:r>
          </w:p>
        </w:tc>
        <w:tc>
          <w:tcPr>
            <w:tcW w:type="dxa" w:w="436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Допустимо unchanged noncommercial redistribution with attribution. OCR cleanup, crops, adapted editions and public derivative datasets требуют manual review.</w:t>
            </w:r>
          </w:p>
        </w:tc>
      </w:tr>
      <w:tr>
        <w:trPr>
          <w:cantSplit/>
        </w:trPr>
        <w:tc>
          <w:tcPr>
            <w:tcW w:type="dxa" w:w="209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Public-domain work + restricted scan</w:t>
            </w:r>
          </w:p>
        </w:tc>
        <w:tc>
          <w:tcPr>
            <w:tcW w:type="dxa" w:w="272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Córdova 1578 in Primeros Libros / JCB scans</w:t>
            </w:r>
          </w:p>
        </w:tc>
        <w:tc>
          <w:tcPr>
            <w:tcW w:type="dxa" w:w="436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Собственный transcription/translation возможен из public-domain text; нельзя автоматически публиковать page images or repository scan.</w:t>
            </w:r>
          </w:p>
        </w:tc>
      </w:tr>
      <w:tr>
        <w:trPr>
          <w:cantSplit/>
        </w:trPr>
        <w:tc>
          <w:tcPr>
            <w:tcW w:type="dxa" w:w="209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Free access, all rights reserved</w:t>
            </w:r>
          </w:p>
        </w:tc>
        <w:tc>
          <w:tcPr>
            <w:tcW w:type="dxa" w:w="272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FAMSI, UMich page, Met essays, CyArk</w:t>
            </w:r>
          </w:p>
        </w:tc>
        <w:tc>
          <w:tcPr>
            <w:tcW w:type="dxa" w:w="436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Можно читать, ссылаться, хранить исследовательскую копию по применимым правилам; mirroring и производные базы не доказаны.</w:t>
            </w:r>
          </w:p>
        </w:tc>
      </w:tr>
      <w:tr>
        <w:trPr>
          <w:cantSplit/>
        </w:trPr>
        <w:tc>
          <w:tcPr>
            <w:tcW w:type="dxa" w:w="209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Link/borrow/preview/purchase</w:t>
            </w:r>
          </w:p>
        </w:tc>
        <w:tc>
          <w:tcPr>
            <w:tcW w:type="dxa" w:w="272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Marcus 2020; Science/Cambridge antecedent papers; British Museum; library catalogues</w:t>
            </w:r>
          </w:p>
        </w:tc>
        <w:tc>
          <w:tcPr>
            <w:tcW w:type="dxa" w:w="436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Сохранять легальный navigation route; не исключать источник только потому, что он платный или частичный.</w:t>
            </w:r>
          </w:p>
        </w:tc>
      </w:tr>
    </w:tbl>
    <w:p>
      <w:pPr>
        <w:pStyle w:val="ToSSmall"/>
      </w:pPr>
    </w:p>
    <w:p>
      <w:pPr>
        <w:pStyle w:val="Heading2"/>
      </w:pPr>
      <w:r>
        <w:t>Что ToS потенциально может зеркалировать</w:t>
      </w:r>
    </w:p>
    <w:p>
      <w:pPr>
        <w:pStyle w:val="ToSBullet"/>
        <w:ind w:left="312" w:hanging="198"/>
      </w:pPr>
      <w:r>
        <w:rPr>
          <w:b/>
        </w:rPr>
        <w:t xml:space="preserve">• </w:t>
      </w:r>
      <w:r>
        <w:t>Безусловно в заявленном scope: CC0 images/data The Met Open Access.</w:t>
      </w:r>
    </w:p>
    <w:p>
      <w:pPr>
        <w:pStyle w:val="ToSBullet"/>
        <w:ind w:left="312" w:hanging="198"/>
      </w:pPr>
      <w:r>
        <w:rPr>
          <w:b/>
        </w:rPr>
        <w:t xml:space="preserve">• </w:t>
      </w:r>
      <w:r>
        <w:t>Некоммерчески с attribution и ShareAlike: Ticha-created text layers и Open Heritage 3D System IV.</w:t>
      </w:r>
    </w:p>
    <w:p>
      <w:pPr>
        <w:pStyle w:val="ToSBullet"/>
        <w:ind w:left="312" w:hanging="198"/>
      </w:pPr>
      <w:r>
        <w:rPr>
          <w:b/>
        </w:rPr>
        <w:t xml:space="preserve">• </w:t>
      </w:r>
      <w:r>
        <w:t>Некоммерчески, с attribution, только неизменённым: конкретные INAH files и Urcid 2001 IA package под CC BY-NC-ND, если item/component действительно покрыт лицензией.</w:t>
      </w:r>
    </w:p>
    <w:p>
      <w:pPr>
        <w:pStyle w:val="ToSBullet"/>
        <w:ind w:left="312" w:hanging="198"/>
      </w:pPr>
      <w:r>
        <w:rPr>
          <w:b/>
        </w:rPr>
        <w:t xml:space="preserve">• </w:t>
      </w:r>
      <w:r>
        <w:t>Не следует зеркалировать без permission: FAMSI modern text/figures, UMich images, Met essays, UNESCO gallery, CyArk interactives, British Museum images, современную монографию Marcus 2020.</w:t>
      </w:r>
    </w:p>
    <w:p>
      <w:pPr>
        <w:pStyle w:val="Heading2"/>
      </w:pPr>
      <w:r>
        <w:t>OCR, полнотекстовая индексация и embeddings</w:t>
      </w:r>
    </w:p>
    <w:p>
      <w:r>
        <w:rPr>
          <w:b/>
          <w:color w:val="0F6B78"/>
        </w:rPr>
        <w:t xml:space="preserve">Разрешённый открытый слой. </w:t>
      </w:r>
      <w:r>
        <w:t>CC0 Met object data/images допускают техническую обработку. CC BY-NC-SA Ticha layers допускают преобразования для некоммерческого проекта при attribution и ShareAlike. Open Heritage 3D допускает derived noncommercial spatial representations с теми же условиями.</w:t>
      </w:r>
    </w:p>
    <w:p>
      <w:r>
        <w:rPr>
          <w:b/>
          <w:color w:val="0F6B78"/>
        </w:rPr>
        <w:t xml:space="preserve">ND-слой. </w:t>
      </w:r>
      <w:r>
        <w:t>NoDerivatives означает, что автоматический вывод ‘скачал → OCR_OK → public index OK’ неверен. Для INAH и Urcid 2001 безопасный минимум — link, free read/download, local research copy и unchanged noncommercial copy в доказанном scope; публичные очищенные OCR, embeddings dumps или переработанные figure sets требуют правовой оценки.</w:t>
      </w:r>
    </w:p>
    <w:p>
      <w:r>
        <w:rPr>
          <w:b/>
          <w:color w:val="0F6B78"/>
        </w:rPr>
        <w:t xml:space="preserve">Public-domain text / restricted image. </w:t>
      </w:r>
      <w:r>
        <w:t>Для Córdova 1578 ToS может создать собственный transcription/OCR/translation как новый результат из public-domain текста, но не должен просто перепубликовать restricted JCB/Primeros Libros page images.</w:t>
      </w:r>
    </w:p>
    <w:p>
      <w:pPr>
        <w:pStyle w:val="Heading2"/>
      </w:pPr>
      <w:r>
        <w:t>Собственный перевод ToS</w:t>
      </w:r>
    </w:p>
    <w:p>
      <w:pPr>
        <w:pStyle w:val="ToSBullet"/>
        <w:ind w:left="312" w:hanging="198"/>
      </w:pPr>
      <w:r>
        <w:rPr>
          <w:b/>
        </w:rPr>
        <w:t xml:space="preserve">• </w:t>
      </w:r>
      <w:r>
        <w:t>Чистая полная основа: public-domain Arte и Vocabulario 1578; Ticha diplomatic transcriptions как дополнительный CC BY-NC-SA слой.</w:t>
      </w:r>
    </w:p>
    <w:p>
      <w:pPr>
        <w:pStyle w:val="ToSBullet"/>
        <w:ind w:left="312" w:hanging="198"/>
      </w:pPr>
      <w:r>
        <w:rPr>
          <w:b/>
        </w:rPr>
        <w:t xml:space="preserve">• </w:t>
      </w:r>
      <w:r>
        <w:t>Чистая ограниченная основа: CC0 photograph of the Met effigy urn with day-name 7 Ñ — только видимый знак/предмет, не весь corpus.</w:t>
      </w:r>
    </w:p>
    <w:p>
      <w:pPr>
        <w:pStyle w:val="ToSBullet"/>
        <w:ind w:left="312" w:hanging="198"/>
      </w:pPr>
      <w:r>
        <w:rPr>
          <w:b/>
        </w:rPr>
        <w:t xml:space="preserve">• </w:t>
      </w:r>
      <w:r>
        <w:t>Не чистая основа: FAMSI/Urcid modern readings, drawings and reconstructions — protected modern scholarly layer.</w:t>
      </w:r>
    </w:p>
    <w:p>
      <w:pPr>
        <w:pStyle w:val="ToSBullet"/>
        <w:ind w:left="312" w:hanging="198"/>
      </w:pPr>
      <w:r>
        <w:rPr>
          <w:b/>
        </w:rPr>
        <w:t xml:space="preserve">• </w:t>
      </w:r>
      <w:r>
        <w:t>Для раннезапотекской эпиграфики ‘OWN_TRANSLATION_POSSIBLE’ не означает full translation: script is only partially deciphered. Реалистичны собственные описания, sign indexing и осторожные transcriptions отдельных читаемых элементов.</w:t>
      </w:r>
    </w:p>
    <w:p>
      <w:pPr>
        <w:pStyle w:val="Heading1"/>
      </w:pPr>
      <w:r>
        <w:t>5. Характерные правовые тонкости</w:t>
      </w:r>
    </w:p>
    <w:p>
      <w:r>
        <w:rPr>
          <w:b/>
          <w:color w:val="0F6B78"/>
        </w:rPr>
        <w:t xml:space="preserve">Древний объект не освобождает современное изображение. </w:t>
      </w:r>
      <w:r>
        <w:t>Каменная надпись VI века до н. э. сама по себе не защищена современным copyright, но фотография INAH, drawing Urcid, музейный catalogue text и digital scan имеют отдельный правовой слой.</w:t>
      </w:r>
    </w:p>
    <w:p>
      <w:r>
        <w:rPr>
          <w:b/>
          <w:color w:val="0F6B78"/>
        </w:rPr>
        <w:t xml:space="preserve">Public Domain Mark — не лицензия. </w:t>
      </w:r>
      <w:r>
        <w:t>Wikisource/Primeros Libros могут маркировать исторический work как Public Domain, но PDM лишь сообщает о предполагаемом статусе. Он не отменяет repository terms и не создаёт contract right на публикацию изображений.</w:t>
      </w:r>
    </w:p>
    <w:p>
      <w:r>
        <w:rPr>
          <w:b/>
          <w:color w:val="0F6B78"/>
        </w:rPr>
        <w:t xml:space="preserve">Free download не равен mirror permission. </w:t>
      </w:r>
      <w:r>
        <w:t>FAMSI и INAH дают файлы для чтения/исследования; повторное размещение зависит от copyright notice или CC license. Скачиваемость PDF сама по себе ничего не доказывает.</w:t>
      </w:r>
    </w:p>
    <w:p>
      <w:r>
        <w:rPr>
          <w:b/>
          <w:color w:val="0F6B78"/>
        </w:rPr>
        <w:t xml:space="preserve">NoDerivatives особенно чувствителен к OCR и datasets. </w:t>
      </w:r>
      <w:r>
        <w:t>Неизменённый файл может распространяться в пределах CC BY-NC-ND, но cleaned OCR, cropped figures, annotated images, sign datasets and embeddings may be adaptations or extracted protected expression. Поэтому registry удерживает RIGHTS_REVIEW_REQUIRED.</w:t>
      </w:r>
    </w:p>
    <w:p>
      <w:r>
        <w:rPr>
          <w:b/>
          <w:color w:val="0F6B78"/>
        </w:rPr>
        <w:t xml:space="preserve">Один сайт может иметь открытые данные и закрытые тексты. </w:t>
      </w:r>
      <w:r>
        <w:t>The Met releases marked OA images/data as CC0, но essays and unmarked media remain proprietary. Ticha licenses its own transcriptions, while manuscript images may belong to partner archives.</w:t>
      </w:r>
    </w:p>
    <w:p>
      <w:r>
        <w:rPr>
          <w:b/>
          <w:color w:val="0F6B78"/>
        </w:rPr>
        <w:t xml:space="preserve">Public-domain text может жить в ограниченном digital surrogate. </w:t>
      </w:r>
      <w:r>
        <w:t>Córdova 1578 доступен как public-domain work, но Primeros Libros прямо сохраняет publication control over repository images. ToS может создать independent text layer, не копируя ограниченные scans.</w:t>
      </w:r>
    </w:p>
    <w:p>
      <w:r>
        <w:rPr>
          <w:b/>
          <w:color w:val="0F6B78"/>
        </w:rPr>
        <w:t xml:space="preserve">Частичная дешифровка — не только научная, но и правовая граница. </w:t>
      </w:r>
      <w:r>
        <w:t>Современные sign readings and reconstructions can be protected scholarly expression. Свободный ancient witness не делает автоматически свободной чужую reconstruction.</w:t>
      </w:r>
    </w:p>
    <w:p>
      <w:r>
        <w:br w:type="page"/>
      </w:r>
    </w:p>
    <w:p>
      <w:pPr>
        <w:pStyle w:val="Heading1"/>
      </w:pPr>
      <w:r>
        <w:t>6. Пробелы и дальнейший поиск</w:t>
      </w:r>
    </w:p>
    <w:p>
      <w:r>
        <w:rPr>
          <w:b/>
        </w:rPr>
        <w:t xml:space="preserve">Главные незакрытые зоны не связаны с отсутствием общих порталов. </w:t>
      </w:r>
      <w:r>
        <w:t>Они связаны с item-level полнотой, устойчивыми идентификаторами, компонентными правами и отсутствием machine-readable corpus.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E4E8"/>
          <w:left w:val="single" w:sz="4" w:space="0" w:color="D5E4E8"/>
          <w:bottom w:val="single" w:sz="4" w:space="0" w:color="D5E4E8"/>
          <w:right w:val="single" w:sz="4" w:space="0" w:color="D5E4E8"/>
          <w:insideH w:val="single" w:sz="4" w:space="0" w:color="D5E4E8"/>
          <w:insideV w:val="single" w:sz="4" w:space="0" w:color="D5E4E8"/>
        </w:tblBorders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814"/>
            <w:shd w:fill="A45A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Пробел</w:t>
            </w:r>
          </w:p>
        </w:tc>
        <w:tc>
          <w:tcPr>
            <w:tcW w:type="dxa" w:w="3685"/>
            <w:shd w:fill="A45A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Чего не хватает</w:t>
            </w:r>
          </w:p>
        </w:tc>
        <w:tc>
          <w:tcPr>
            <w:tcW w:type="dxa" w:w="3685"/>
            <w:shd w:fill="A45A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Следующий шаг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Monument 3</w:t>
            </w:r>
          </w:p>
        </w:tc>
        <w:tc>
          <w:tcPr>
            <w:tcW w:type="dxa" w:w="368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Нет официальной object page с custody, inventory и item-level image rights.</w:t>
            </w:r>
          </w:p>
        </w:tc>
        <w:tc>
          <w:tcPr>
            <w:tcW w:type="dxa" w:w="368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INAH Mediateca/Repositorio + музей San José Mogote.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Danzantes</w:t>
            </w:r>
          </w:p>
        </w:tc>
        <w:tc>
          <w:tcPr>
            <w:tcW w:type="dxa" w:w="368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Есть отдельные images, но нет полного stable item register.</w:t>
            </w:r>
          </w:p>
        </w:tc>
        <w:tc>
          <w:tcPr>
            <w:tcW w:type="dxa" w:w="368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Свести INAH IDs с Urcid/Marcus numbering.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Building J</w:t>
            </w:r>
          </w:p>
        </w:tc>
        <w:tc>
          <w:tcPr>
            <w:tcW w:type="dxa" w:w="368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Нет corpus-wide API/bulk package всех place-glyph slabs.</w:t>
            </w:r>
          </w:p>
        </w:tc>
        <w:tc>
          <w:tcPr>
            <w:tcW w:type="dxa" w:w="368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Создать concordance и запросить institutional data.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Stelae 12/13/18</w:t>
            </w:r>
          </w:p>
        </w:tc>
        <w:tc>
          <w:tcPr>
            <w:tcW w:type="dxa" w:w="368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Официально названы, но dedicated item pages не найдены.</w:t>
            </w:r>
          </w:p>
        </w:tc>
        <w:tc>
          <w:tcPr>
            <w:tcW w:type="dxa" w:w="368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Искать по номеру monument и museum room.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MNA-6-6059</w:t>
            </w:r>
          </w:p>
        </w:tc>
        <w:tc>
          <w:tcPr>
            <w:tcW w:type="dxa" w:w="368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Есть в scholarly corpus, нет проверенной MNA page.</w:t>
            </w:r>
          </w:p>
        </w:tc>
        <w:tc>
          <w:tcPr>
            <w:tcW w:type="dxa" w:w="368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Поиск Mediateca по 6-6059.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Ceramic inscriptions</w:t>
            </w:r>
          </w:p>
        </w:tc>
        <w:tc>
          <w:tcPr>
            <w:tcW w:type="dxa" w:w="368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FAMSI catalogue searchable, но без public API/open database license.</w:t>
            </w:r>
          </w:p>
        </w:tc>
        <w:tc>
          <w:tcPr>
            <w:tcW w:type="dxa" w:w="368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Запросить export/permission; link museum IDs.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Bone inscriptions</w:t>
            </w:r>
          </w:p>
        </w:tc>
        <w:tc>
          <w:tcPr>
            <w:tcW w:type="dxa" w:w="368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Нет полного corpus and rights-cleared image set.</w:t>
            </w:r>
          </w:p>
        </w:tc>
        <w:tc>
          <w:tcPr>
            <w:tcW w:type="dxa" w:w="368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INAH/MNA/Oaxaca museum search by object terms.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Ñuiñe</w:t>
            </w:r>
          </w:p>
        </w:tc>
        <w:tc>
          <w:tcPr>
            <w:tcW w:type="dxa" w:w="368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Есть survey article, нет open primary corpus.</w:t>
            </w:r>
          </w:p>
        </w:tc>
        <w:tc>
          <w:tcPr>
            <w:tcW w:type="dxa" w:w="368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Локальные site names, INAH reports, Rodríguez Cano bibliography.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Core 3D</w:t>
            </w:r>
          </w:p>
        </w:tc>
        <w:tc>
          <w:tcPr>
            <w:tcW w:type="dxa" w:w="368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Open 3D covers System IV, not Danzantes/Building J/stelae.</w:t>
            </w:r>
          </w:p>
        </w:tc>
        <w:tc>
          <w:tcPr>
            <w:tcW w:type="dxa" w:w="368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Contact CyArk/INAH/Open Heritage by monument name.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Regional corpus</w:t>
            </w:r>
          </w:p>
        </w:tc>
        <w:tc>
          <w:tcPr>
            <w:tcW w:type="dxa" w:w="368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Teotitlán, Zaachila and wider Oaxaca coverage uneven.</w:t>
            </w:r>
          </w:p>
        </w:tc>
        <w:tc>
          <w:tcPr>
            <w:tcW w:type="dxa" w:w="368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Locality-by-locality item search with Urcid identifiers.</w:t>
            </w:r>
          </w:p>
        </w:tc>
      </w:tr>
    </w:tbl>
    <w:p>
      <w:pPr>
        <w:pStyle w:val="ToSSmall"/>
      </w:pPr>
    </w:p>
    <w:p>
      <w:pPr>
        <w:pStyle w:val="Heading2"/>
      </w:pPr>
      <w:r>
        <w:t>Отрицательные свидетельства, которые нельзя «закрывать» вымыслом</w:t>
      </w:r>
    </w:p>
    <w:p>
      <w:pPr>
        <w:pStyle w:val="ToSBullet"/>
        <w:ind w:left="312" w:hanging="198"/>
      </w:pPr>
      <w:r>
        <w:rPr>
          <w:b/>
        </w:rPr>
        <w:t xml:space="preserve">• </w:t>
      </w:r>
      <w:r>
        <w:t>Не найдено и не известно доколумбовых screenfold codices на собственно запотекском письме. Поздние Mixtec codices — successor/boundary evidence, не замена.</w:t>
      </w:r>
    </w:p>
    <w:p>
      <w:pPr>
        <w:pStyle w:val="ToSBullet"/>
        <w:ind w:left="312" w:hanging="198"/>
      </w:pPr>
      <w:r>
        <w:rPr>
          <w:b/>
        </w:rPr>
        <w:t xml:space="preserve">• </w:t>
      </w:r>
      <w:r>
        <w:t>Предполагаемые deer-hide, cotton-cloth и другие perishable media почти полностью утрачены. Их вероятное существование не позволяет реконструировать содержание ‘потерянных книг’.</w:t>
      </w:r>
    </w:p>
    <w:p>
      <w:pPr>
        <w:pStyle w:val="ToSBullet"/>
        <w:ind w:left="312" w:hanging="198"/>
      </w:pPr>
      <w:r>
        <w:rPr>
          <w:b/>
        </w:rPr>
        <w:t xml:space="preserve">• </w:t>
      </w:r>
      <w:r>
        <w:t>Полный философский, аргументативный или комментарийный corpus не доказан и не должен появиться в ToS как inferred text.</w:t>
      </w:r>
    </w:p>
    <w:p>
      <w:pPr>
        <w:pStyle w:val="Heading2"/>
      </w:pPr>
      <w:r>
        <w:t>Ссылки, открывшиеся неполно или нестабильно</w:t>
      </w:r>
    </w:p>
    <w:p>
      <w:pPr>
        <w:pStyle w:val="ToSBullet"/>
        <w:ind w:left="312" w:hanging="198"/>
      </w:pPr>
      <w:r>
        <w:rPr>
          <w:b/>
        </w:rPr>
        <w:t xml:space="preserve">• </w:t>
      </w:r>
      <w:r>
        <w:t>Government of Mexico conservation page on Tomb 7: официальный результат подтверждён, но direct opening was blocked during the check.</w:t>
      </w:r>
    </w:p>
    <w:p>
      <w:pPr>
        <w:pStyle w:val="ToSBullet"/>
        <w:ind w:left="312" w:hanging="198"/>
      </w:pPr>
      <w:r>
        <w:rPr>
          <w:b/>
        </w:rPr>
        <w:t xml:space="preserve">• </w:t>
      </w:r>
      <w:r>
        <w:t>British Museum item pages for Codex Zouche-Nuttall and Codex Egerton: official object URLs verified through institutional search results, but direct page access was blocked.</w:t>
      </w:r>
    </w:p>
    <w:p>
      <w:pPr>
        <w:pStyle w:val="ToSBullet"/>
        <w:ind w:left="312" w:hanging="198"/>
      </w:pPr>
      <w:r>
        <w:rPr>
          <w:b/>
        </w:rPr>
        <w:t xml:space="preserve">• </w:t>
      </w:r>
      <w:r>
        <w:t>UNAM Biblioteca Digital Juan Comas item 794: official record identified, full digital object not successfully opened.</w:t>
      </w:r>
    </w:p>
    <w:p>
      <w:pPr>
        <w:pStyle w:val="ToSBullet"/>
        <w:ind w:left="312" w:hanging="198"/>
      </w:pPr>
      <w:r>
        <w:rPr>
          <w:b/>
        </w:rPr>
        <w:t xml:space="preserve">• </w:t>
      </w:r>
      <w:r>
        <w:t>Direct PDF of the 1996 Ñuiñe article intermittently timed out; official article metadata and download URL were nevertheless identified. Registry confidence kept Medium.</w:t>
      </w:r>
    </w:p>
    <w:p>
      <w:pPr>
        <w:pStyle w:val="Heading2"/>
      </w:pPr>
      <w:r>
        <w:t>Targeted follow-up: 8 направлений</w:t>
      </w:r>
    </w:p>
    <w:p>
      <w:pPr>
        <w:pStyle w:val="ToSBullet"/>
        <w:ind w:left="312" w:hanging="198"/>
      </w:pPr>
      <w:r>
        <w:rPr>
          <w:b/>
        </w:rPr>
        <w:t xml:space="preserve">• </w:t>
      </w:r>
      <w:r>
        <w:t>Собрать item-level concordance Monument 3 / Danzantes / Building J / Stelae 12, 13, 18 across INAH, FAMSI, Urcid 2001 and Marcus 2020.</w:t>
      </w:r>
    </w:p>
    <w:p>
      <w:pPr>
        <w:pStyle w:val="ToSBullet"/>
        <w:ind w:left="312" w:hanging="198"/>
      </w:pPr>
      <w:r>
        <w:rPr>
          <w:b/>
        </w:rPr>
        <w:t xml:space="preserve">• </w:t>
      </w:r>
      <w:r>
        <w:t>Получить у INAH или FAMSI machine-readable inventory of monument numbers, place glyphs, day signs, provenance and image identifiers.</w:t>
      </w:r>
    </w:p>
    <w:p>
      <w:pPr>
        <w:pStyle w:val="ToSBullet"/>
        <w:ind w:left="312" w:hanging="198"/>
      </w:pPr>
      <w:r>
        <w:rPr>
          <w:b/>
        </w:rPr>
        <w:t xml:space="preserve">• </w:t>
      </w:r>
      <w:r>
        <w:t>Проверить Mediateca INAH по MNA-6-6059, TEO-03/06/07/08/18, Tomb 1 Zaachila и inscribed bone objects.</w:t>
      </w:r>
    </w:p>
    <w:p>
      <w:pPr>
        <w:pStyle w:val="ToSBullet"/>
        <w:ind w:left="312" w:hanging="198"/>
      </w:pPr>
      <w:r>
        <w:rPr>
          <w:b/>
        </w:rPr>
        <w:t xml:space="preserve">• </w:t>
      </w:r>
      <w:r>
        <w:t>Найти или запросить openly licensed 3D models specifically for Danzantes, Building J and carved stelae.</w:t>
      </w:r>
    </w:p>
    <w:p>
      <w:pPr>
        <w:pStyle w:val="ToSBullet"/>
        <w:ind w:left="312" w:hanging="198"/>
      </w:pPr>
      <w:r>
        <w:rPr>
          <w:b/>
        </w:rPr>
        <w:t xml:space="preserve">• </w:t>
      </w:r>
      <w:r>
        <w:t>Расширить Ñuiñe search по locality names и библиографии 1996 article, сохраняя distinction ‘likely derived’ vs ‘proven genealogy’.</w:t>
      </w:r>
    </w:p>
    <w:p>
      <w:pPr>
        <w:pStyle w:val="ToSBullet"/>
        <w:ind w:left="312" w:hanging="198"/>
      </w:pPr>
      <w:r>
        <w:rPr>
          <w:b/>
        </w:rPr>
        <w:t xml:space="preserve">• </w:t>
      </w:r>
      <w:r>
        <w:t>Для Ticha создать component rights map: project transcription/translation vs partner-archive manuscript image for each high-priority document.</w:t>
      </w:r>
    </w:p>
    <w:p>
      <w:pPr>
        <w:pStyle w:val="ToSBullet"/>
        <w:ind w:left="312" w:hanging="198"/>
      </w:pPr>
      <w:r>
        <w:rPr>
          <w:b/>
        </w:rPr>
        <w:t xml:space="preserve">• </w:t>
      </w:r>
      <w:r>
        <w:t>Проверить JCB/Primeros Libros written permissions for publication of scans before mirroring images; параллельно строить independent public-domain transcription.</w:t>
      </w:r>
    </w:p>
    <w:p>
      <w:pPr>
        <w:pStyle w:val="ToSBullet"/>
        <w:ind w:left="312" w:hanging="198"/>
      </w:pPr>
      <w:r>
        <w:rPr>
          <w:b/>
        </w:rPr>
        <w:t xml:space="preserve">• </w:t>
      </w:r>
      <w:r>
        <w:t>Запросить FAMSI/Sellen permission or export terms for catalogue metadata and drawings; при отказе оставить link-only discovery index.</w:t>
      </w:r>
    </w:p>
    <w:p>
      <w:pPr>
        <w:pStyle w:val="Heading2"/>
      </w:pPr>
      <w:r>
        <w:t>Unverified candidates</w:t>
      </w:r>
    </w:p>
    <w:p>
      <w:r>
        <w:rPr>
          <w:b/>
        </w:rPr>
        <w:t xml:space="preserve">В gaps оставлены две особенно важные, но недоказанные связи: </w:t>
      </w:r>
      <w:r>
        <w:t xml:space="preserve">прямая генеалогия Gulf Coast/Olmec → Zapotec script и continuity of scribal personnel from pre-Hispanic Zapotec writing to colonial Latin-alphabet Zapotec. </w:t>
      </w:r>
      <w:r>
        <w:t>Первая пока поддерживается лишь общим формативным контекстом, вторая — языковой/институциональной преемственностью без доказанной непрерывности школы или персонала. Ни одна не повышена до установленной corpus relation.</w:t>
      </w:r>
    </w:p>
    <w:p>
      <w:pPr>
        <w:pStyle w:val="Heading1"/>
      </w:pPr>
      <w:r>
        <w:t>7. Итоговая оценка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E4E8"/>
          <w:left w:val="single" w:sz="4" w:space="0" w:color="D5E4E8"/>
          <w:bottom w:val="single" w:sz="4" w:space="0" w:color="D5E4E8"/>
          <w:right w:val="single" w:sz="4" w:space="0" w:color="D5E4E8"/>
          <w:insideH w:val="single" w:sz="4" w:space="0" w:color="D5E4E8"/>
          <w:insideV w:val="single" w:sz="4" w:space="0" w:color="D5E4E8"/>
        </w:tblBorders>
      </w:tblPr>
      <w:tblGrid>
        <w:gridCol w:w="4961"/>
        <w:gridCol w:w="4961"/>
      </w:tblGrid>
      <w:tr>
        <w:trPr>
          <w:tblHeader w:val="true"/>
        </w:trPr>
        <w:tc>
          <w:tcPr>
            <w:tcW w:type="dxa" w:w="2551"/>
            <w:shd w:fill="0B4F5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Измерение</w:t>
            </w:r>
          </w:p>
        </w:tc>
        <w:tc>
          <w:tcPr>
            <w:tcW w:type="dxa" w:w="6633"/>
            <w:shd w:fill="0B4F5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Оценка</w:t>
            </w:r>
          </w:p>
        </w:tc>
      </w:tr>
      <w:tr>
        <w:trPr>
          <w:cantSplit/>
        </w:trPr>
        <w:tc>
          <w:tcPr>
            <w:tcW w:type="dxa" w:w="255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Покрытие ядра</w:t>
            </w:r>
          </w:p>
        </w:tc>
        <w:tc>
          <w:tcPr>
            <w:tcW w:type="dxa" w:w="6633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Высокое по главным corpus gateways; среднее по полной item-level инвентаризации.</w:t>
            </w:r>
          </w:p>
        </w:tc>
      </w:tr>
      <w:tr>
        <w:trPr>
          <w:cantSplit/>
        </w:trPr>
        <w:tc>
          <w:tcPr>
            <w:tcW w:type="dxa" w:w="255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Оригиналы/свидетели</w:t>
            </w:r>
          </w:p>
        </w:tc>
        <w:tc>
          <w:tcPr>
            <w:tcW w:type="dxa" w:w="6633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Хорошо доступны визуально через INAH, FAMSI, UMich и Met; плохо доступны как единый критический facsimile corpus.</w:t>
            </w:r>
          </w:p>
        </w:tc>
      </w:tr>
      <w:tr>
        <w:trPr>
          <w:cantSplit/>
        </w:trPr>
        <w:tc>
          <w:tcPr>
            <w:tcW w:type="dxa" w:w="255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Переводы</w:t>
            </w:r>
          </w:p>
        </w:tc>
        <w:tc>
          <w:tcPr>
            <w:tcW w:type="dxa" w:w="6633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Полный перевод раннего корпуса невозможен из-за partial decipherment. Английская/испанская scholarly interpretation доступна хорошо.</w:t>
            </w:r>
          </w:p>
        </w:tc>
      </w:tr>
      <w:tr>
        <w:trPr>
          <w:cantSplit/>
        </w:trPr>
        <w:tc>
          <w:tcPr>
            <w:tcW w:type="dxa" w:w="255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Наиболее свободный слой</w:t>
            </w:r>
          </w:p>
        </w:tc>
        <w:tc>
          <w:tcPr>
            <w:tcW w:type="dxa" w:w="6633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Met OA CC0; Ticha text layers CC BY-NC-SA; Open Heritage 3D CC BY-NC-SA; public-domain Córdova text.</w:t>
            </w:r>
          </w:p>
        </w:tc>
      </w:tr>
      <w:tr>
        <w:trPr>
          <w:cantSplit/>
        </w:trPr>
        <w:tc>
          <w:tcPr>
            <w:tcW w:type="dxa" w:w="255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Главные ограничения</w:t>
            </w:r>
          </w:p>
        </w:tc>
        <w:tc>
          <w:tcPr>
            <w:tcW w:type="dxa" w:w="6633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FAMSI all rights reserved; INAH/Urcid ND; смешанные rights on images vs text; gaps in machine-readable sign data.</w:t>
            </w:r>
          </w:p>
        </w:tc>
      </w:tr>
      <w:tr>
        <w:trPr>
          <w:cantSplit/>
        </w:trPr>
        <w:tc>
          <w:tcPr>
            <w:tcW w:type="dxa" w:w="255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Юридическая определённость</w:t>
            </w:r>
          </w:p>
        </w:tc>
        <w:tc>
          <w:tcPr>
            <w:tcW w:type="dxa" w:w="6633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69 записей High confidence, 23 Medium, 2 Low; неопределённость локализована и объяснена.</w:t>
            </w:r>
          </w:p>
        </w:tc>
      </w:tr>
      <w:tr>
        <w:trPr>
          <w:cantSplit/>
        </w:trPr>
        <w:tc>
          <w:tcPr>
            <w:tcW w:type="dxa" w:w="255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Готовность к Codex</w:t>
            </w:r>
          </w:p>
        </w:tc>
        <w:tc>
          <w:tcPr>
            <w:tcW w:type="dxa" w:w="6633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Да. Registry имеет фиксированные поля, простые record IDs, явные scope/coverage/tos_use, stable identifiers и отдельный gaps sheet.</w:t>
            </w:r>
          </w:p>
        </w:tc>
      </w:tr>
    </w:tbl>
    <w:p>
      <w:pPr>
        <w:pStyle w:val="ToSSmall"/>
      </w:pP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single" w:sz="6" w:space="0" w:color="0B4F5C"/>
          <w:left w:val="single" w:sz="6" w:space="0" w:color="0B4F5C"/>
          <w:bottom w:val="single" w:sz="6" w:space="0" w:color="0B4F5C"/>
          <w:right w:val="single" w:sz="6" w:space="0" w:color="0B4F5C"/>
          <w:insideH w:val="single" w:sz="6" w:space="0" w:color="0B4F5C"/>
          <w:insideV w:val="single" w:sz="6" w:space="0" w:color="0B4F5C"/>
        </w:tblBorders>
      </w:tblPr>
      <w:tblGrid>
        <w:gridCol w:w="9922"/>
      </w:tblGrid>
      <w:tr>
        <w:tc>
          <w:tcPr>
            <w:tcW w:type="dxa" w:w="9922"/>
            <w:shd w:fill="EAF5F7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0B4F5C"/>
              </w:rPr>
              <w:t>Финальный вердикт</w:t>
            </w:r>
            <w:r>
              <w:br/>
              <w:t>Пакет пригоден для передачи Codex как исследовательская основа. Он хорошо фиксирует центральные памятники и законные access routes, не смешивает древний work с modern edition/image rights и сохраняет статус C. Главная следующая работа — не расширять тематическую историю, а углублять item-level registry, идентификаторы и component-level rights для конкретных надписей.</w:t>
            </w:r>
          </w:p>
        </w:tc>
      </w:tr>
    </w:tbl>
    <w:p>
      <w:pPr>
        <w:spacing w:before="160"/>
      </w:pPr>
      <w:r>
        <w:rPr>
          <w:b/>
        </w:rPr>
        <w:t xml:space="preserve">Соответствие пакета XLSX/DOCX. </w:t>
      </w:r>
      <w:r>
        <w:t xml:space="preserve">Отчёт описывает тот же набор из 94 registry records и 20 gaps. </w:t>
      </w:r>
      <w:r>
        <w:t>В итоговых файлах нет Wikipedia URLs, пиратских библиотек, shadow mirrors или технических служебных индексов. Первый столбец XLSX — record_id.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992" w:bottom="879" w:left="992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ToSMeta"/>
      <w:jc w:val="right"/>
    </w:pPr>
    <w:r>
      <w:t xml:space="preserve">Tree of Sophia · исследовательский пакет ·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ToSMeta"/>
      <w:jc w:val="right"/>
      <w:pBdr>
        <w:bottom w:val="single" w:sz="4" w:space="4" w:color="0B4F5C"/>
      </w:pBdr>
    </w:pPr>
    <w:r>
      <w:t>ToS Corpus &amp; Rights Registry  |  A45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Liberation Sans" w:hAnsi="Liberation Sans" w:eastAsia="Liberation Sans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B4F5C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F6B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A45A12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0B4F5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SSubtitle">
    <w:name w:val="ToS Subtitle"/>
    <w:pPr>
      <w:spacing w:after="160"/>
    </w:pPr>
    <w:rPr>
      <w:rFonts w:ascii="Liberation Sans" w:hAnsi="Liberation Sans" w:eastAsia="Liberation Sans"/>
      <w:color w:val="0F6B78"/>
      <w:sz w:val="26"/>
    </w:rPr>
  </w:style>
  <w:style w:type="paragraph" w:customStyle="1" w:styleId="ToSMeta">
    <w:name w:val="ToS Meta"/>
    <w:pPr>
      <w:spacing w:after="40"/>
    </w:pPr>
    <w:rPr>
      <w:rFonts w:ascii="Liberation Sans" w:hAnsi="Liberation Sans" w:eastAsia="Liberation Sans"/>
      <w:color w:val="4B5563"/>
      <w:sz w:val="17"/>
    </w:rPr>
  </w:style>
  <w:style w:type="paragraph" w:customStyle="1" w:styleId="ToSBullet">
    <w:name w:val="ToS Bullet"/>
    <w:pPr>
      <w:spacing w:after="50" w:line="252" w:lineRule="auto"/>
      <w:ind w:left="312" w:hanging="198"/>
    </w:pPr>
    <w:rPr>
      <w:rFonts w:ascii="Liberation Sans" w:hAnsi="Liberation Sans" w:eastAsia="Liberation Sans"/>
      <w:sz w:val="18"/>
    </w:rPr>
  </w:style>
  <w:style w:type="paragraph" w:customStyle="1" w:styleId="ToSSmall">
    <w:name w:val="ToS Small"/>
    <w:pPr>
      <w:spacing w:after="40" w:line="240" w:lineRule="auto"/>
    </w:pPr>
    <w:rPr>
      <w:rFonts w:ascii="Liberation Sans" w:hAnsi="Liberation Sans" w:eastAsia="Liberation Sans"/>
      <w:color w:val="4B5563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famsi.org/zapotecwriting/" TargetMode="External"/><Relationship Id="rId12" Type="http://schemas.openxmlformats.org/officeDocument/2006/relationships/hyperlink" Target="https://sites.lsa.umich.edu/oaxaca-archaeology/origins-of-hieroglyphic-writing-2/" TargetMode="External"/><Relationship Id="rId13" Type="http://schemas.openxmlformats.org/officeDocument/2006/relationships/hyperlink" Target="https://repositorio.inah.gob.mx/uso" TargetMode="External"/><Relationship Id="rId14" Type="http://schemas.openxmlformats.org/officeDocument/2006/relationships/hyperlink" Target="https://archive.org/details/serrano-zapotec-hieroglyphic-writing" TargetMode="External"/><Relationship Id="rId15" Type="http://schemas.openxmlformats.org/officeDocument/2006/relationships/hyperlink" Target="https://www.metmuseum.org/about-the-met/policies-and-documents/open-access" TargetMode="External"/><Relationship Id="rId16" Type="http://schemas.openxmlformats.org/officeDocument/2006/relationships/hyperlink" Target="https://ticha.haverford.edu/en/update/1" TargetMode="External"/><Relationship Id="rId17" Type="http://schemas.openxmlformats.org/officeDocument/2006/relationships/hyperlink" Target="https://primeroslibros-prod.lib.utexas.edu/spotlight/primeros-libros-de-las-americas/catalog/0e294fe893f258748a81f3d71644c36a?locale=es" TargetMode="External"/><Relationship Id="rId18" Type="http://schemas.openxmlformats.org/officeDocument/2006/relationships/hyperlink" Target="https://openheritage3d.org/project.php?id=edsm-3w14" TargetMode="External"/><Relationship Id="rId19" Type="http://schemas.openxmlformats.org/officeDocument/2006/relationships/hyperlink" Target="https://press.umich.edu/Books/Z/Zapotec-Monuments-and-Political-History" TargetMode="External"/><Relationship Id="rId20" Type="http://schemas.openxmlformats.org/officeDocument/2006/relationships/hyperlink" Target="https://repositorio.inah.gob.mx/o-525004" TargetMode="External"/><Relationship Id="rId21" Type="http://schemas.openxmlformats.org/officeDocument/2006/relationships/hyperlink" Target="https://repositorio.inah.gob.mx/o-262359" TargetMode="External"/><Relationship Id="rId22" Type="http://schemas.openxmlformats.org/officeDocument/2006/relationships/hyperlink" Target="https://repositorio.inah.gob.mx/o-379962" TargetMode="External"/><Relationship Id="rId23" Type="http://schemas.openxmlformats.org/officeDocument/2006/relationships/hyperlink" Target="https://lugares.inah.gob.mx/es/node/4417" TargetMode="External"/><Relationship Id="rId24" Type="http://schemas.openxmlformats.org/officeDocument/2006/relationships/hyperlink" Target="https://research.famsi.org/zapotec/zapotec.html" TargetMode="External"/><Relationship Id="rId25" Type="http://schemas.openxmlformats.org/officeDocument/2006/relationships/hyperlink" Target="https://www.metmuseum.org/art/collection/search/319468" TargetMode="External"/><Relationship Id="rId26" Type="http://schemas.openxmlformats.org/officeDocument/2006/relationships/hyperlink" Target="https://metmuseum.github.io/" TargetMode="External"/><Relationship Id="rId27" Type="http://schemas.openxmlformats.org/officeDocument/2006/relationships/hyperlink" Target="https://revistas.inah.gob.mx/index.php/arqueologia/article/view/12528" TargetMode="External"/><Relationship Id="rId28" Type="http://schemas.openxmlformats.org/officeDocument/2006/relationships/hyperlink" Target="https://www.jstor.org/content/oa_chapter_monograph/10.1163/j.ctv2gjwv2m.13" TargetMode="External"/><Relationship Id="rId29" Type="http://schemas.openxmlformats.org/officeDocument/2006/relationships/hyperlink" Target="https://ticha.haverford.edu/en/texts/handwritten/" TargetMode="External"/><Relationship Id="rId30" Type="http://schemas.openxmlformats.org/officeDocument/2006/relationships/hyperlink" Target="https://ticha.haverford.edu/en/arte_original/" TargetMode="External"/><Relationship Id="rId31" Type="http://schemas.openxmlformats.org/officeDocument/2006/relationships/hyperlink" Target="https://archive.org/details/arteenlenguazapo00ju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ToS Corpus &amp; Rights Registry — A45</dc:title>
  <dc:subject>Oaxaca, Monte Albán, early Zapotec writing: corpus, access and rights</dc:subject>
  <dc:creator>Tree of Sophia / ToS research package</dc:creator>
  <cp:keywords>ToS, A45, Zapotec, Monte Albán, Oaxaca, corpus, rights, access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