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spacing w:after="240"/>
      </w:pPr>
      <w:r>
        <w:rPr>
          <w:color w:val="173F50"/>
          <w:sz w:val="38"/>
        </w:rPr>
        <w:t>T2-56 — Андские кипу</w:t>
        <w:br/>
        <w:t>как информационная система</w:t>
      </w:r>
    </w:p>
    <w:p>
      <w:pPr>
        <w:pStyle w:val="Subtitle"/>
      </w:pPr>
      <w:r>
        <w:t>Исследовательский отчёт • 5 сентября 2026</w:t>
      </w:r>
    </w:p>
    <w:tbl>
      <w:tblPr>
        <w:tblStyle w:val="LightShading-Accent1"/>
        <w:tblW w:type="auto" w:w="0"/>
        <w:tblLayout w:type="fixed"/>
        <w:tblLook w:firstColumn="1" w:firstRow="1" w:lastColumn="0" w:lastRow="0" w:noHBand="0" w:noVBand="1" w:val="04A0"/>
      </w:tblPr>
      <w:tblGrid>
        <w:gridCol w:w="3213"/>
        <w:gridCol w:w="3213"/>
        <w:gridCol w:w="3213"/>
      </w:tblGrid>
      <w:tr>
        <w:trPr>
          <w:tblHeader/>
          <w:cantSplit/>
        </w:trPr>
        <w:tc>
          <w:tcPr>
            <w:tcW w:type="dxa" w:w="2948"/>
            <w:shd w:fill="173F50"/>
          </w:tcPr>
          <w:p>
            <w:r>
              <w:rPr>
                <w:b/>
                <w:color w:val="FFFFFF"/>
                <w:sz w:val="20"/>
              </w:rPr>
              <w:t>Строка и статус</w:t>
            </w:r>
          </w:p>
        </w:tc>
        <w:tc>
          <w:tcPr>
            <w:tcW w:type="dxa" w:w="3402"/>
            <w:shd w:fill="173F50"/>
          </w:tcPr>
          <w:p>
            <w:r>
              <w:rPr>
                <w:b/>
                <w:color w:val="FFFFFF"/>
                <w:sz w:val="20"/>
              </w:rPr>
              <w:t>Карта доступа</w:t>
            </w:r>
          </w:p>
        </w:tc>
        <w:tc>
          <w:tcPr>
            <w:tcW w:type="dxa" w:w="3288"/>
            <w:shd w:fill="173F50"/>
          </w:tcPr>
          <w:p>
            <w:r>
              <w:rPr>
                <w:b/>
                <w:color w:val="FFFFFF"/>
                <w:sz w:val="20"/>
              </w:rPr>
              <w:t>Открытые вопросы</w:t>
            </w:r>
          </w:p>
        </w:tc>
      </w:tr>
      <w:tr>
        <w:trPr>
          <w:cantSplit/>
        </w:trPr>
        <w:tc>
          <w:tcPr>
            <w:tcW w:type="dxa" w:w="2948"/>
          </w:tcPr>
          <w:p>
            <w:pPr>
              <w:spacing w:after="100" w:before="80"/>
            </w:pPr>
            <w:r>
              <w:rPr>
                <w:sz w:val="20"/>
              </w:rPr>
              <w:t>T2-56 · C / 4</w:t>
              <w:br/>
              <w:t>Мастер-границы не изменены</w:t>
            </w:r>
          </w:p>
        </w:tc>
        <w:tc>
          <w:tcPr>
            <w:tcW w:type="dxa" w:w="3402"/>
          </w:tcPr>
          <w:p>
            <w:pPr>
              <w:spacing w:after="100" w:before="80"/>
            </w:pPr>
            <w:r>
              <w:rPr>
                <w:sz w:val="20"/>
              </w:rPr>
              <w:t>69 записей в registry</w:t>
              <w:br/>
              <w:t>32 поля в каждой записи</w:t>
            </w:r>
          </w:p>
        </w:tc>
        <w:tc>
          <w:tcPr>
            <w:tcW w:type="dxa" w:w="3288"/>
          </w:tcPr>
          <w:p>
            <w:pPr>
              <w:spacing w:after="100" w:before="80"/>
            </w:pPr>
            <w:r>
              <w:rPr>
                <w:sz w:val="20"/>
              </w:rPr>
              <w:t>37 записей в gaps</w:t>
              <w:br/>
              <w:t>Идентификация, доступ, права</w:t>
            </w:r>
          </w:p>
        </w:tc>
      </w:tr>
    </w:tbl>
    <w:p>
      <w:r>
        <w:t>Главный результат: для этой строки наиболее свободные слои находятся не в «переводе кипу», а в отдельных музейных изображениях и метаданных, исторических алфавитных источниках и явно лицензированных современных публикациях. Доступный цифровой суррогат шнурового предмета не равен прочитанному словесному произведению.</w:t>
      </w:r>
      <w:r>
        <w:t xml:space="preserve">  [</w:t>
      </w:r>
      <w:hyperlink r:id="rId11">
        <w:r>
          <w:rPr>
            <w:color w:val="156E93"/>
            <w:u w:val="single"/>
          </w:rPr>
          <w:t>R001</w:t>
        </w:r>
      </w:hyperlink>
      <w:r>
        <w:t xml:space="preserve">; </w:t>
      </w:r>
      <w:hyperlink r:id="rId12">
        <w:r>
          <w:rPr>
            <w:color w:val="156E93"/>
            <w:u w:val="single"/>
          </w:rPr>
          <w:t>R063</w:t>
        </w:r>
      </w:hyperlink>
      <w:r>
        <w:t xml:space="preserve">; </w:t>
      </w:r>
      <w:hyperlink r:id="rId13">
        <w:r>
          <w:rPr>
            <w:color w:val="156E93"/>
            <w:u w:val="single"/>
          </w:rPr>
          <w:t>R066</w:t>
        </w:r>
      </w:hyperlink>
      <w:r>
        <w:t>]</w:t>
      </w:r>
    </w:p>
    <w:p>
      <w:pPr>
        <w:pStyle w:val="Heading1"/>
      </w:pPr>
      <w:r>
        <w:t>1. Паспорт</w:t>
      </w:r>
    </w:p>
    <w:p>
      <w:r>
        <w:t>Исходная строка — T2-56, «Андские кипу как информационная система», таблица II; статус C, исходная уверенность 4/5. Формирование по мастер-строке: XII–XV вв.; фиксация: XIII–XVI вв.; институциональная нормализация и колониальное толкование: XV–XVII вв. Эти поля сохранены. Основа исследования — «ToS Deep Research_ T2-56 — Андские кипу как информационная система(2).docx», прежде всего паспорт, перечень артефактов и источниковый регистр (с. 1–4, 10–14, 41–45 исходного DR).</w:t>
      </w:r>
    </w:p>
    <w:p>
      <w:r>
        <w:t>Ядром считались сохранившиеся кипу и конкретные архивные группы, их научная фиксация, полевые и музейные инвентари, колониальные документы чтения/пересказа кипу и цифровые корпуса. Не искались воображаемые трактаты, «философия кипу» или недоказанные переводы недешифрованных предметов. Общая история инков, религия Анд и текстиль без конкретной связи с шнуровой записью не включались.</w:t>
      </w:r>
    </w:p>
    <w:p>
      <w:r>
        <w:t>Основной поиск выполнен на испанском и английском; дополнительно проверялись русские переводы и немецкие музейные обозначения. Использовались формы khipu/quipu, khipukamayuq/quipucamayo, paper khipu, entablo, названия общин, KH/AS/UR-обозначения и музейные инвентари; кечуанские и аймарские термины использовались как поисковые ключи, а не как заранее установленный язык любого кипу.</w:t>
      </w:r>
    </w:p>
    <w:p>
      <w:r>
        <w:t>Для доступа приоритет получили предметные страницы музеев, университетские репозитории, национальные библиотеки, официальные издатели и депозиты библиотек на Internet Archive. Идентичность сверялась по каталогам, DOI, ISBN, shelfmark и критическим публикациям. Для прав использованы item-level уведомления, LICENSE, прямо применимые музейные условия и страницы copyright внутри PDF. Поисковые фрагменты и слабые указатели не послужили основанием разрешений.</w:t>
      </w:r>
      <w:r>
        <w:t xml:space="preserve">  [</w:t>
      </w:r>
      <w:hyperlink r:id="rId14">
        <w:r>
          <w:rPr>
            <w:color w:val="156E93"/>
            <w:u w:val="single"/>
          </w:rPr>
          <w:t>R006</w:t>
        </w:r>
      </w:hyperlink>
      <w:r>
        <w:t xml:space="preserve">; </w:t>
      </w:r>
      <w:hyperlink r:id="rId15">
        <w:r>
          <w:rPr>
            <w:color w:val="156E93"/>
            <w:u w:val="single"/>
          </w:rPr>
          <w:t>R025</w:t>
        </w:r>
      </w:hyperlink>
      <w:r>
        <w:t xml:space="preserve">; </w:t>
      </w:r>
      <w:hyperlink r:id="rId16">
        <w:r>
          <w:rPr>
            <w:color w:val="156E93"/>
            <w:u w:val="single"/>
          </w:rPr>
          <w:t>R033</w:t>
        </w:r>
      </w:hyperlink>
      <w:r>
        <w:t xml:space="preserve">; </w:t>
      </w:r>
      <w:hyperlink r:id="rId17">
        <w:r>
          <w:rPr>
            <w:color w:val="156E93"/>
            <w:u w:val="single"/>
          </w:rPr>
          <w:t>R051</w:t>
        </w:r>
      </w:hyperlink>
      <w:r>
        <w:t xml:space="preserve">; </w:t>
      </w:r>
      <w:hyperlink r:id="rId12">
        <w:r>
          <w:rPr>
            <w:color w:val="156E93"/>
            <w:u w:val="single"/>
          </w:rPr>
          <w:t>R063</w:t>
        </w:r>
      </w:hyperlink>
      <w:r>
        <w:t>]</w:t>
      </w:r>
    </w:p>
    <w:p>
      <w:r>
        <w:t>Ссылки вида R001 обозначают полные record_id T2-56-R001 в XLSX и ведут к источнику доступа; пометка «права» ведёт к правовому основанию. У каждой записи отдельно сохранены доступ, полнота, четыре правовых слоя, допустимые действия и статус проверки. Дата checked_at — дата этого исследования, не гарантия будущей доступности.</w:t>
      </w:r>
    </w:p>
    <w:p>
      <w:r>
        <w:t>В gaps сохранены в том числе неподтверждённые кандидаты из слабых поисковых указателей: предполагаемый том III Textos andinos, объект Caral, отдельные поздние изображения и новые проекты 2026 года. Они не включены в registry как установленные источники полного текста. В итоговых файлах нет ссылок на Wikipedia; Wikisource и Commons проверялись как самостоятельные платформы с собственными item-level оговорками.</w:t>
      </w:r>
      <w:r>
        <w:t xml:space="preserve">  [</w:t>
      </w:r>
      <w:hyperlink r:id="rId18">
        <w:r>
          <w:rPr>
            <w:color w:val="156E93"/>
            <w:u w:val="single"/>
          </w:rPr>
          <w:t>R028</w:t>
        </w:r>
      </w:hyperlink>
      <w:r>
        <w:t xml:space="preserve">; </w:t>
      </w:r>
      <w:hyperlink r:id="rId19">
        <w:r>
          <w:rPr>
            <w:color w:val="156E93"/>
            <w:u w:val="single"/>
          </w:rPr>
          <w:t>R048</w:t>
        </w:r>
      </w:hyperlink>
      <w:r>
        <w:t>]</w:t>
      </w:r>
    </w:p>
    <w:p>
      <w:pPr>
        <w:pStyle w:val="Heading1"/>
      </w:pPr>
      <w:r>
        <w:t>2. Охват корпуса</w:t>
      </w:r>
    </w:p>
    <w:p>
      <w:pPr>
        <w:pStyle w:val="Heading2"/>
      </w:pPr>
      <w:r>
        <w:t>Что пришло из исходного DR</w:t>
      </w:r>
    </w:p>
    <w:p>
      <w:r>
        <w:t>Основные исходные якоря сохранены: Wari/Middle Horizon; Inkawasi; Laguna de los Cóndores; British Museum Am1907,0319.286; KH0631; парные/дублированные счета; гибридная доска Mangas; Nueva corónica Гуамана Помы; Collata; HDAKD/UNESCO; Open Khipu Repository. Для каждого есть предметный, корпусный, издательский или репозиторный вход. Там, где доступен только один свидетель или опубликованная выборка, полнота всего комплекса не заявляется.</w:t>
      </w:r>
      <w:r>
        <w:t xml:space="preserve">  [</w:t>
      </w:r>
      <w:hyperlink r:id="rId20">
        <w:r>
          <w:rPr>
            <w:color w:val="156E93"/>
            <w:u w:val="single"/>
          </w:rPr>
          <w:t>R009</w:t>
        </w:r>
      </w:hyperlink>
      <w:r>
        <w:t xml:space="preserve">; </w:t>
      </w:r>
      <w:hyperlink r:id="rId21">
        <w:r>
          <w:rPr>
            <w:color w:val="156E93"/>
            <w:u w:val="single"/>
          </w:rPr>
          <w:t>R010</w:t>
        </w:r>
      </w:hyperlink>
      <w:r>
        <w:t xml:space="preserve">; </w:t>
      </w:r>
      <w:hyperlink r:id="rId22">
        <w:r>
          <w:rPr>
            <w:color w:val="156E93"/>
            <w:u w:val="single"/>
          </w:rPr>
          <w:t>R011</w:t>
        </w:r>
      </w:hyperlink>
      <w:r>
        <w:t xml:space="preserve">; </w:t>
      </w:r>
      <w:hyperlink r:id="rId23">
        <w:r>
          <w:rPr>
            <w:color w:val="156E93"/>
            <w:u w:val="single"/>
          </w:rPr>
          <w:t>R012</w:t>
        </w:r>
      </w:hyperlink>
      <w:r>
        <w:t xml:space="preserve">; </w:t>
      </w:r>
      <w:hyperlink r:id="rId24">
        <w:r>
          <w:rPr>
            <w:color w:val="156E93"/>
            <w:u w:val="single"/>
          </w:rPr>
          <w:t>R013</w:t>
        </w:r>
      </w:hyperlink>
      <w:r>
        <w:t xml:space="preserve">; </w:t>
      </w:r>
      <w:hyperlink r:id="rId25">
        <w:r>
          <w:rPr>
            <w:color w:val="156E93"/>
            <w:u w:val="single"/>
          </w:rPr>
          <w:t>R015</w:t>
        </w:r>
      </w:hyperlink>
      <w:r>
        <w:t xml:space="preserve">; </w:t>
      </w:r>
      <w:hyperlink r:id="rId26">
        <w:r>
          <w:rPr>
            <w:color w:val="156E93"/>
            <w:u w:val="single"/>
          </w:rPr>
          <w:t>R016</w:t>
        </w:r>
      </w:hyperlink>
      <w:r>
        <w:t xml:space="preserve">; </w:t>
      </w:r>
      <w:hyperlink r:id="rId27">
        <w:r>
          <w:rPr>
            <w:color w:val="156E93"/>
            <w:u w:val="single"/>
          </w:rPr>
          <w:t>R017</w:t>
        </w:r>
      </w:hyperlink>
      <w:r>
        <w:t xml:space="preserve">; </w:t>
      </w:r>
      <w:hyperlink r:id="rId28">
        <w:r>
          <w:rPr>
            <w:color w:val="156E93"/>
            <w:u w:val="single"/>
          </w:rPr>
          <w:t>R024</w:t>
        </w:r>
      </w:hyperlink>
      <w:r>
        <w:t xml:space="preserve">; </w:t>
      </w:r>
      <w:hyperlink r:id="rId29">
        <w:r>
          <w:rPr>
            <w:color w:val="156E93"/>
            <w:u w:val="single"/>
          </w:rPr>
          <w:t>R026</w:t>
        </w:r>
      </w:hyperlink>
      <w:r>
        <w:t xml:space="preserve">; </w:t>
      </w:r>
      <w:hyperlink r:id="rId30">
        <w:r>
          <w:rPr>
            <w:color w:val="156E93"/>
            <w:u w:val="single"/>
          </w:rPr>
          <w:t>R049</w:t>
        </w:r>
      </w:hyperlink>
      <w:r>
        <w:t>]</w:t>
      </w:r>
    </w:p>
    <w:p>
      <w:r>
        <w:t>Реестр не разворачивает каждую нитку, XML, главу или фотографический кадр в отдельный «объект». Архив OKR — одна запись фиксированного выпуска; его GitHub-путь отделён как обновляемая инфраструктура. Сборник El quipu colonial — одна запись полной книги, несмотря на многочисленные исторические документы внутри. Девятнадцать представленных ниже материальных единиц — уровни охвата, а не девятнадцать отдельных кипу.</w:t>
      </w:r>
      <w:r>
        <w:t xml:space="preserve">  [</w:t>
      </w:r>
      <w:hyperlink r:id="rId11">
        <w:r>
          <w:rPr>
            <w:color w:val="156E93"/>
            <w:u w:val="single"/>
          </w:rPr>
          <w:t>R001</w:t>
        </w:r>
      </w:hyperlink>
      <w:r>
        <w:t xml:space="preserve">; </w:t>
      </w:r>
      <w:hyperlink r:id="rId31">
        <w:r>
          <w:rPr>
            <w:color w:val="156E93"/>
            <w:u w:val="single"/>
          </w:rPr>
          <w:t>R002</w:t>
        </w:r>
      </w:hyperlink>
      <w:r>
        <w:t xml:space="preserve">; </w:t>
      </w:r>
      <w:hyperlink r:id="rId16">
        <w:r>
          <w:rPr>
            <w:color w:val="156E93"/>
            <w:u w:val="single"/>
          </w:rPr>
          <w:t>R033</w:t>
        </w:r>
      </w:hyperlink>
      <w:r>
        <w:t>]</w:t>
      </w:r>
    </w:p>
    <w:p>
      <w:pPr>
        <w:pStyle w:val="Heading2"/>
      </w:pPr>
      <w:r>
        <w:t>Добавленные материальные комплексы и свидетели</w:t>
      </w:r>
    </w:p>
    <w:p>
      <w:r>
        <w:t>Веб-поиск добавил Puruchuco и шесть кипу Santa с сопоставлением Padrón de Recuayes 1670, датированный раннеколониальный предмет UNMSM, Chulpaca NMAI 14/3866, фрагмент Penn SA4039, Cleveland 1940.469, предмет UCSB AD&amp;A Museum и альтернативную университетскую карточку Dumbarton Oaks PC.WBC.2016.070. Каждая добавка либо принадлежит непосредственно корпусу кипу, либо документирует конкретный переход между шнуровой и алфавитной записью.</w:t>
      </w:r>
      <w:r>
        <w:t xml:space="preserve">  [</w:t>
      </w:r>
      <w:hyperlink r:id="rId32">
        <w:r>
          <w:rPr>
            <w:color w:val="156E93"/>
            <w:u w:val="single"/>
          </w:rPr>
          <w:t>R018</w:t>
        </w:r>
      </w:hyperlink>
      <w:r>
        <w:t xml:space="preserve">; </w:t>
      </w:r>
      <w:hyperlink r:id="rId33">
        <w:r>
          <w:rPr>
            <w:color w:val="156E93"/>
            <w:u w:val="single"/>
          </w:rPr>
          <w:t>R019</w:t>
        </w:r>
      </w:hyperlink>
      <w:r>
        <w:t xml:space="preserve">; </w:t>
      </w:r>
      <w:hyperlink r:id="rId34">
        <w:r>
          <w:rPr>
            <w:color w:val="156E93"/>
            <w:u w:val="single"/>
          </w:rPr>
          <w:t>R023</w:t>
        </w:r>
      </w:hyperlink>
      <w:r>
        <w:t xml:space="preserve">; </w:t>
      </w:r>
      <w:hyperlink r:id="rId15">
        <w:r>
          <w:rPr>
            <w:color w:val="156E93"/>
            <w:u w:val="single"/>
          </w:rPr>
          <w:t>R025</w:t>
        </w:r>
      </w:hyperlink>
      <w:r>
        <w:t xml:space="preserve">; </w:t>
      </w:r>
      <w:hyperlink r:id="rId35">
        <w:r>
          <w:rPr>
            <w:color w:val="156E93"/>
            <w:u w:val="single"/>
          </w:rPr>
          <w:t>R050</w:t>
        </w:r>
      </w:hyperlink>
      <w:r>
        <w:t xml:space="preserve">; </w:t>
      </w:r>
      <w:hyperlink r:id="rId12">
        <w:r>
          <w:rPr>
            <w:color w:val="156E93"/>
            <w:u w:val="single"/>
          </w:rPr>
          <w:t>R063</w:t>
        </w:r>
      </w:hyperlink>
      <w:r>
        <w:t xml:space="preserve">; </w:t>
      </w:r>
      <w:hyperlink r:id="rId36">
        <w:r>
          <w:rPr>
            <w:color w:val="156E93"/>
            <w:u w:val="single"/>
          </w:rPr>
          <w:t>R068</w:t>
        </w:r>
      </w:hyperlink>
      <w:r>
        <w:t xml:space="preserve">; </w:t>
      </w:r>
      <w:hyperlink r:id="rId37">
        <w:r>
          <w:rPr>
            <w:color w:val="156E93"/>
            <w:u w:val="single"/>
          </w:rPr>
          <w:t>R069</w:t>
        </w:r>
      </w:hyperlink>
      <w:r>
        <w:t>]</w:t>
      </w:r>
    </w:p>
    <w:p>
      <w:r>
        <w:t>Именованные материальные единицы охвата — 19: Wari, Inkawasi, Laguna de los Cóndores, Puruchuco, Santa, KH0631, British Museum Am1907,0319.286, раннеколониальный кипу UNMSM, Chulpaca, Penn SA4039, Cleveland 1940.469, UCSB, Dumbarton Oaks PC.WBC.2016.070, Collata, Mangas, Rapaz, Ttio, Tupicocha и Yumani/Island of the Sun. Комплекс может включать много предметов; отдельный включённый предмет может одновременно присутствовать в OKR. Поэтому этот показатель не является мировым census и не суммируется с числом ссылок.</w:t>
      </w:r>
    </w:p>
    <w:p>
      <w:pPr>
        <w:pStyle w:val="Heading2"/>
      </w:pPr>
      <w:r>
        <w:t>Алфавитные произведения и документальные сборники</w:t>
      </w:r>
    </w:p>
    <w:p>
      <w:r>
        <w:t>Отдельно учтены 14 произведений/сборников: Nueva corónica; Textos andinos (два тома одного корпуса); El quipu colonial; Getty Murúa, Historia general del Piru; Historia natural y moral de las Indias; Sarmiento, Historia de los Incas; вторая часть Crónica del Perú; первая часть Comentarios reales; Ritual formulario; Relación de los quipucamayos; антология Narratives of the rites and laws of the Yncas; Extirpación de la idolatría del Pirú; Vocabulario Holguín 1608; выбранная часть Historia del Nuevo Mundo Кобо. Переводы и платформенные копии не увеличивают это число.</w:t>
      </w:r>
      <w:r>
        <w:t xml:space="preserve">  [</w:t>
      </w:r>
      <w:hyperlink r:id="rId29">
        <w:r>
          <w:rPr>
            <w:color w:val="156E93"/>
            <w:u w:val="single"/>
          </w:rPr>
          <w:t>R026</w:t>
        </w:r>
      </w:hyperlink>
      <w:r>
        <w:t xml:space="preserve">; </w:t>
      </w:r>
      <w:hyperlink r:id="rId38">
        <w:r>
          <w:rPr>
            <w:color w:val="156E93"/>
            <w:u w:val="single"/>
          </w:rPr>
          <w:t>R030</w:t>
        </w:r>
      </w:hyperlink>
      <w:r>
        <w:t xml:space="preserve">; </w:t>
      </w:r>
      <w:hyperlink r:id="rId39">
        <w:r>
          <w:rPr>
            <w:color w:val="156E93"/>
            <w:u w:val="single"/>
          </w:rPr>
          <w:t>R031</w:t>
        </w:r>
      </w:hyperlink>
      <w:r>
        <w:t xml:space="preserve">; </w:t>
      </w:r>
      <w:hyperlink r:id="rId16">
        <w:r>
          <w:rPr>
            <w:color w:val="156E93"/>
            <w:u w:val="single"/>
          </w:rPr>
          <w:t>R033</w:t>
        </w:r>
      </w:hyperlink>
      <w:r>
        <w:t xml:space="preserve">; </w:t>
      </w:r>
      <w:hyperlink r:id="rId40">
        <w:r>
          <w:rPr>
            <w:color w:val="156E93"/>
            <w:u w:val="single"/>
          </w:rPr>
          <w:t>R034</w:t>
        </w:r>
      </w:hyperlink>
      <w:r>
        <w:t xml:space="preserve">; </w:t>
      </w:r>
      <w:hyperlink r:id="rId41">
        <w:r>
          <w:rPr>
            <w:color w:val="156E93"/>
            <w:u w:val="single"/>
          </w:rPr>
          <w:t>R037</w:t>
        </w:r>
      </w:hyperlink>
      <w:r>
        <w:t xml:space="preserve">; </w:t>
      </w:r>
      <w:hyperlink r:id="rId42">
        <w:r>
          <w:rPr>
            <w:color w:val="156E93"/>
            <w:u w:val="single"/>
          </w:rPr>
          <w:t>R038</w:t>
        </w:r>
      </w:hyperlink>
      <w:r>
        <w:t xml:space="preserve">; </w:t>
      </w:r>
      <w:hyperlink r:id="rId43">
        <w:r>
          <w:rPr>
            <w:color w:val="156E93"/>
            <w:u w:val="single"/>
          </w:rPr>
          <w:t>R039</w:t>
        </w:r>
      </w:hyperlink>
      <w:r>
        <w:t xml:space="preserve">; </w:t>
      </w:r>
      <w:hyperlink r:id="rId44">
        <w:r>
          <w:rPr>
            <w:color w:val="156E93"/>
            <w:u w:val="single"/>
          </w:rPr>
          <w:t>R041</w:t>
        </w:r>
      </w:hyperlink>
      <w:r>
        <w:t xml:space="preserve">; </w:t>
      </w:r>
      <w:hyperlink r:id="rId45">
        <w:r>
          <w:rPr>
            <w:color w:val="156E93"/>
            <w:u w:val="single"/>
          </w:rPr>
          <w:t>R045</w:t>
        </w:r>
      </w:hyperlink>
      <w:r>
        <w:t xml:space="preserve">; </w:t>
      </w:r>
      <w:hyperlink r:id="rId46">
        <w:r>
          <w:rPr>
            <w:color w:val="156E93"/>
            <w:u w:val="single"/>
          </w:rPr>
          <w:t>R052</w:t>
        </w:r>
      </w:hyperlink>
      <w:r>
        <w:t xml:space="preserve">; </w:t>
      </w:r>
      <w:hyperlink r:id="rId47">
        <w:r>
          <w:rPr>
            <w:color w:val="156E93"/>
            <w:u w:val="single"/>
          </w:rPr>
          <w:t>R054</w:t>
        </w:r>
      </w:hyperlink>
      <w:r>
        <w:t xml:space="preserve">; </w:t>
      </w:r>
      <w:hyperlink r:id="rId48">
        <w:r>
          <w:rPr>
            <w:color w:val="156E93"/>
            <w:u w:val="single"/>
          </w:rPr>
          <w:t>R055</w:t>
        </w:r>
      </w:hyperlink>
      <w:r>
        <w:t xml:space="preserve">; </w:t>
      </w:r>
      <w:hyperlink r:id="rId13">
        <w:r>
          <w:rPr>
            <w:color w:val="156E93"/>
            <w:u w:val="single"/>
          </w:rPr>
          <w:t>R066</w:t>
        </w:r>
      </w:hyperlink>
      <w:r>
        <w:t xml:space="preserve">; </w:t>
      </w:r>
      <w:hyperlink r:id="rId49">
        <w:r>
          <w:rPr>
            <w:color w:val="156E93"/>
            <w:u w:val="single"/>
          </w:rPr>
          <w:t>R067</w:t>
        </w:r>
      </w:hyperlink>
      <w:r>
        <w:t>]</w:t>
      </w:r>
    </w:p>
    <w:p>
      <w:r>
        <w:t>Антология 1873 года считается здесь одним сборником, а не четырьмя независимо найденными цифровыми изданиями; в неё входят Molina, Pachacuti, Ávila и Polo. Современные каталоги Ascher, ранние публикации Locke, библиографические базы и методические статьи учтены отдельно как средства фиксации и идентификации. Четырнадцать единиц — рабочий счёт библиографических блоков, а не результат глобальной дедупликации документов, повторяющихся в разных антологиях.</w:t>
      </w:r>
      <w:r>
        <w:t xml:space="preserve">  [</w:t>
      </w:r>
      <w:hyperlink r:id="rId50">
        <w:r>
          <w:rPr>
            <w:color w:val="156E93"/>
            <w:u w:val="single"/>
          </w:rPr>
          <w:t>R004</w:t>
        </w:r>
      </w:hyperlink>
      <w:r>
        <w:t xml:space="preserve">; </w:t>
      </w:r>
      <w:hyperlink r:id="rId50">
        <w:r>
          <w:rPr>
            <w:color w:val="156E93"/>
            <w:u w:val="single"/>
          </w:rPr>
          <w:t>R005</w:t>
        </w:r>
      </w:hyperlink>
      <w:r>
        <w:t xml:space="preserve">; </w:t>
      </w:r>
      <w:hyperlink r:id="rId51">
        <w:r>
          <w:rPr>
            <w:color w:val="156E93"/>
            <w:u w:val="single"/>
          </w:rPr>
          <w:t>R047</w:t>
        </w:r>
      </w:hyperlink>
      <w:r>
        <w:t xml:space="preserve">; </w:t>
      </w:r>
      <w:hyperlink r:id="rId19">
        <w:r>
          <w:rPr>
            <w:color w:val="156E93"/>
            <w:u w:val="single"/>
          </w:rPr>
          <w:t>R048</w:t>
        </w:r>
      </w:hyperlink>
      <w:r>
        <w:t xml:space="preserve">; </w:t>
      </w:r>
      <w:hyperlink r:id="rId47">
        <w:r>
          <w:rPr>
            <w:color w:val="156E93"/>
            <w:u w:val="single"/>
          </w:rPr>
          <w:t>R054</w:t>
        </w:r>
      </w:hyperlink>
      <w:r>
        <w:t>]</w:t>
      </w:r>
    </w:p>
    <w:p>
      <w:pPr>
        <w:pStyle w:val="Heading2"/>
      </w:pPr>
      <w:r>
        <w:t>Проход назад: Wari и предел глубокой предыстории</w:t>
      </w:r>
    </w:p>
    <w:p>
      <w:r>
        <w:t>Ранняя расширенная зона — шнуровые записи Wari приблизительно 600–1000 гг. Они включены как antecedent по конкретному материальному родству и специальной публикации восьми предметов, а не просто по принадлежности к Андам. Есть бесплатная институциональная экспозиция MALI и защищённая археологическая статья Urton 2014; отдельные музейные карточки остаются пробелом. Предлагаемая преемственность не превращена в доказанную непрерывность кода Wari–Inka.</w:t>
      </w:r>
      <w:r>
        <w:t xml:space="preserve">  [</w:t>
      </w:r>
      <w:hyperlink r:id="rId27">
        <w:r>
          <w:rPr>
            <w:color w:val="156E93"/>
            <w:u w:val="single"/>
          </w:rPr>
          <w:t>R017</w:t>
        </w:r>
      </w:hyperlink>
      <w:r>
        <w:t xml:space="preserve">; </w:t>
      </w:r>
      <w:hyperlink r:id="rId52">
        <w:r>
          <w:rPr>
            <w:color w:val="156E93"/>
            <w:u w:val="single"/>
          </w:rPr>
          <w:t>R056</w:t>
        </w:r>
      </w:hyperlink>
      <w:r>
        <w:t>]</w:t>
      </w:r>
    </w:p>
    <w:p>
      <w:r>
        <w:t>Заявления о гораздо более древнем объекте из Caral не получили достаточной предметной проверки и оставлены как unverified_candidate. Они не изменяют хронологию T2-56 и не используются для утверждения, что общий кипу-корпус начинается в III тысячелетии до н. э.</w:t>
      </w:r>
    </w:p>
    <w:p>
      <w:pPr>
        <w:pStyle w:val="Heading2"/>
      </w:pPr>
      <w:r>
        <w:t>Проход вперёд: сохранение, перевод и общинная практика</w:t>
      </w:r>
    </w:p>
    <w:p>
      <w:r>
        <w:t>Колониальная линия расширена не на все хроники Перу, а на источники с конкретными кипу-разделами: показания quipucamayos, главу Acosta VI.8, кипу-счётчиков у Garcilaso, прямые описания у Cieza и Cobo, исповедальную практику у Bocanegra/Arriaga и терминологию Holguín. Textos andinos и El quipu colonial связывают эту линию с visitas, судебными актами, данническими и церковными реестрами. Алфавитный документ рассматривается как опосредованное свидетельство, не как доказанная буквальная транскрипция сохранившегося кипу.</w:t>
      </w:r>
      <w:r>
        <w:t xml:space="preserve">  [</w:t>
      </w:r>
      <w:hyperlink r:id="rId38">
        <w:r>
          <w:rPr>
            <w:color w:val="156E93"/>
            <w:u w:val="single"/>
          </w:rPr>
          <w:t>R030</w:t>
        </w:r>
      </w:hyperlink>
      <w:r>
        <w:t xml:space="preserve">; </w:t>
      </w:r>
      <w:hyperlink r:id="rId39">
        <w:r>
          <w:rPr>
            <w:color w:val="156E93"/>
            <w:u w:val="single"/>
          </w:rPr>
          <w:t>R031</w:t>
        </w:r>
      </w:hyperlink>
      <w:r>
        <w:t xml:space="preserve">; </w:t>
      </w:r>
      <w:hyperlink r:id="rId16">
        <w:r>
          <w:rPr>
            <w:color w:val="156E93"/>
            <w:u w:val="single"/>
          </w:rPr>
          <w:t>R033</w:t>
        </w:r>
      </w:hyperlink>
      <w:r>
        <w:t xml:space="preserve">; </w:t>
      </w:r>
      <w:hyperlink r:id="rId41">
        <w:r>
          <w:rPr>
            <w:color w:val="156E93"/>
            <w:u w:val="single"/>
          </w:rPr>
          <w:t>R037</w:t>
        </w:r>
      </w:hyperlink>
      <w:r>
        <w:t xml:space="preserve">; </w:t>
      </w:r>
      <w:hyperlink r:id="rId53">
        <w:r>
          <w:rPr>
            <w:color w:val="156E93"/>
            <w:u w:val="single"/>
          </w:rPr>
          <w:t>R040</w:t>
        </w:r>
      </w:hyperlink>
      <w:r>
        <w:t xml:space="preserve">; </w:t>
      </w:r>
      <w:hyperlink r:id="rId44">
        <w:r>
          <w:rPr>
            <w:color w:val="156E93"/>
            <w:u w:val="single"/>
          </w:rPr>
          <w:t>R041</w:t>
        </w:r>
      </w:hyperlink>
      <w:r>
        <w:t xml:space="preserve">; </w:t>
      </w:r>
      <w:hyperlink r:id="rId45">
        <w:r>
          <w:rPr>
            <w:color w:val="156E93"/>
            <w:u w:val="single"/>
          </w:rPr>
          <w:t>R045</w:t>
        </w:r>
      </w:hyperlink>
      <w:r>
        <w:t xml:space="preserve">; </w:t>
      </w:r>
      <w:hyperlink r:id="rId46">
        <w:r>
          <w:rPr>
            <w:color w:val="156E93"/>
            <w:u w:val="single"/>
          </w:rPr>
          <w:t>R052</w:t>
        </w:r>
      </w:hyperlink>
      <w:r>
        <w:t xml:space="preserve">; </w:t>
      </w:r>
      <w:hyperlink r:id="rId48">
        <w:r>
          <w:rPr>
            <w:color w:val="156E93"/>
            <w:u w:val="single"/>
          </w:rPr>
          <w:t>R055</w:t>
        </w:r>
      </w:hyperlink>
      <w:r>
        <w:t xml:space="preserve">; </w:t>
      </w:r>
      <w:hyperlink r:id="rId13">
        <w:r>
          <w:rPr>
            <w:color w:val="156E93"/>
            <w:u w:val="single"/>
          </w:rPr>
          <w:t>R066</w:t>
        </w:r>
      </w:hyperlink>
      <w:r>
        <w:t xml:space="preserve">; </w:t>
      </w:r>
      <w:hyperlink r:id="rId49">
        <w:r>
          <w:rPr>
            <w:color w:val="156E93"/>
            <w:u w:val="single"/>
          </w:rPr>
          <w:t>R067</w:t>
        </w:r>
      </w:hyperlink>
      <w:r>
        <w:t>]</w:t>
      </w:r>
    </w:p>
    <w:p>
      <w:r>
        <w:t>Поздние продолжения включают Collata XVIII века; Mangas и Rapaz XIX века; Ttio с дневником 1857; Tupicocha с полевой документацией XX века; Entablo San Pedro de Casta и практику досок; пять хозяйственных кипу Yumani 1948–1949. Их связь — продолжение самого медиума, парная бумажная документация и локальные правила учёта. Из позднего случая не выводится идентичный инкский словесный код.</w:t>
      </w:r>
      <w:r>
        <w:t xml:space="preserve">  [</w:t>
      </w:r>
      <w:hyperlink r:id="rId21">
        <w:r>
          <w:rPr>
            <w:color w:val="156E93"/>
            <w:u w:val="single"/>
          </w:rPr>
          <w:t>R010</w:t>
        </w:r>
      </w:hyperlink>
      <w:r>
        <w:t xml:space="preserve">; </w:t>
      </w:r>
      <w:hyperlink r:id="rId54">
        <w:r>
          <w:rPr>
            <w:color w:val="156E93"/>
            <w:u w:val="single"/>
          </w:rPr>
          <w:t>R020</w:t>
        </w:r>
      </w:hyperlink>
      <w:r>
        <w:t xml:space="preserve">; </w:t>
      </w:r>
      <w:hyperlink r:id="rId55">
        <w:r>
          <w:rPr>
            <w:color w:val="156E93"/>
            <w:u w:val="single"/>
          </w:rPr>
          <w:t>R021</w:t>
        </w:r>
      </w:hyperlink>
      <w:r>
        <w:t xml:space="preserve">; </w:t>
      </w:r>
      <w:hyperlink r:id="rId56">
        <w:r>
          <w:rPr>
            <w:color w:val="156E93"/>
            <w:u w:val="single"/>
          </w:rPr>
          <w:t>R022</w:t>
        </w:r>
      </w:hyperlink>
      <w:r>
        <w:t xml:space="preserve">; </w:t>
      </w:r>
      <w:hyperlink r:id="rId57">
        <w:r>
          <w:rPr>
            <w:color w:val="156E93"/>
            <w:u w:val="single"/>
          </w:rPr>
          <w:t>R035</w:t>
        </w:r>
      </w:hyperlink>
      <w:r>
        <w:t xml:space="preserve">; </w:t>
      </w:r>
      <w:hyperlink r:id="rId58">
        <w:r>
          <w:rPr>
            <w:color w:val="156E93"/>
            <w:u w:val="single"/>
          </w:rPr>
          <w:t>R036</w:t>
        </w:r>
      </w:hyperlink>
      <w:r>
        <w:t xml:space="preserve">; </w:t>
      </w:r>
      <w:hyperlink r:id="rId59">
        <w:r>
          <w:rPr>
            <w:color w:val="156E93"/>
            <w:u w:val="single"/>
          </w:rPr>
          <w:t>R065</w:t>
        </w:r>
      </w:hyperlink>
      <w:r>
        <w:t>]</w:t>
      </w:r>
    </w:p>
    <w:tbl>
      <w:tblPr>
        <w:tblStyle w:val="LightShading-Accent1"/>
        <w:tblW w:type="auto" w:w="0"/>
        <w:tblLayout w:type="fixed"/>
        <w:tblLook w:firstColumn="1" w:firstRow="1" w:lastColumn="0" w:lastRow="0" w:noHBand="0" w:noVBand="1" w:val="04A0"/>
      </w:tblPr>
      <w:tblGrid>
        <w:gridCol w:w="3213"/>
        <w:gridCol w:w="3213"/>
        <w:gridCol w:w="3213"/>
      </w:tblGrid>
      <w:tr>
        <w:trPr>
          <w:tblHeader/>
          <w:cantSplit/>
        </w:trPr>
        <w:tc>
          <w:tcPr>
            <w:tcW w:type="dxa" w:w="2835"/>
            <w:shd w:fill="173F50"/>
          </w:tcPr>
          <w:p>
            <w:r>
              <w:rPr>
                <w:b/>
                <w:color w:val="FFFFFF"/>
                <w:sz w:val="20"/>
              </w:rPr>
              <w:t>Показатель</w:t>
            </w:r>
          </w:p>
        </w:tc>
        <w:tc>
          <w:tcPr>
            <w:tcW w:type="dxa" w:w="1474"/>
            <w:shd w:fill="173F50"/>
          </w:tcPr>
          <w:p>
            <w:r>
              <w:rPr>
                <w:b/>
                <w:color w:val="FFFFFF"/>
                <w:sz w:val="20"/>
              </w:rPr>
              <w:t>Результат</w:t>
            </w:r>
          </w:p>
        </w:tc>
        <w:tc>
          <w:tcPr>
            <w:tcW w:type="dxa" w:w="5329"/>
            <w:shd w:fill="173F50"/>
          </w:tcPr>
          <w:p>
            <w:r>
              <w:rPr>
                <w:b/>
                <w:color w:val="FFFFFF"/>
                <w:sz w:val="20"/>
              </w:rPr>
              <w:t>Как читать</w:t>
            </w:r>
          </w:p>
        </w:tc>
      </w:tr>
      <w:tr>
        <w:trPr>
          <w:cantSplit/>
        </w:trPr>
        <w:tc>
          <w:tcPr>
            <w:tcW w:type="dxa" w:w="2835"/>
          </w:tcPr>
          <w:p>
            <w:pPr>
              <w:spacing w:after="100" w:before="80"/>
            </w:pPr>
            <w:r>
              <w:rPr>
                <w:sz w:val="20"/>
              </w:rPr>
              <w:t>Способы доступа</w:t>
            </w:r>
          </w:p>
        </w:tc>
        <w:tc>
          <w:tcPr>
            <w:tcW w:type="dxa" w:w="1474"/>
          </w:tcPr>
          <w:p>
            <w:pPr>
              <w:spacing w:after="100" w:before="80"/>
            </w:pPr>
            <w:r>
              <w:rPr>
                <w:sz w:val="20"/>
              </w:rPr>
              <w:t>69 записей</w:t>
            </w:r>
          </w:p>
        </w:tc>
        <w:tc>
          <w:tcPr>
            <w:tcW w:type="dxa" w:w="5329"/>
          </w:tcPr>
          <w:p>
            <w:pPr>
              <w:spacing w:after="100" w:before="80"/>
            </w:pPr>
            <w:r>
              <w:rPr>
                <w:sz w:val="20"/>
              </w:rPr>
              <w:t>Один путь/версия/свидетель; не 69 произведений</w:t>
            </w:r>
          </w:p>
        </w:tc>
      </w:tr>
      <w:tr>
        <w:trPr>
          <w:cantSplit/>
        </w:trPr>
        <w:tc>
          <w:tcPr>
            <w:tcW w:type="dxa" w:w="2835"/>
          </w:tcPr>
          <w:p>
            <w:pPr>
              <w:spacing w:after="100" w:before="80"/>
            </w:pPr>
            <w:r>
              <w:rPr>
                <w:sz w:val="20"/>
              </w:rPr>
              <w:t>Алфавитные блоки</w:t>
            </w:r>
          </w:p>
        </w:tc>
        <w:tc>
          <w:tcPr>
            <w:tcW w:type="dxa" w:w="1474"/>
          </w:tcPr>
          <w:p>
            <w:pPr>
              <w:spacing w:after="100" w:before="80"/>
            </w:pPr>
            <w:r>
              <w:rPr>
                <w:sz w:val="20"/>
              </w:rPr>
              <w:t>14</w:t>
            </w:r>
          </w:p>
        </w:tc>
        <w:tc>
          <w:tcPr>
            <w:tcW w:type="dxa" w:w="5329"/>
          </w:tcPr>
          <w:p>
            <w:pPr>
              <w:spacing w:after="100" w:before="80"/>
            </w:pPr>
            <w:r>
              <w:rPr>
                <w:sz w:val="20"/>
              </w:rPr>
              <w:t>Два тома Textos andinos объединены; антология 1873 — один блок</w:t>
            </w:r>
          </w:p>
        </w:tc>
      </w:tr>
      <w:tr>
        <w:trPr>
          <w:cantSplit/>
        </w:trPr>
        <w:tc>
          <w:tcPr>
            <w:tcW w:type="dxa" w:w="2835"/>
          </w:tcPr>
          <w:p>
            <w:pPr>
              <w:spacing w:after="100" w:before="80"/>
            </w:pPr>
            <w:r>
              <w:rPr>
                <w:sz w:val="20"/>
              </w:rPr>
              <w:t>Материальные единицы охвата</w:t>
            </w:r>
          </w:p>
        </w:tc>
        <w:tc>
          <w:tcPr>
            <w:tcW w:type="dxa" w:w="1474"/>
          </w:tcPr>
          <w:p>
            <w:pPr>
              <w:spacing w:after="100" w:before="80"/>
            </w:pPr>
            <w:r>
              <w:rPr>
                <w:sz w:val="20"/>
              </w:rPr>
              <w:t>19</w:t>
            </w:r>
          </w:p>
        </w:tc>
        <w:tc>
          <w:tcPr>
            <w:tcW w:type="dxa" w:w="5329"/>
          </w:tcPr>
          <w:p>
            <w:pPr>
              <w:spacing w:after="100" w:before="80"/>
            </w:pPr>
            <w:r>
              <w:rPr>
                <w:sz w:val="20"/>
              </w:rPr>
              <w:t>Предметы и комплексы разного размера; не число кипу</w:t>
            </w:r>
          </w:p>
        </w:tc>
      </w:tr>
      <w:tr>
        <w:trPr>
          <w:cantSplit/>
        </w:trPr>
        <w:tc>
          <w:tcPr>
            <w:tcW w:type="dxa" w:w="2835"/>
          </w:tcPr>
          <w:p>
            <w:pPr>
              <w:spacing w:after="100" w:before="80"/>
            </w:pPr>
            <w:r>
              <w:rPr>
                <w:sz w:val="20"/>
              </w:rPr>
              <w:t>Пробелы</w:t>
            </w:r>
          </w:p>
        </w:tc>
        <w:tc>
          <w:tcPr>
            <w:tcW w:type="dxa" w:w="1474"/>
          </w:tcPr>
          <w:p>
            <w:pPr>
              <w:spacing w:after="100" w:before="80"/>
            </w:pPr>
            <w:r>
              <w:rPr>
                <w:sz w:val="20"/>
              </w:rPr>
              <w:t>37</w:t>
            </w:r>
          </w:p>
        </w:tc>
        <w:tc>
          <w:tcPr>
            <w:tcW w:type="dxa" w:w="5329"/>
          </w:tcPr>
          <w:p>
            <w:pPr>
              <w:spacing w:after="100" w:before="80"/>
            </w:pPr>
            <w:r>
              <w:rPr>
                <w:sz w:val="20"/>
              </w:rPr>
              <w:t>Доступ, права, идентификация и конкретные кандидаты</w:t>
            </w:r>
          </w:p>
        </w:tc>
      </w:tr>
    </w:tbl>
    <w:p>
      <w:r>
        <w:t>Распределение записей по роли: core — 12; same_corpus_or_tradition — 3; antecedent — 2; continuation — 6; commentary_or_reception — 2; transmission_or_preservation — 31; supporting — 1; infrastructure — 7; secondary_navigation — 5. Отдельный тег boundary не понадобился: выход за даты сам по себе не делает прямой корпусный материал пограничным.</w:t>
      </w:r>
    </w:p>
    <w:p>
      <w:r>
        <w:br w:type="page"/>
      </w:r>
    </w:p>
    <w:p>
      <w:pPr>
        <w:pStyle w:val="Heading1"/>
      </w:pPr>
      <w:r>
        <w:t>3. Лучшие пути доступа</w:t>
      </w:r>
    </w:p>
    <w:p>
      <w:pPr>
        <w:pStyle w:val="Heading2"/>
      </w:pPr>
      <w:r>
        <w:t>Структурный корпус: OKR, KFG, Ascher и KH-идентификаторы</w:t>
      </w:r>
    </w:p>
    <w:p>
      <w:r>
        <w:t>Для воспроизводимого машинного входа предпочтителен зафиксированный Open Khipu Repository v2.1.0 на Zenodo, DOI 10.5281/zenodo.18025748, опубликованный 22.12.2025. Карточка перечисляет один архив с базой и сопроводительными материалами; архив целиком в этом запуске не скачивался. Поэтому наличие форматов не подменено проверкой каждого вложения. GitHub полезен для актуализируемой документации, но не заменяет citation конкретного выпуска. Новые KH-ID этого релиза не означают столько же впервые обнаруженных «произведений».</w:t>
      </w:r>
      <w:r>
        <w:t xml:space="preserve">  [</w:t>
      </w:r>
      <w:hyperlink r:id="rId11">
        <w:r>
          <w:rPr>
            <w:color w:val="156E93"/>
            <w:u w:val="single"/>
          </w:rPr>
          <w:t>R001</w:t>
        </w:r>
      </w:hyperlink>
      <w:r>
        <w:t xml:space="preserve">; </w:t>
      </w:r>
      <w:hyperlink r:id="rId31">
        <w:r>
          <w:rPr>
            <w:color w:val="156E93"/>
            <w:u w:val="single"/>
          </w:rPr>
          <w:t>R002</w:t>
        </w:r>
      </w:hyperlink>
      <w:r>
        <w:t>]</w:t>
      </w:r>
    </w:p>
    <w:p>
      <w:r>
        <w:t>Для быстрого чтения структуры конкретного предмета удобен Khipu Field Guide: отдельно закреплены KH0015/British Museum, KH0242/Laguna и KH0501/Inkawasi. Это визуализация и структурная запись, не перевод. У KFG не найдена лицензия, позволяющая объявить весь каталог свободным для зеркалирования; допустимый минимальный сценарий — внешние ссылки и ручное исследование.</w:t>
      </w:r>
      <w:r>
        <w:t xml:space="preserve">  [</w:t>
      </w:r>
      <w:hyperlink r:id="rId60">
        <w:r>
          <w:rPr>
            <w:color w:val="156E93"/>
            <w:u w:val="single"/>
          </w:rPr>
          <w:t>R003</w:t>
        </w:r>
      </w:hyperlink>
      <w:r>
        <w:t xml:space="preserve">; </w:t>
      </w:r>
      <w:hyperlink r:id="rId22">
        <w:r>
          <w:rPr>
            <w:color w:val="156E93"/>
            <w:u w:val="single"/>
          </w:rPr>
          <w:t>R011</w:t>
        </w:r>
      </w:hyperlink>
      <w:r>
        <w:t xml:space="preserve">; </w:t>
      </w:r>
      <w:hyperlink r:id="rId23">
        <w:r>
          <w:rPr>
            <w:color w:val="156E93"/>
            <w:u w:val="single"/>
          </w:rPr>
          <w:t>R012</w:t>
        </w:r>
      </w:hyperlink>
      <w:r>
        <w:t xml:space="preserve">; </w:t>
      </w:r>
      <w:hyperlink r:id="rId24">
        <w:r>
          <w:rPr>
            <w:color w:val="156E93"/>
            <w:u w:val="single"/>
          </w:rPr>
          <w:t>R013</w:t>
        </w:r>
      </w:hyperlink>
      <w:r>
        <w:t>]</w:t>
      </w:r>
    </w:p>
    <w:p>
      <w:r>
        <w:t>Оригинальные Databook I и II Марсии и Роберта Ascher доступны через Cornell: это важнейший слой первичной записи параметров. Они не стали public domain оттого, что описывают древние предметы. Современные Notes and Corrections Thompson имеют собственную CC BY 4.0, а библиографическая KBCR — CC BY-NC-SA 4.0. Эти лицензии относятся к новым материалам, не к старым каталогам и перечисленным книгам.</w:t>
      </w:r>
      <w:r>
        <w:t xml:space="preserve">  [</w:t>
      </w:r>
      <w:hyperlink r:id="rId50">
        <w:r>
          <w:rPr>
            <w:color w:val="156E93"/>
            <w:u w:val="single"/>
          </w:rPr>
          <w:t>R004</w:t>
        </w:r>
      </w:hyperlink>
      <w:r>
        <w:t xml:space="preserve">; </w:t>
      </w:r>
      <w:hyperlink r:id="rId50">
        <w:r>
          <w:rPr>
            <w:color w:val="156E93"/>
            <w:u w:val="single"/>
          </w:rPr>
          <w:t>R005</w:t>
        </w:r>
      </w:hyperlink>
      <w:r>
        <w:t xml:space="preserve">; </w:t>
      </w:r>
      <w:hyperlink r:id="rId14">
        <w:r>
          <w:rPr>
            <w:color w:val="156E93"/>
            <w:u w:val="single"/>
          </w:rPr>
          <w:t>R006</w:t>
        </w:r>
      </w:hyperlink>
      <w:r>
        <w:t xml:space="preserve">; </w:t>
      </w:r>
      <w:hyperlink r:id="rId61">
        <w:r>
          <w:rPr>
            <w:color w:val="156E93"/>
            <w:u w:val="single"/>
          </w:rPr>
          <w:t>R007</w:t>
        </w:r>
      </w:hyperlink>
      <w:r>
        <w:t xml:space="preserve">; </w:t>
      </w:r>
      <w:hyperlink r:id="rId14">
        <w:r>
          <w:rPr>
            <w:color w:val="156E93"/>
            <w:u w:val="single"/>
          </w:rPr>
          <w:t>R006: права</w:t>
        </w:r>
      </w:hyperlink>
      <w:r>
        <w:t xml:space="preserve">; </w:t>
      </w:r>
      <w:hyperlink r:id="rId61">
        <w:r>
          <w:rPr>
            <w:color w:val="156E93"/>
            <w:u w:val="single"/>
          </w:rPr>
          <w:t>R007: права</w:t>
        </w:r>
      </w:hyperlink>
      <w:r>
        <w:t>]</w:t>
      </w:r>
    </w:p>
    <w:p>
      <w:r>
        <w:t>Для сведения старых AS/UR и новых KH обозначений есть репозиторий renaming с таблицей соответствий и конвертером, а также официальная публикация 2024 года. MIT подтверждена для программного/документационного слоя; перед массовым распространением таблицы нужно сохранить её происхождение и проверить компоненты. Сам конвертер здесь не запускался; граф и глобальная онтология не создавались.</w:t>
      </w:r>
      <w:r>
        <w:t xml:space="preserve">  [</w:t>
      </w:r>
      <w:hyperlink r:id="rId62">
        <w:r>
          <w:rPr>
            <w:color w:val="156E93"/>
            <w:u w:val="single"/>
          </w:rPr>
          <w:t>R057</w:t>
        </w:r>
      </w:hyperlink>
      <w:r>
        <w:t xml:space="preserve">; </w:t>
      </w:r>
      <w:hyperlink r:id="rId63">
        <w:r>
          <w:rPr>
            <w:color w:val="156E93"/>
            <w:u w:val="single"/>
          </w:rPr>
          <w:t>R058</w:t>
        </w:r>
      </w:hyperlink>
      <w:r>
        <w:t>]</w:t>
      </w:r>
    </w:p>
    <w:p>
      <w:pPr>
        <w:pStyle w:val="Heading2"/>
      </w:pPr>
      <w:r>
        <w:t>Inkawasi, Laguna, Puruchuco, Santa и отдельные предметы</w:t>
      </w:r>
    </w:p>
    <w:p>
      <w:r>
        <w:t>Для Inkawasi лучший научный вход — Accounting in the King’s Storehouse: the Inkawasi Khipu Archive; официальный abstract открыт, полный текст требует доступа/покупки. Бесплатный предметный пример KH0501 доступен через KFG. Для Laguna — аналогичная комбинация KH0242/UR006 и специальной статьи о календарно-демографической интерпретации. Ни один из этих путей не объявлен полным свободным архивом всех 34 или 32 кипу.</w:t>
      </w:r>
      <w:r>
        <w:t xml:space="preserve">  [</w:t>
      </w:r>
      <w:hyperlink r:id="rId23">
        <w:r>
          <w:rPr>
            <w:color w:val="156E93"/>
            <w:u w:val="single"/>
          </w:rPr>
          <w:t>R012</w:t>
        </w:r>
      </w:hyperlink>
      <w:r>
        <w:t xml:space="preserve">; </w:t>
      </w:r>
      <w:hyperlink r:id="rId24">
        <w:r>
          <w:rPr>
            <w:color w:val="156E93"/>
            <w:u w:val="single"/>
          </w:rPr>
          <w:t>R013</w:t>
        </w:r>
      </w:hyperlink>
      <w:r>
        <w:t xml:space="preserve">; </w:t>
      </w:r>
      <w:hyperlink r:id="rId25">
        <w:r>
          <w:rPr>
            <w:color w:val="156E93"/>
            <w:u w:val="single"/>
          </w:rPr>
          <w:t>R015</w:t>
        </w:r>
      </w:hyperlink>
      <w:r>
        <w:t xml:space="preserve">; </w:t>
      </w:r>
      <w:hyperlink r:id="rId26">
        <w:r>
          <w:rPr>
            <w:color w:val="156E93"/>
            <w:u w:val="single"/>
          </w:rPr>
          <w:t>R016</w:t>
        </w:r>
      </w:hyperlink>
      <w:r>
        <w:t>]</w:t>
      </w:r>
    </w:p>
    <w:p>
      <w:r>
        <w:t>MALI на Google Arts &amp; Culture даёт законные институциональные экспозиции Wari, Puruchuco, Santa, Mangas, Rapaz, Ttio и раннеколониального UNMSM-экземпляра. Это хороший бесплатный визуальный вход, но не bulk dataset. Авторство экспозиции или кредит фотографии не являются лицензией ToS. Для Santa отдельно нужен первичный padrón, а для Ttio — полный дневник.</w:t>
      </w:r>
      <w:r>
        <w:t xml:space="preserve">  [</w:t>
      </w:r>
      <w:hyperlink r:id="rId27">
        <w:r>
          <w:rPr>
            <w:color w:val="156E93"/>
            <w:u w:val="single"/>
          </w:rPr>
          <w:t>R017</w:t>
        </w:r>
      </w:hyperlink>
      <w:r>
        <w:t xml:space="preserve">; </w:t>
      </w:r>
      <w:hyperlink r:id="rId32">
        <w:r>
          <w:rPr>
            <w:color w:val="156E93"/>
            <w:u w:val="single"/>
          </w:rPr>
          <w:t>R018</w:t>
        </w:r>
      </w:hyperlink>
      <w:r>
        <w:t xml:space="preserve">; </w:t>
      </w:r>
      <w:hyperlink r:id="rId33">
        <w:r>
          <w:rPr>
            <w:color w:val="156E93"/>
            <w:u w:val="single"/>
          </w:rPr>
          <w:t>R019</w:t>
        </w:r>
      </w:hyperlink>
      <w:r>
        <w:t xml:space="preserve">; </w:t>
      </w:r>
      <w:hyperlink r:id="rId54">
        <w:r>
          <w:rPr>
            <w:color w:val="156E93"/>
            <w:u w:val="single"/>
          </w:rPr>
          <w:t>R020</w:t>
        </w:r>
      </w:hyperlink>
      <w:r>
        <w:t xml:space="preserve">; </w:t>
      </w:r>
      <w:hyperlink r:id="rId55">
        <w:r>
          <w:rPr>
            <w:color w:val="156E93"/>
            <w:u w:val="single"/>
          </w:rPr>
          <w:t>R021</w:t>
        </w:r>
      </w:hyperlink>
      <w:r>
        <w:t xml:space="preserve">; </w:t>
      </w:r>
      <w:hyperlink r:id="rId56">
        <w:r>
          <w:rPr>
            <w:color w:val="156E93"/>
            <w:u w:val="single"/>
          </w:rPr>
          <w:t>R022</w:t>
        </w:r>
      </w:hyperlink>
      <w:r>
        <w:t xml:space="preserve">; </w:t>
      </w:r>
      <w:hyperlink r:id="rId34">
        <w:r>
          <w:rPr>
            <w:color w:val="156E93"/>
            <w:u w:val="single"/>
          </w:rPr>
          <w:t>R023</w:t>
        </w:r>
      </w:hyperlink>
      <w:r>
        <w:t>]</w:t>
      </w:r>
    </w:p>
    <w:p>
      <w:r>
        <w:t>Самый ясный свободный фотографический вариант — Cleveland 1940.469: на предметной странице прямо разрешены копирование, изменение и распространение, а музейная политика определяет CC0. Открылась веб-фотография; полное высокое разрешение не проверялось. API и GitHub музея дают отдельный CC0-маршрут к метаданным, но конкретный API-запрос в этом запуске не прошёл. Техническая ошибка не отменяет найденного права на уже доступный компонент.</w:t>
      </w:r>
      <w:r>
        <w:t xml:space="preserve">  [</w:t>
      </w:r>
      <w:hyperlink r:id="rId12">
        <w:r>
          <w:rPr>
            <w:color w:val="156E93"/>
            <w:u w:val="single"/>
          </w:rPr>
          <w:t>R063</w:t>
        </w:r>
      </w:hyperlink>
      <w:r>
        <w:t xml:space="preserve">; </w:t>
      </w:r>
      <w:hyperlink r:id="rId64">
        <w:r>
          <w:rPr>
            <w:color w:val="156E93"/>
            <w:u w:val="single"/>
          </w:rPr>
          <w:t>R064</w:t>
        </w:r>
      </w:hyperlink>
      <w:r>
        <w:t xml:space="preserve">; </w:t>
      </w:r>
      <w:hyperlink r:id="rId12">
        <w:r>
          <w:rPr>
            <w:color w:val="156E93"/>
            <w:u w:val="single"/>
          </w:rPr>
          <w:t>R063: права</w:t>
        </w:r>
      </w:hyperlink>
      <w:r>
        <w:t>]</w:t>
      </w:r>
    </w:p>
    <w:p>
      <w:r>
        <w:t>NMAI 14/3866 полезен как прямой музейный якорь, но там разведены CC0-метаданные и ограниченные изображения. Penn SA4039 даёт фотографии одного фрагмента по собственным некоммерческим условиям; CSV Penn имеет иную, CC BY 4.0, лицензию. Эти случаи нельзя объединять в формулу «все музейные данные и фото свободны».</w:t>
      </w:r>
      <w:r>
        <w:t xml:space="preserve">  [</w:t>
      </w:r>
      <w:hyperlink r:id="rId15">
        <w:r>
          <w:rPr>
            <w:color w:val="156E93"/>
            <w:u w:val="single"/>
          </w:rPr>
          <w:t>R025</w:t>
        </w:r>
      </w:hyperlink>
      <w:r>
        <w:t xml:space="preserve">; </w:t>
      </w:r>
      <w:hyperlink r:id="rId35">
        <w:r>
          <w:rPr>
            <w:color w:val="156E93"/>
            <w:u w:val="single"/>
          </w:rPr>
          <w:t>R050</w:t>
        </w:r>
      </w:hyperlink>
      <w:r>
        <w:t xml:space="preserve">; </w:t>
      </w:r>
      <w:hyperlink r:id="rId17">
        <w:r>
          <w:rPr>
            <w:color w:val="156E93"/>
            <w:u w:val="single"/>
          </w:rPr>
          <w:t>R051</w:t>
        </w:r>
      </w:hyperlink>
      <w:r>
        <w:t xml:space="preserve">; </w:t>
      </w:r>
      <w:hyperlink r:id="rId15">
        <w:r>
          <w:rPr>
            <w:color w:val="156E93"/>
            <w:u w:val="single"/>
          </w:rPr>
          <w:t>R025: права</w:t>
        </w:r>
      </w:hyperlink>
      <w:r>
        <w:t xml:space="preserve">; </w:t>
      </w:r>
      <w:hyperlink r:id="rId65">
        <w:r>
          <w:rPr>
            <w:color w:val="156E93"/>
            <w:u w:val="single"/>
          </w:rPr>
          <w:t>R050: права</w:t>
        </w:r>
      </w:hyperlink>
      <w:r>
        <w:t xml:space="preserve">; </w:t>
      </w:r>
      <w:hyperlink r:id="rId17">
        <w:r>
          <w:rPr>
            <w:color w:val="156E93"/>
            <w:u w:val="single"/>
          </w:rPr>
          <w:t>R051: права</w:t>
        </w:r>
      </w:hyperlink>
      <w:r>
        <w:t>]</w:t>
      </w:r>
    </w:p>
    <w:p>
      <w:r>
        <w:t>Haptic khipu UCSB добавляет предметную карточку 1500–1632 и отдельный доступ к Dumbarton Oaks PC.WBC.2016.070, даже когда исходный музейный сайт не открывается. Проект объявляет IIIF-манифесты и показывает спектральную работу с одним предметом. JSON-манифесты не загрузились; все перечисленные кадры не считаются отдельными кипу. Права MIRL, Avalon Labs и предоставленных Dumbarton Oaks изображений не установлены.</w:t>
      </w:r>
      <w:r>
        <w:t xml:space="preserve">  [</w:t>
      </w:r>
      <w:hyperlink r:id="rId36">
        <w:r>
          <w:rPr>
            <w:color w:val="156E93"/>
            <w:u w:val="single"/>
          </w:rPr>
          <w:t>R068</w:t>
        </w:r>
      </w:hyperlink>
      <w:r>
        <w:t xml:space="preserve">; </w:t>
      </w:r>
      <w:hyperlink r:id="rId37">
        <w:r>
          <w:rPr>
            <w:color w:val="156E93"/>
            <w:u w:val="single"/>
          </w:rPr>
          <w:t>R069</w:t>
        </w:r>
      </w:hyperlink>
      <w:r>
        <w:t>]</w:t>
      </w:r>
    </w:p>
    <w:p>
      <w:pPr>
        <w:pStyle w:val="Heading2"/>
      </w:pPr>
      <w:r>
        <w:t>KH0631, Collata и поздние общинные архивы</w:t>
      </w:r>
    </w:p>
    <w:p>
      <w:r>
        <w:t>Для KH0631 лучший открытый научно-фотографический вход — авторская статья Hyland и соавторов 2025 года в St Andrews, с проверенным PDF и CC BY-NC 4.0. Это досье одного предмета, а не перевод или общий статистический паспорт всех изготовителей кипу. Некоммерческое воспроизведение допустимо для лицензированного текста и собственных иллюстраций при атрибуции.</w:t>
      </w:r>
      <w:r>
        <w:t xml:space="preserve">  [</w:t>
      </w:r>
      <w:hyperlink r:id="rId20">
        <w:r>
          <w:rPr>
            <w:color w:val="156E93"/>
            <w:u w:val="single"/>
          </w:rPr>
          <w:t>R009</w:t>
        </w:r>
      </w:hyperlink>
      <w:r>
        <w:t xml:space="preserve">; </w:t>
      </w:r>
      <w:hyperlink r:id="rId20">
        <w:r>
          <w:rPr>
            <w:color w:val="156E93"/>
            <w:u w:val="single"/>
          </w:rPr>
          <w:t>R009: права</w:t>
        </w:r>
      </w:hyperlink>
      <w:r>
        <w:t>]</w:t>
      </w:r>
    </w:p>
    <w:p>
      <w:r>
        <w:t>Для Collata официальный университетский депозит подтверждает статью Writing with Twisted Cords 2017 года и файлы, однако PDF не удалось получить инструментом. Путь сохранён без обещания беспрепятственной загрузки и без разрешения на зеркало. Для Mangas полный научный PDF открылся, но он защищён. Для Entablo, наоборот, открыта CC BY-статья; это не лицензия на всю неопубликованную общинную рукопись.</w:t>
      </w:r>
      <w:r>
        <w:t xml:space="preserve">  [</w:t>
      </w:r>
      <w:hyperlink r:id="rId21">
        <w:r>
          <w:rPr>
            <w:color w:val="156E93"/>
            <w:u w:val="single"/>
          </w:rPr>
          <w:t>R010</w:t>
        </w:r>
      </w:hyperlink>
      <w:r>
        <w:t xml:space="preserve">; </w:t>
      </w:r>
      <w:hyperlink r:id="rId28">
        <w:r>
          <w:rPr>
            <w:color w:val="156E93"/>
            <w:u w:val="single"/>
          </w:rPr>
          <w:t>R024</w:t>
        </w:r>
      </w:hyperlink>
      <w:r>
        <w:t xml:space="preserve">; </w:t>
      </w:r>
      <w:hyperlink r:id="rId58">
        <w:r>
          <w:rPr>
            <w:color w:val="156E93"/>
            <w:u w:val="single"/>
          </w:rPr>
          <w:t>R036</w:t>
        </w:r>
      </w:hyperlink>
      <w:r>
        <w:t xml:space="preserve">; </w:t>
      </w:r>
      <w:hyperlink r:id="rId28">
        <w:r>
          <w:rPr>
            <w:color w:val="156E93"/>
            <w:u w:val="single"/>
          </w:rPr>
          <w:t>R024: права</w:t>
        </w:r>
      </w:hyperlink>
      <w:r>
        <w:t xml:space="preserve">; </w:t>
      </w:r>
      <w:hyperlink r:id="rId58">
        <w:r>
          <w:rPr>
            <w:color w:val="156E93"/>
            <w:u w:val="single"/>
          </w:rPr>
          <w:t>R036: права</w:t>
        </w:r>
      </w:hyperlink>
      <w:r>
        <w:t>]</w:t>
      </w:r>
    </w:p>
    <w:p>
      <w:r>
        <w:t>Для Tupicocha важна The Cord Keepers Salomon 2004. Несмотря на отдельные метки Free в интерфейсе Duke, конкретная глава о patrimonial quipocamayos не открылась без доступа; запись оставлена как preview/institutional/purchase. Для Yumani доступнее авторский PDF Hyland/Lee 2021 с первичными фото и сведениями о пяти кипу 1948–1949. Университет прямо сообщает, что дальнейшее использование текста Duke требует разрешения.</w:t>
      </w:r>
      <w:r>
        <w:t xml:space="preserve">  [</w:t>
      </w:r>
      <w:hyperlink r:id="rId57">
        <w:r>
          <w:rPr>
            <w:color w:val="156E93"/>
            <w:u w:val="single"/>
          </w:rPr>
          <w:t>R035</w:t>
        </w:r>
      </w:hyperlink>
      <w:r>
        <w:t xml:space="preserve">; </w:t>
      </w:r>
      <w:hyperlink r:id="rId59">
        <w:r>
          <w:rPr>
            <w:color w:val="156E93"/>
            <w:u w:val="single"/>
          </w:rPr>
          <w:t>R065</w:t>
        </w:r>
      </w:hyperlink>
      <w:r>
        <w:t xml:space="preserve">; </w:t>
      </w:r>
      <w:hyperlink r:id="rId59">
        <w:r>
          <w:rPr>
            <w:color w:val="156E93"/>
            <w:u w:val="single"/>
          </w:rPr>
          <w:t>R065: права</w:t>
        </w:r>
      </w:hyperlink>
      <w:r>
        <w:t>]</w:t>
      </w:r>
    </w:p>
    <w:p>
      <w:pPr>
        <w:pStyle w:val="Heading2"/>
      </w:pPr>
      <w:r>
        <w:t>Guaman Poma и Murúa: факсимиле не равно современный перевод</w:t>
      </w:r>
    </w:p>
    <w:p>
      <w:r>
        <w:t>Для полного оригинала Nueva corónica главный вход — автограф GKS 2232 4° Королевской библиотеки Дании. Полная оцифровка подтверждена библиотекой; старый viewer в исследовательском инструменте не загрузился. Сохранён и альтернативный BNP-маршрут к изданию Posnansky 1944: четыре предлагаемых файла относятся к одному изданию, а не к четырём хроникам. Общая политика личного чтения/копирования BNP не даёт разрешения на публичное зеркало.</w:t>
      </w:r>
      <w:r>
        <w:t xml:space="preserve">  [</w:t>
      </w:r>
      <w:hyperlink r:id="rId29">
        <w:r>
          <w:rPr>
            <w:color w:val="156E93"/>
            <w:u w:val="single"/>
          </w:rPr>
          <w:t>R026</w:t>
        </w:r>
      </w:hyperlink>
      <w:r>
        <w:t xml:space="preserve">; </w:t>
      </w:r>
      <w:hyperlink r:id="rId66">
        <w:r>
          <w:rPr>
            <w:color w:val="156E93"/>
            <w:u w:val="single"/>
          </w:rPr>
          <w:t>R027</w:t>
        </w:r>
      </w:hyperlink>
      <w:r>
        <w:t xml:space="preserve">; </w:t>
      </w:r>
      <w:hyperlink r:id="rId67">
        <w:r>
          <w:rPr>
            <w:color w:val="156E93"/>
            <w:u w:val="single"/>
          </w:rPr>
          <w:t>R027: права</w:t>
        </w:r>
      </w:hyperlink>
      <w:r>
        <w:t>]</w:t>
      </w:r>
    </w:p>
    <w:p>
      <w:r>
        <w:t>Самостоятельная Commons-картинка страницы 360 полезна для иллюстрации кипукамайок/юпаны, но мала и имеет противоречивые выходные сведения. Public Domain Mark — маркировка, не лицензия. Она не используется для вывода о свободе всего рукописного корпуса. Современный перевод Hamilton на сайте UT Press охватывает только первую треть автографа, страницы оригинала 1–369; его нельзя называть полным английским Guaman Poma.</w:t>
      </w:r>
      <w:r>
        <w:t xml:space="preserve">  [</w:t>
      </w:r>
      <w:hyperlink r:id="rId18">
        <w:r>
          <w:rPr>
            <w:color w:val="156E93"/>
            <w:u w:val="single"/>
          </w:rPr>
          <w:t>R028</w:t>
        </w:r>
      </w:hyperlink>
      <w:r>
        <w:t xml:space="preserve">; </w:t>
      </w:r>
      <w:hyperlink r:id="rId68">
        <w:r>
          <w:rPr>
            <w:color w:val="156E93"/>
            <w:u w:val="single"/>
          </w:rPr>
          <w:t>R029</w:t>
        </w:r>
      </w:hyperlink>
      <w:r>
        <w:t>]</w:t>
      </w:r>
    </w:p>
    <w:p>
      <w:r>
        <w:t>Getty Murúa представлен авторизованным факсимиле Historia general del Piru 1616, изданным Getty Research Institute в 2008 и размещённым институционально на Internet Archive. Это другой свидетель, чем Galvin Murúa около 1590. Исторический испанский текст, современное факсимильное издание, вводный аппарат и технический OCR имеют разные статусы; безусловное зеркалирование книги 2008 не рекомендовано.</w:t>
      </w:r>
      <w:r>
        <w:t xml:space="preserve">  [</w:t>
      </w:r>
      <w:hyperlink r:id="rId40">
        <w:r>
          <w:rPr>
            <w:color w:val="156E93"/>
            <w:u w:val="single"/>
          </w:rPr>
          <w:t>R034</w:t>
        </w:r>
      </w:hyperlink>
      <w:r>
        <w:t>]</w:t>
      </w:r>
    </w:p>
    <w:p>
      <w:pPr>
        <w:pStyle w:val="Heading2"/>
      </w:pPr>
      <w:r>
        <w:t>Paper khipu и колониальные словесные свидетельства</w:t>
      </w:r>
    </w:p>
    <w:p>
      <w:r>
        <w:t>Лучший открытый концентрированный вход — El quipu colonial. Estudios y materiales, PUCP 2013: проверен полный PDF в 444 цифровые страницы. Особенно полезны материалы Huamanga 1572, Polo/Parinacocha, Cuzco, Potosí, Tulpo и Chuschi 1678–1679. Это найденный путь чтения современной публикации первичных актов, а не открытая лицензия на её транскрипции: на copyright-странице требуется разрешение на воспроизведение.</w:t>
      </w:r>
      <w:r>
        <w:t xml:space="preserve">  [</w:t>
      </w:r>
      <w:hyperlink r:id="rId16">
        <w:r>
          <w:rPr>
            <w:color w:val="156E93"/>
            <w:u w:val="single"/>
          </w:rPr>
          <w:t>R033</w:t>
        </w:r>
      </w:hyperlink>
      <w:r>
        <w:t xml:space="preserve">; </w:t>
      </w:r>
      <w:hyperlink r:id="rId69">
        <w:r>
          <w:rPr>
            <w:color w:val="156E93"/>
            <w:u w:val="single"/>
          </w:rPr>
          <w:t>R033: права</w:t>
        </w:r>
      </w:hyperlink>
      <w:r>
        <w:t>]</w:t>
      </w:r>
    </w:p>
    <w:p>
      <w:r>
        <w:t>Textos andinos I (2004, 435 с., 22 документа) и II (2010, 473 с., 43 документа) — важные защищённые научные издания, доступные через официальные страницы Instituto Iberoamericano de Finlandia. Для первого тома обнаружено расхождение: издательская страница повторяет часть данных второго; сведения первого сверены по академической рецензии. Тома не заменены случайными открытыми пересказами или неавторизованными PDF.</w:t>
      </w:r>
      <w:r>
        <w:t xml:space="preserve">  [</w:t>
      </w:r>
      <w:hyperlink r:id="rId38">
        <w:r>
          <w:rPr>
            <w:color w:val="156E93"/>
            <w:u w:val="single"/>
          </w:rPr>
          <w:t>R030</w:t>
        </w:r>
      </w:hyperlink>
      <w:r>
        <w:t xml:space="preserve">; </w:t>
      </w:r>
      <w:hyperlink r:id="rId39">
        <w:r>
          <w:rPr>
            <w:color w:val="156E93"/>
            <w:u w:val="single"/>
          </w:rPr>
          <w:t>R031</w:t>
        </w:r>
      </w:hyperlink>
      <w:r>
        <w:t>]</w:t>
      </w:r>
    </w:p>
    <w:p>
      <w:r>
        <w:t>Для Relación de los quipucamayos закреплены HathiTrust и скан издания Una antigualla peruana 1892 на Internet Archive. Ранний свидетельский слой связывают с 1542, но дошедшая передача включает позднюю редакцию и компиляцию; это не единый бесспорный автограф 1542. У Google-скана есть собственные указания о персональном/некоммерческом использовании и автоматических запросах: возраст печатного текста не отменяет необходимости их учитывать.</w:t>
      </w:r>
      <w:r>
        <w:t xml:space="preserve">  [</w:t>
      </w:r>
      <w:hyperlink r:id="rId46">
        <w:r>
          <w:rPr>
            <w:color w:val="156E93"/>
            <w:u w:val="single"/>
          </w:rPr>
          <w:t>R052</w:t>
        </w:r>
      </w:hyperlink>
      <w:r>
        <w:t xml:space="preserve">; </w:t>
      </w:r>
      <w:hyperlink r:id="rId70">
        <w:r>
          <w:rPr>
            <w:color w:val="156E93"/>
            <w:u w:val="single"/>
          </w:rPr>
          <w:t>R053</w:t>
        </w:r>
      </w:hyperlink>
      <w:r>
        <w:t>]</w:t>
      </w:r>
    </w:p>
    <w:p>
      <w:r>
        <w:t>Project Gutenberg даёт практически удобные старые тексты: испанский Acosta, том II, и испанскую вторую часть Cieza; старые английские Sarmiento и Cieza. Это читаемые HTML и предлагаемые загрузки, с явно ограниченной американской оценкой public domain и отдельными условиями марки Project Gutenberg. Для Garcilaso есть испанское издание 1723 в Google Books и английская первая часть Markham в двух томах HathiTrust; полная скачиваемость не обещается.</w:t>
      </w:r>
      <w:r>
        <w:t xml:space="preserve">  [</w:t>
      </w:r>
      <w:hyperlink r:id="rId41">
        <w:r>
          <w:rPr>
            <w:color w:val="156E93"/>
            <w:u w:val="single"/>
          </w:rPr>
          <w:t>R037</w:t>
        </w:r>
      </w:hyperlink>
      <w:r>
        <w:t xml:space="preserve">; </w:t>
      </w:r>
      <w:hyperlink r:id="rId42">
        <w:r>
          <w:rPr>
            <w:color w:val="156E93"/>
            <w:u w:val="single"/>
          </w:rPr>
          <w:t>R038</w:t>
        </w:r>
      </w:hyperlink>
      <w:r>
        <w:t xml:space="preserve">; </w:t>
      </w:r>
      <w:hyperlink r:id="rId43">
        <w:r>
          <w:rPr>
            <w:color w:val="156E93"/>
            <w:u w:val="single"/>
          </w:rPr>
          <w:t>R039</w:t>
        </w:r>
      </w:hyperlink>
      <w:r>
        <w:t xml:space="preserve">; </w:t>
      </w:r>
      <w:hyperlink r:id="rId53">
        <w:r>
          <w:rPr>
            <w:color w:val="156E93"/>
            <w:u w:val="single"/>
          </w:rPr>
          <w:t>R040</w:t>
        </w:r>
      </w:hyperlink>
      <w:r>
        <w:t xml:space="preserve">; </w:t>
      </w:r>
      <w:hyperlink r:id="rId44">
        <w:r>
          <w:rPr>
            <w:color w:val="156E93"/>
            <w:u w:val="single"/>
          </w:rPr>
          <w:t>R041</w:t>
        </w:r>
      </w:hyperlink>
      <w:r>
        <w:t xml:space="preserve">; </w:t>
      </w:r>
      <w:hyperlink r:id="rId71">
        <w:r>
          <w:rPr>
            <w:color w:val="156E93"/>
            <w:u w:val="single"/>
          </w:rPr>
          <w:t>R042</w:t>
        </w:r>
      </w:hyperlink>
      <w:r>
        <w:t>]</w:t>
      </w:r>
    </w:p>
    <w:p>
      <w:r>
        <w:t>Современные научные варианты также сохранены: Sarmiento в переводе Bauer/Smith, Acosta в переводе López-Morillas, Cobo в переводе Hamilton и Guaman Poma в переводе Hamilton. У Cobo оглавление прямо выделяет главу о quipos и способах счёта; это выбранная часть Historia del Nuevo Mundo, не весь труд. Русский Garcilaso найден на официальной коммерческой платформе с preview, но тождество переводческой редакции не установлено, поэтому она не названа свободной или определённым старым переводом.</w:t>
      </w:r>
      <w:r>
        <w:t xml:space="preserve">  [</w:t>
      </w:r>
      <w:hyperlink r:id="rId68">
        <w:r>
          <w:rPr>
            <w:color w:val="156E93"/>
            <w:u w:val="single"/>
          </w:rPr>
          <w:t>R029</w:t>
        </w:r>
      </w:hyperlink>
      <w:r>
        <w:t xml:space="preserve">; </w:t>
      </w:r>
      <w:hyperlink r:id="rId72">
        <w:r>
          <w:rPr>
            <w:color w:val="156E93"/>
            <w:u w:val="single"/>
          </w:rPr>
          <w:t>R043</w:t>
        </w:r>
      </w:hyperlink>
      <w:r>
        <w:t xml:space="preserve">; </w:t>
      </w:r>
      <w:hyperlink r:id="rId73">
        <w:r>
          <w:rPr>
            <w:color w:val="156E93"/>
            <w:u w:val="single"/>
          </w:rPr>
          <w:t>R046</w:t>
        </w:r>
      </w:hyperlink>
      <w:r>
        <w:t xml:space="preserve">; </w:t>
      </w:r>
      <w:hyperlink r:id="rId74">
        <w:r>
          <w:rPr>
            <w:color w:val="156E93"/>
            <w:u w:val="single"/>
          </w:rPr>
          <w:t>R059</w:t>
        </w:r>
      </w:hyperlink>
      <w:r>
        <w:t xml:space="preserve">; </w:t>
      </w:r>
      <w:hyperlink r:id="rId49">
        <w:r>
          <w:rPr>
            <w:color w:val="156E93"/>
            <w:u w:val="single"/>
          </w:rPr>
          <w:t>R067</w:t>
        </w:r>
      </w:hyperlink>
      <w:r>
        <w:t>]</w:t>
      </w:r>
    </w:p>
    <w:p>
      <w:r>
        <w:t>Самая чистая база для нового перевода исторического алфавитного слоя — три экземпляра JCB: Arriaga 1621, Bocanegra 1631 и Holguín 1608. JCB прямо распространяет CC BY 4.0 на свои материалы в Internet Archive. У Holguín удалось найти сами статьи о Qquipu, Qquipuni и Qquipucamayok в полном OCR; ошибки распознавания требуют сверки с факсимиле. Это словарная и колониальная терминология, а не чтение содержания шнуров.</w:t>
      </w:r>
      <w:r>
        <w:t xml:space="preserve">  [</w:t>
      </w:r>
      <w:hyperlink r:id="rId45">
        <w:r>
          <w:rPr>
            <w:color w:val="156E93"/>
            <w:u w:val="single"/>
          </w:rPr>
          <w:t>R045</w:t>
        </w:r>
      </w:hyperlink>
      <w:r>
        <w:t xml:space="preserve">; </w:t>
      </w:r>
      <w:hyperlink r:id="rId48">
        <w:r>
          <w:rPr>
            <w:color w:val="156E93"/>
            <w:u w:val="single"/>
          </w:rPr>
          <w:t>R055</w:t>
        </w:r>
      </w:hyperlink>
      <w:r>
        <w:t xml:space="preserve">; </w:t>
      </w:r>
      <w:hyperlink r:id="rId13">
        <w:r>
          <w:rPr>
            <w:color w:val="156E93"/>
            <w:u w:val="single"/>
          </w:rPr>
          <w:t>R066</w:t>
        </w:r>
      </w:hyperlink>
      <w:r>
        <w:t xml:space="preserve">; </w:t>
      </w:r>
      <w:hyperlink r:id="rId75">
        <w:r>
          <w:rPr>
            <w:color w:val="156E93"/>
            <w:u w:val="single"/>
          </w:rPr>
          <w:t>R066: права</w:t>
        </w:r>
      </w:hyperlink>
      <w:r>
        <w:t>]</w:t>
      </w:r>
    </w:p>
    <w:p>
      <w:r>
        <w:br w:type="page"/>
      </w:r>
    </w:p>
    <w:p>
      <w:pPr>
        <w:pStyle w:val="Heading1"/>
      </w:pPr>
      <w:r>
        <w:t>4. Карта прав и практического использования</w:t>
      </w:r>
    </w:p>
    <w:p>
      <w:r>
        <w:t>Практический минимум для всего реестра — законная внешняя ссылка. Повторное использование оценено отдельно по компонентам. Ни древность исходного предмета, ни открытый PDF, ни некоммерческий характер ToS сами по себе не разрешают размещать копию. Положительный тег относится только к указанным rights_scope и coverage; RIGHTS_REVIEW_REQUIRED ограничивает автоматический перенос разрешения на остальные слои.</w:t>
      </w:r>
    </w:p>
    <w:tbl>
      <w:tblPr>
        <w:tblStyle w:val="LightShading-Accent1"/>
        <w:tblW w:type="auto" w:w="0"/>
        <w:tblLayout w:type="fixed"/>
        <w:tblLook w:firstColumn="1" w:firstRow="1" w:lastColumn="0" w:lastRow="0" w:noHBand="0" w:noVBand="1" w:val="04A0"/>
      </w:tblPr>
      <w:tblGrid>
        <w:gridCol w:w="3213"/>
        <w:gridCol w:w="3213"/>
        <w:gridCol w:w="3213"/>
      </w:tblGrid>
      <w:tr>
        <w:trPr>
          <w:tblHeader/>
          <w:cantSplit/>
        </w:trPr>
        <w:tc>
          <w:tcPr>
            <w:tcW w:type="dxa" w:w="2438"/>
            <w:shd w:fill="173F50"/>
          </w:tcPr>
          <w:p>
            <w:r>
              <w:rPr>
                <w:b/>
                <w:color w:val="FFFFFF"/>
                <w:sz w:val="20"/>
              </w:rPr>
              <w:t>Группа</w:t>
            </w:r>
          </w:p>
        </w:tc>
        <w:tc>
          <w:tcPr>
            <w:tcW w:type="dxa" w:w="3628"/>
            <w:shd w:fill="173F50"/>
          </w:tcPr>
          <w:p>
            <w:r>
              <w:rPr>
                <w:b/>
                <w:color w:val="FFFFFF"/>
                <w:sz w:val="20"/>
              </w:rPr>
              <w:t>Что допускается для ToS</w:t>
            </w:r>
          </w:p>
        </w:tc>
        <w:tc>
          <w:tcPr>
            <w:tcW w:type="dxa" w:w="3572"/>
            <w:shd w:fill="173F50"/>
          </w:tcPr>
          <w:p>
            <w:r>
              <w:rPr>
                <w:b/>
                <w:color w:val="FFFFFF"/>
                <w:sz w:val="20"/>
              </w:rPr>
              <w:t>Главная граница</w:t>
            </w:r>
          </w:p>
        </w:tc>
      </w:tr>
      <w:tr>
        <w:trPr>
          <w:cantSplit/>
        </w:trPr>
        <w:tc>
          <w:tcPr>
            <w:tcW w:type="dxa" w:w="2438"/>
          </w:tcPr>
          <w:p>
            <w:pPr>
              <w:spacing w:after="100" w:before="80"/>
            </w:pPr>
            <w:r>
              <w:rPr>
                <w:sz w:val="20"/>
              </w:rPr>
              <w:t>Cleveland CC0; CC0-метаданные NMAI</w:t>
            </w:r>
          </w:p>
        </w:tc>
        <w:tc>
          <w:tcPr>
            <w:tcW w:type="dxa" w:w="3628"/>
          </w:tcPr>
          <w:p>
            <w:pPr>
              <w:spacing w:after="100" w:before="80"/>
            </w:pPr>
            <w:r>
              <w:rPr>
                <w:sz w:val="20"/>
              </w:rPr>
              <w:t>Копирование и переработка подтверждённого открытого слоя; индексы/embeddings в его пределах</w:t>
            </w:r>
          </w:p>
        </w:tc>
        <w:tc>
          <w:tcPr>
            <w:tcW w:type="dxa" w:w="3572"/>
          </w:tcPr>
          <w:p>
            <w:pPr>
              <w:spacing w:after="100" w:before="80"/>
            </w:pPr>
            <w:r>
              <w:rPr>
                <w:sz w:val="20"/>
              </w:rPr>
              <w:t>У NMAI это не фотографии; у Cleveland не все изображения коллекции</w:t>
            </w:r>
          </w:p>
        </w:tc>
      </w:tr>
      <w:tr>
        <w:trPr>
          <w:cantSplit/>
        </w:trPr>
        <w:tc>
          <w:tcPr>
            <w:tcW w:type="dxa" w:w="2438"/>
          </w:tcPr>
          <w:p>
            <w:pPr>
              <w:spacing w:after="100" w:before="80"/>
            </w:pPr>
            <w:r>
              <w:rPr>
                <w:sz w:val="20"/>
              </w:rPr>
              <w:t>JCB CC BY 4.0; Corrections Thompson; CC BY-слой Entablo</w:t>
            </w:r>
          </w:p>
        </w:tc>
        <w:tc>
          <w:tcPr>
            <w:tcW w:type="dxa" w:w="3628"/>
          </w:tcPr>
          <w:p>
            <w:pPr>
              <w:spacing w:after="100" w:before="80"/>
            </w:pPr>
            <w:r>
              <w:rPr>
                <w:sz w:val="20"/>
              </w:rPr>
              <w:t>Зеркало с атрибуцией, OCR, индекс и дальнейшая переработка лицензированного материала</w:t>
            </w:r>
          </w:p>
        </w:tc>
        <w:tc>
          <w:tcPr>
            <w:tcW w:type="dxa" w:w="3572"/>
          </w:tcPr>
          <w:p>
            <w:pPr>
              <w:spacing w:after="100" w:before="80"/>
            </w:pPr>
            <w:r>
              <w:rPr>
                <w:sz w:val="20"/>
              </w:rPr>
              <w:t>Лицензия новой статьи не освобождает чужие иллюстрации и общинный оригинал</w:t>
            </w:r>
          </w:p>
        </w:tc>
      </w:tr>
      <w:tr>
        <w:trPr>
          <w:cantSplit/>
        </w:trPr>
        <w:tc>
          <w:tcPr>
            <w:tcW w:type="dxa" w:w="2438"/>
          </w:tcPr>
          <w:p>
            <w:pPr>
              <w:spacing w:after="100" w:before="80"/>
            </w:pPr>
            <w:r>
              <w:rPr>
                <w:sz w:val="20"/>
              </w:rPr>
              <w:t>KH0631 CC BY-NC 4.0; KBCR CC BY-NC-SA 4.0</w:t>
            </w:r>
          </w:p>
        </w:tc>
        <w:tc>
          <w:tcPr>
            <w:tcW w:type="dxa" w:w="3628"/>
          </w:tcPr>
          <w:p>
            <w:pPr>
              <w:spacing w:after="100" w:before="80"/>
            </w:pPr>
            <w:r>
              <w:rPr>
                <w:sz w:val="20"/>
              </w:rPr>
              <w:t>Некоммерческое использование при атрибуции; для KBCR — ShareAlike</w:t>
            </w:r>
          </w:p>
        </w:tc>
        <w:tc>
          <w:tcPr>
            <w:tcW w:type="dxa" w:w="3572"/>
          </w:tcPr>
          <w:p>
            <w:pPr>
              <w:spacing w:after="100" w:before="80"/>
            </w:pPr>
            <w:r>
              <w:rPr>
                <w:sz w:val="20"/>
              </w:rPr>
              <w:t>Не распространяется на все работы/фото, перечисленные в базе</w:t>
            </w:r>
          </w:p>
        </w:tc>
      </w:tr>
      <w:tr>
        <w:trPr>
          <w:cantSplit/>
        </w:trPr>
        <w:tc>
          <w:tcPr>
            <w:tcW w:type="dxa" w:w="2438"/>
          </w:tcPr>
          <w:p>
            <w:pPr>
              <w:spacing w:after="100" w:before="80"/>
            </w:pPr>
            <w:r>
              <w:rPr>
                <w:sz w:val="20"/>
              </w:rPr>
              <w:t>Penn: изображения по собственным NC-условиям; CSV по CC BY 4.0</w:t>
            </w:r>
          </w:p>
        </w:tc>
        <w:tc>
          <w:tcPr>
            <w:tcW w:type="dxa" w:w="3628"/>
          </w:tcPr>
          <w:p>
            <w:pPr>
              <w:spacing w:after="100" w:before="80"/>
            </w:pPr>
            <w:r>
              <w:rPr>
                <w:sz w:val="20"/>
              </w:rPr>
              <w:t>Раздельное использование фото и метаданных с нужным кредитом</w:t>
            </w:r>
          </w:p>
        </w:tc>
        <w:tc>
          <w:tcPr>
            <w:tcW w:type="dxa" w:w="3572"/>
          </w:tcPr>
          <w:p>
            <w:pPr>
              <w:spacing w:after="100" w:before="80"/>
            </w:pPr>
            <w:r>
              <w:rPr>
                <w:sz w:val="20"/>
              </w:rPr>
              <w:t>Веб-фото не равны заказным высокоразрешённым файлам</w:t>
            </w:r>
          </w:p>
        </w:tc>
      </w:tr>
      <w:tr>
        <w:trPr>
          <w:cantSplit/>
        </w:trPr>
        <w:tc>
          <w:tcPr>
            <w:tcW w:type="dxa" w:w="2438"/>
          </w:tcPr>
          <w:p>
            <w:pPr>
              <w:spacing w:after="100" w:before="80"/>
            </w:pPr>
            <w:r>
              <w:rPr>
                <w:sz w:val="20"/>
              </w:rPr>
              <w:t>MIT khipulab</w:t>
            </w:r>
          </w:p>
        </w:tc>
        <w:tc>
          <w:tcPr>
            <w:tcW w:type="dxa" w:w="3628"/>
          </w:tcPr>
          <w:p>
            <w:pPr>
              <w:spacing w:after="100" w:before="80"/>
            </w:pPr>
            <w:r>
              <w:rPr>
                <w:sz w:val="20"/>
              </w:rPr>
              <w:t>Код и собственная документация с сохранением copyright/permission notice</w:t>
            </w:r>
          </w:p>
        </w:tc>
        <w:tc>
          <w:tcPr>
            <w:tcW w:type="dxa" w:w="3572"/>
          </w:tcPr>
          <w:p>
            <w:pPr>
              <w:spacing w:after="100" w:before="80"/>
            </w:pPr>
            <w:r>
              <w:rPr>
                <w:sz w:val="20"/>
              </w:rPr>
              <w:t>Не безусловная лицензия всех сторонних данных и музейных фотографий</w:t>
            </w:r>
          </w:p>
        </w:tc>
      </w:tr>
      <w:tr>
        <w:trPr>
          <w:cantSplit/>
        </w:trPr>
        <w:tc>
          <w:tcPr>
            <w:tcW w:type="dxa" w:w="2438"/>
          </w:tcPr>
          <w:p>
            <w:pPr>
              <w:spacing w:after="100" w:before="80"/>
            </w:pPr>
            <w:r>
              <w:rPr>
                <w:sz w:val="20"/>
              </w:rPr>
              <w:t>Gutenberg / старые сканы</w:t>
            </w:r>
          </w:p>
        </w:tc>
        <w:tc>
          <w:tcPr>
            <w:tcW w:type="dxa" w:w="3628"/>
          </w:tcPr>
          <w:p>
            <w:pPr>
              <w:spacing w:after="100" w:before="80"/>
            </w:pPr>
            <w:r>
              <w:rPr>
                <w:sz w:val="20"/>
              </w:rPr>
              <w:t>Чтение; у проверенных PG-текстов повторное использование с американской оговоркой</w:t>
            </w:r>
          </w:p>
        </w:tc>
        <w:tc>
          <w:tcPr>
            <w:tcW w:type="dxa" w:w="3572"/>
          </w:tcPr>
          <w:p>
            <w:pPr>
              <w:spacing w:after="100" w:before="80"/>
            </w:pPr>
            <w:r>
              <w:rPr>
                <w:sz w:val="20"/>
              </w:rPr>
              <w:t>Юрисдикция, товарный знак, условия платформы и новый редакторский аппарат</w:t>
            </w:r>
          </w:p>
        </w:tc>
      </w:tr>
      <w:tr>
        <w:trPr>
          <w:cantSplit/>
        </w:trPr>
        <w:tc>
          <w:tcPr>
            <w:tcW w:type="dxa" w:w="2438"/>
          </w:tcPr>
          <w:p>
            <w:pPr>
              <w:spacing w:after="100" w:before="80"/>
            </w:pPr>
            <w:r>
              <w:rPr>
                <w:sz w:val="20"/>
              </w:rPr>
              <w:t>PUCP, Cornell, St Andrews/Duke, современные издательства</w:t>
            </w:r>
          </w:p>
        </w:tc>
        <w:tc>
          <w:tcPr>
            <w:tcW w:type="dxa" w:w="3628"/>
          </w:tcPr>
          <w:p>
            <w:pPr>
              <w:spacing w:after="100" w:before="80"/>
            </w:pPr>
            <w:r>
              <w:rPr>
                <w:sz w:val="20"/>
              </w:rPr>
              <w:t>Чтение/предлагаемая загрузка/preview/покупка в пределах подтверждённого доступа</w:t>
            </w:r>
          </w:p>
        </w:tc>
        <w:tc>
          <w:tcPr>
            <w:tcW w:type="dxa" w:w="3572"/>
          </w:tcPr>
          <w:p>
            <w:pPr>
              <w:spacing w:after="100" w:before="80"/>
            </w:pPr>
            <w:r>
              <w:rPr>
                <w:sz w:val="20"/>
              </w:rPr>
              <w:t>Открытость страницы не разрешает ToS зеркало, публичный индекс или embeddings</w:t>
            </w:r>
          </w:p>
        </w:tc>
      </w:tr>
    </w:tbl>
    <w:p>
      <w:r>
        <w:t>Основания таблицы — официальные лицензии и условия конкретных записей, а не поисковые пересказы.</w:t>
      </w:r>
      <w:r>
        <w:t xml:space="preserve">  [</w:t>
      </w:r>
      <w:hyperlink r:id="rId76">
        <w:r>
          <w:rPr>
            <w:color w:val="156E93"/>
            <w:u w:val="single"/>
          </w:rPr>
          <w:t>R002: права</w:t>
        </w:r>
      </w:hyperlink>
      <w:r>
        <w:t xml:space="preserve">; </w:t>
      </w:r>
      <w:hyperlink r:id="rId14">
        <w:r>
          <w:rPr>
            <w:color w:val="156E93"/>
            <w:u w:val="single"/>
          </w:rPr>
          <w:t>R006: права</w:t>
        </w:r>
      </w:hyperlink>
      <w:r>
        <w:t xml:space="preserve">; </w:t>
      </w:r>
      <w:hyperlink r:id="rId61">
        <w:r>
          <w:rPr>
            <w:color w:val="156E93"/>
            <w:u w:val="single"/>
          </w:rPr>
          <w:t>R007: права</w:t>
        </w:r>
      </w:hyperlink>
      <w:r>
        <w:t xml:space="preserve">; </w:t>
      </w:r>
      <w:hyperlink r:id="rId20">
        <w:r>
          <w:rPr>
            <w:color w:val="156E93"/>
            <w:u w:val="single"/>
          </w:rPr>
          <w:t>R009: права</w:t>
        </w:r>
      </w:hyperlink>
      <w:r>
        <w:t xml:space="preserve">; </w:t>
      </w:r>
      <w:hyperlink r:id="rId15">
        <w:r>
          <w:rPr>
            <w:color w:val="156E93"/>
            <w:u w:val="single"/>
          </w:rPr>
          <w:t>R025: права</w:t>
        </w:r>
      </w:hyperlink>
      <w:r>
        <w:t xml:space="preserve">; </w:t>
      </w:r>
      <w:hyperlink r:id="rId69">
        <w:r>
          <w:rPr>
            <w:color w:val="156E93"/>
            <w:u w:val="single"/>
          </w:rPr>
          <w:t>R033: права</w:t>
        </w:r>
      </w:hyperlink>
      <w:r>
        <w:t xml:space="preserve">; </w:t>
      </w:r>
      <w:hyperlink r:id="rId58">
        <w:r>
          <w:rPr>
            <w:color w:val="156E93"/>
            <w:u w:val="single"/>
          </w:rPr>
          <w:t>R036: права</w:t>
        </w:r>
      </w:hyperlink>
      <w:r>
        <w:t xml:space="preserve">; </w:t>
      </w:r>
      <w:hyperlink r:id="rId41">
        <w:r>
          <w:rPr>
            <w:color w:val="156E93"/>
            <w:u w:val="single"/>
          </w:rPr>
          <w:t>R037: права</w:t>
        </w:r>
      </w:hyperlink>
      <w:r>
        <w:t xml:space="preserve">; </w:t>
      </w:r>
      <w:hyperlink r:id="rId65">
        <w:r>
          <w:rPr>
            <w:color w:val="156E93"/>
            <w:u w:val="single"/>
          </w:rPr>
          <w:t>R050: права</w:t>
        </w:r>
      </w:hyperlink>
      <w:r>
        <w:t xml:space="preserve">; </w:t>
      </w:r>
      <w:hyperlink r:id="rId17">
        <w:r>
          <w:rPr>
            <w:color w:val="156E93"/>
            <w:u w:val="single"/>
          </w:rPr>
          <w:t>R051: права</w:t>
        </w:r>
      </w:hyperlink>
      <w:r>
        <w:t xml:space="preserve">; </w:t>
      </w:r>
      <w:hyperlink r:id="rId12">
        <w:r>
          <w:rPr>
            <w:color w:val="156E93"/>
            <w:u w:val="single"/>
          </w:rPr>
          <w:t>R063: права</w:t>
        </w:r>
      </w:hyperlink>
      <w:r>
        <w:t xml:space="preserve">; </w:t>
      </w:r>
      <w:hyperlink r:id="rId59">
        <w:r>
          <w:rPr>
            <w:color w:val="156E93"/>
            <w:u w:val="single"/>
          </w:rPr>
          <w:t>R065: права</w:t>
        </w:r>
      </w:hyperlink>
      <w:r>
        <w:t xml:space="preserve">; </w:t>
      </w:r>
      <w:hyperlink r:id="rId75">
        <w:r>
          <w:rPr>
            <w:color w:val="156E93"/>
            <w:u w:val="single"/>
          </w:rPr>
          <w:t>R066: права</w:t>
        </w:r>
      </w:hyperlink>
      <w:r>
        <w:t>]</w:t>
      </w:r>
    </w:p>
    <w:p>
      <w:pPr>
        <w:pStyle w:val="Heading2"/>
      </w:pPr>
      <w:r>
        <w:t>OCR, полнотекстовый индекс и embeddings</w:t>
      </w:r>
    </w:p>
    <w:p>
      <w:r>
        <w:t>Эти действия не объединены в одно разрешение. Для алфавитных факсимиле JCB и явно лицензированного авторского текста разрешён OCR; для музейных CC0-метаданных — индекс и embeddings, но «OCR кипу» не используется как синоним дешифровки узлов. Для фотографии Cleveland возможна работа с визуальными признаками; полнотекстовая индексация там относится к описательным метаданным.</w:t>
      </w:r>
      <w:r>
        <w:t xml:space="preserve">  [</w:t>
      </w:r>
      <w:hyperlink r:id="rId45">
        <w:r>
          <w:rPr>
            <w:color w:val="156E93"/>
            <w:u w:val="single"/>
          </w:rPr>
          <w:t>R045</w:t>
        </w:r>
      </w:hyperlink>
      <w:r>
        <w:t xml:space="preserve">; </w:t>
      </w:r>
      <w:hyperlink r:id="rId48">
        <w:r>
          <w:rPr>
            <w:color w:val="156E93"/>
            <w:u w:val="single"/>
          </w:rPr>
          <w:t>R055</w:t>
        </w:r>
      </w:hyperlink>
      <w:r>
        <w:t xml:space="preserve">; </w:t>
      </w:r>
      <w:hyperlink r:id="rId12">
        <w:r>
          <w:rPr>
            <w:color w:val="156E93"/>
            <w:u w:val="single"/>
          </w:rPr>
          <w:t>R063</w:t>
        </w:r>
      </w:hyperlink>
      <w:r>
        <w:t xml:space="preserve">; </w:t>
      </w:r>
      <w:hyperlink r:id="rId64">
        <w:r>
          <w:rPr>
            <w:color w:val="156E93"/>
            <w:u w:val="single"/>
          </w:rPr>
          <w:t>R064</w:t>
        </w:r>
      </w:hyperlink>
      <w:r>
        <w:t xml:space="preserve">; </w:t>
      </w:r>
      <w:hyperlink r:id="rId13">
        <w:r>
          <w:rPr>
            <w:color w:val="156E93"/>
            <w:u w:val="single"/>
          </w:rPr>
          <w:t>R066</w:t>
        </w:r>
      </w:hyperlink>
      <w:r>
        <w:t>]</w:t>
      </w:r>
    </w:p>
    <w:p>
      <w:r>
        <w:t>Для защищённых публикаций — например Ascher, El quipu colonial, Mangas 2014, The Cord Keepers и Yumani AAM — локальная исследовательская копия не означает право на публичный full-text index или массовую обработку и распространение результатов. Такие действия оставлены на отдельную правовую проверку. Некоммерческая лицензия позволяет полезные сценарии ToS, но не должна автоматически переноситься на будущий коммерческий сервис.</w:t>
      </w:r>
      <w:r>
        <w:t xml:space="preserve">  [</w:t>
      </w:r>
      <w:hyperlink r:id="rId50">
        <w:r>
          <w:rPr>
            <w:color w:val="156E93"/>
            <w:u w:val="single"/>
          </w:rPr>
          <w:t>R004</w:t>
        </w:r>
      </w:hyperlink>
      <w:r>
        <w:t xml:space="preserve">; </w:t>
      </w:r>
      <w:hyperlink r:id="rId50">
        <w:r>
          <w:rPr>
            <w:color w:val="156E93"/>
            <w:u w:val="single"/>
          </w:rPr>
          <w:t>R005</w:t>
        </w:r>
      </w:hyperlink>
      <w:r>
        <w:t xml:space="preserve">; </w:t>
      </w:r>
      <w:hyperlink r:id="rId28">
        <w:r>
          <w:rPr>
            <w:color w:val="156E93"/>
            <w:u w:val="single"/>
          </w:rPr>
          <w:t>R024</w:t>
        </w:r>
      </w:hyperlink>
      <w:r>
        <w:t xml:space="preserve">; </w:t>
      </w:r>
      <w:hyperlink r:id="rId16">
        <w:r>
          <w:rPr>
            <w:color w:val="156E93"/>
            <w:u w:val="single"/>
          </w:rPr>
          <w:t>R033</w:t>
        </w:r>
      </w:hyperlink>
      <w:r>
        <w:t xml:space="preserve">; </w:t>
      </w:r>
      <w:hyperlink r:id="rId57">
        <w:r>
          <w:rPr>
            <w:color w:val="156E93"/>
            <w:u w:val="single"/>
          </w:rPr>
          <w:t>R035</w:t>
        </w:r>
      </w:hyperlink>
      <w:r>
        <w:t xml:space="preserve">; </w:t>
      </w:r>
      <w:hyperlink r:id="rId59">
        <w:r>
          <w:rPr>
            <w:color w:val="156E93"/>
            <w:u w:val="single"/>
          </w:rPr>
          <w:t>R065</w:t>
        </w:r>
      </w:hyperlink>
      <w:r>
        <w:t>]</w:t>
      </w:r>
    </w:p>
    <w:p>
      <w:pPr>
        <w:pStyle w:val="Heading2"/>
      </w:pPr>
      <w:r>
        <w:t>Где возможен собственный перевод</w:t>
      </w:r>
    </w:p>
    <w:p>
      <w:r>
        <w:t>OWN_TRANSLATION_POSSIBLE присвоен пяти записям: испанскому тому Acosta в PG (R037), испанской второй части Cieza (R040), экземплярам JCB Bocanegra (R045), Arriaga (R055) и Holguín (R066). Для PG это вывод в пределах американского статуса и конкретной цифровой версии; для JCB — исторический оригинал и лицензированная репродукция. Объём перевода ограничен реально доступным томом/частью/свидетелем.</w:t>
      </w:r>
      <w:r>
        <w:t xml:space="preserve">  [</w:t>
      </w:r>
      <w:hyperlink r:id="rId41">
        <w:r>
          <w:rPr>
            <w:color w:val="156E93"/>
            <w:u w:val="single"/>
          </w:rPr>
          <w:t>R037</w:t>
        </w:r>
      </w:hyperlink>
      <w:r>
        <w:t xml:space="preserve">; </w:t>
      </w:r>
      <w:hyperlink r:id="rId53">
        <w:r>
          <w:rPr>
            <w:color w:val="156E93"/>
            <w:u w:val="single"/>
          </w:rPr>
          <w:t>R040</w:t>
        </w:r>
      </w:hyperlink>
      <w:r>
        <w:t xml:space="preserve">; </w:t>
      </w:r>
      <w:hyperlink r:id="rId45">
        <w:r>
          <w:rPr>
            <w:color w:val="156E93"/>
            <w:u w:val="single"/>
          </w:rPr>
          <w:t>R045</w:t>
        </w:r>
      </w:hyperlink>
      <w:r>
        <w:t xml:space="preserve">; </w:t>
      </w:r>
      <w:hyperlink r:id="rId48">
        <w:r>
          <w:rPr>
            <w:color w:val="156E93"/>
            <w:u w:val="single"/>
          </w:rPr>
          <w:t>R055</w:t>
        </w:r>
      </w:hyperlink>
      <w:r>
        <w:t xml:space="preserve">; </w:t>
      </w:r>
      <w:hyperlink r:id="rId13">
        <w:r>
          <w:rPr>
            <w:color w:val="156E93"/>
            <w:u w:val="single"/>
          </w:rPr>
          <w:t>R066</w:t>
        </w:r>
      </w:hyperlink>
      <w:r>
        <w:t>]</w:t>
      </w:r>
    </w:p>
    <w:p>
      <w:r>
        <w:t>Тег не присвоен никакому шнуровому кипу. Свободная фотография не предоставляет утраченный словесный ключ. Современный английский или русский перевод также не превращается в чистый оригинальный слой для независимого нового перевода. Защищённую реконструкцию, транскрипцию и аппарат нельзя молча выдавать за собственную работу только потому, что исходный документ древний.</w:t>
      </w:r>
    </w:p>
    <w:p>
      <w:r>
        <w:t>Проверенного общего маршрута Controlled Digital Lending, бесплатной регистрации для выдачи конкретной книги или безусловного full-book download через HathiTrust в этом запуске не установлено. Поэтому такие возможности не добавлены как фиктивные теги. Сохранены подтверждённые институциональные и покупные пути; условия конкретной библиотеки могут дать дополнительные варианты после отдельной проверки.</w:t>
      </w:r>
    </w:p>
    <w:p>
      <w:pPr>
        <w:pStyle w:val="Heading1"/>
      </w:pPr>
      <w:r>
        <w:t>5. Характерные правовые и источниковые тонкости</w:t>
      </w:r>
    </w:p>
    <w:p>
      <w:pPr>
        <w:pStyle w:val="Heading2"/>
      </w:pPr>
      <w:r>
        <w:t>Лицензия компонента важнее имени портала</w:t>
      </w:r>
    </w:p>
    <w:p>
      <w:r>
        <w:t>У NMAI открыты метаданные, но фотографии ограничены; у Penn CSV и изображения регулируются по-разному; MIT в khipulab не очищает чужие музейные снимки; CC BY статьи об Entablo не охватывает неопубликованную общинную книгу. У JCB заголовок раздела «Noncommercial Use» не означает NC-лицензию: текст прямо указывает CC BY 4.0 и допускает коммерческое применение. Поэтому в реестр перенесено фактическое условие, а не заголовок.</w:t>
      </w:r>
      <w:r>
        <w:t xml:space="preserve">  [</w:t>
      </w:r>
      <w:hyperlink r:id="rId76">
        <w:r>
          <w:rPr>
            <w:color w:val="156E93"/>
            <w:u w:val="single"/>
          </w:rPr>
          <w:t>R002: права</w:t>
        </w:r>
      </w:hyperlink>
      <w:r>
        <w:t xml:space="preserve">; </w:t>
      </w:r>
      <w:hyperlink r:id="rId15">
        <w:r>
          <w:rPr>
            <w:color w:val="156E93"/>
            <w:u w:val="single"/>
          </w:rPr>
          <w:t>R025: права</w:t>
        </w:r>
      </w:hyperlink>
      <w:r>
        <w:t xml:space="preserve">; </w:t>
      </w:r>
      <w:hyperlink r:id="rId58">
        <w:r>
          <w:rPr>
            <w:color w:val="156E93"/>
            <w:u w:val="single"/>
          </w:rPr>
          <w:t>R036: права</w:t>
        </w:r>
      </w:hyperlink>
      <w:r>
        <w:t xml:space="preserve">; </w:t>
      </w:r>
      <w:hyperlink r:id="rId65">
        <w:r>
          <w:rPr>
            <w:color w:val="156E93"/>
            <w:u w:val="single"/>
          </w:rPr>
          <w:t>R050: права</w:t>
        </w:r>
      </w:hyperlink>
      <w:r>
        <w:t xml:space="preserve">; </w:t>
      </w:r>
      <w:hyperlink r:id="rId17">
        <w:r>
          <w:rPr>
            <w:color w:val="156E93"/>
            <w:u w:val="single"/>
          </w:rPr>
          <w:t>R051: права</w:t>
        </w:r>
      </w:hyperlink>
      <w:r>
        <w:t xml:space="preserve">; </w:t>
      </w:r>
      <w:hyperlink r:id="rId75">
        <w:r>
          <w:rPr>
            <w:color w:val="156E93"/>
            <w:u w:val="single"/>
          </w:rPr>
          <w:t>R066: права</w:t>
        </w:r>
      </w:hyperlink>
      <w:r>
        <w:t>]</w:t>
      </w:r>
    </w:p>
    <w:p>
      <w:r>
        <w:t>Пример противоположной ловушки — PUCP: репозиторная помета openAccess означает доступ к файлу, однако сам PDF El quipu colonial запрещает воспроизведение без разрешения. Авторизованный университетский депозит Yumani также прямо требует отдельного разрешения на дальнейшее использование. Авторизация хранения у репозитория не равна передаче этой авторизации ToS.</w:t>
      </w:r>
      <w:r>
        <w:t xml:space="preserve">  [</w:t>
      </w:r>
      <w:hyperlink r:id="rId69">
        <w:r>
          <w:rPr>
            <w:color w:val="156E93"/>
            <w:u w:val="single"/>
          </w:rPr>
          <w:t>R033: права</w:t>
        </w:r>
      </w:hyperlink>
      <w:r>
        <w:t xml:space="preserve">; </w:t>
      </w:r>
      <w:hyperlink r:id="rId59">
        <w:r>
          <w:rPr>
            <w:color w:val="156E93"/>
            <w:u w:val="single"/>
          </w:rPr>
          <w:t>R065: права</w:t>
        </w:r>
      </w:hyperlink>
      <w:r>
        <w:t>]</w:t>
      </w:r>
    </w:p>
    <w:p>
      <w:pPr>
        <w:pStyle w:val="Heading2"/>
      </w:pPr>
      <w:r>
        <w:t>Даты платформы, редакции и физического предмета не совпадают</w:t>
      </w:r>
    </w:p>
    <w:p>
      <w:r>
        <w:t>Для Laguna статья опубликована в 2001, хотя платформа показывает более позднее онлайн-размещение; Wari-статья относится к 2014, не к дате её миграции на сайт. Статья об Entablo — 2021, не новое произведение 2022. Mangas по институциональной экспозиции — XIX век: в отчёте уточнена её роль как свидетельства позднего продолжения, но исходный DR не редактировался. Brokaw Poetics оставлен в gaps с оговоркой о библиографическом 2003, а не платформенном 2022.</w:t>
      </w:r>
      <w:r>
        <w:t xml:space="preserve">  [</w:t>
      </w:r>
      <w:hyperlink r:id="rId26">
        <w:r>
          <w:rPr>
            <w:color w:val="156E93"/>
            <w:u w:val="single"/>
          </w:rPr>
          <w:t>R016</w:t>
        </w:r>
      </w:hyperlink>
      <w:r>
        <w:t xml:space="preserve">; </w:t>
      </w:r>
      <w:hyperlink r:id="rId54">
        <w:r>
          <w:rPr>
            <w:color w:val="156E93"/>
            <w:u w:val="single"/>
          </w:rPr>
          <w:t>R020</w:t>
        </w:r>
      </w:hyperlink>
      <w:r>
        <w:t xml:space="preserve">; </w:t>
      </w:r>
      <w:hyperlink r:id="rId28">
        <w:r>
          <w:rPr>
            <w:color w:val="156E93"/>
            <w:u w:val="single"/>
          </w:rPr>
          <w:t>R024</w:t>
        </w:r>
      </w:hyperlink>
      <w:r>
        <w:t xml:space="preserve">; </w:t>
      </w:r>
      <w:hyperlink r:id="rId58">
        <w:r>
          <w:rPr>
            <w:color w:val="156E93"/>
            <w:u w:val="single"/>
          </w:rPr>
          <w:t>R036</w:t>
        </w:r>
      </w:hyperlink>
      <w:r>
        <w:t xml:space="preserve">; </w:t>
      </w:r>
      <w:hyperlink r:id="rId52">
        <w:r>
          <w:rPr>
            <w:color w:val="156E93"/>
            <w:u w:val="single"/>
          </w:rPr>
          <w:t>R056</w:t>
        </w:r>
      </w:hyperlink>
      <w:r>
        <w:t>]</w:t>
      </w:r>
    </w:p>
    <w:p>
      <w:r>
        <w:t>Полнота также требует отдельного масштаба: полный PDF статьи может содержать только выбранные снимки предмета; полный том — лишь часть хроники; полный архив выпуска OKR — не все кипу мира. Hamilton переводит первую треть Guaman Poma; Markham 1869–1871 — первую часть Garcilaso; цифровой том Acosta II — не вся Historia natural y moral. Эти границы сохранены в coverage и notes.</w:t>
      </w:r>
      <w:r>
        <w:t xml:space="preserve">  [</w:t>
      </w:r>
      <w:hyperlink r:id="rId11">
        <w:r>
          <w:rPr>
            <w:color w:val="156E93"/>
            <w:u w:val="single"/>
          </w:rPr>
          <w:t>R001</w:t>
        </w:r>
      </w:hyperlink>
      <w:r>
        <w:t xml:space="preserve">; </w:t>
      </w:r>
      <w:hyperlink r:id="rId68">
        <w:r>
          <w:rPr>
            <w:color w:val="156E93"/>
            <w:u w:val="single"/>
          </w:rPr>
          <w:t>R029</w:t>
        </w:r>
      </w:hyperlink>
      <w:r>
        <w:t xml:space="preserve">; </w:t>
      </w:r>
      <w:hyperlink r:id="rId41">
        <w:r>
          <w:rPr>
            <w:color w:val="156E93"/>
            <w:u w:val="single"/>
          </w:rPr>
          <w:t>R037</w:t>
        </w:r>
      </w:hyperlink>
      <w:r>
        <w:t xml:space="preserve">; </w:t>
      </w:r>
      <w:hyperlink r:id="rId71">
        <w:r>
          <w:rPr>
            <w:color w:val="156E93"/>
            <w:u w:val="single"/>
          </w:rPr>
          <w:t>R042</w:t>
        </w:r>
      </w:hyperlink>
      <w:r>
        <w:t>]</w:t>
      </w:r>
    </w:p>
    <w:p>
      <w:pPr>
        <w:pStyle w:val="Heading2"/>
      </w:pPr>
      <w:r>
        <w:t>Платформенные оговорки и техническая проверка</w:t>
      </w:r>
    </w:p>
    <w:p>
      <w:r>
        <w:t>Public Domain Mark в Commons не называется лицензией. Американский public domain у PG и старых печатных изданий не выдаётся за универсальную оценку во всех странах. У Google-сканов отдельно фиксируются notice, водяные знаки и ограничения автоматических запросов. Официальный депозит IA принят только после проверки библиотеки-источника и издания; само размещение на IA не послужило доказательством прав.</w:t>
      </w:r>
      <w:r>
        <w:t xml:space="preserve">  [</w:t>
      </w:r>
      <w:hyperlink r:id="rId18">
        <w:r>
          <w:rPr>
            <w:color w:val="156E93"/>
            <w:u w:val="single"/>
          </w:rPr>
          <w:t>R028</w:t>
        </w:r>
      </w:hyperlink>
      <w:r>
        <w:t xml:space="preserve">; </w:t>
      </w:r>
      <w:hyperlink r:id="rId41">
        <w:r>
          <w:rPr>
            <w:color w:val="156E93"/>
            <w:u w:val="single"/>
          </w:rPr>
          <w:t>R037</w:t>
        </w:r>
      </w:hyperlink>
      <w:r>
        <w:t xml:space="preserve">; </w:t>
      </w:r>
      <w:hyperlink r:id="rId44">
        <w:r>
          <w:rPr>
            <w:color w:val="156E93"/>
            <w:u w:val="single"/>
          </w:rPr>
          <w:t>R041</w:t>
        </w:r>
      </w:hyperlink>
      <w:r>
        <w:t xml:space="preserve">; </w:t>
      </w:r>
      <w:hyperlink r:id="rId70">
        <w:r>
          <w:rPr>
            <w:color w:val="156E93"/>
            <w:u w:val="single"/>
          </w:rPr>
          <w:t>R053</w:t>
        </w:r>
      </w:hyperlink>
      <w:r>
        <w:t xml:space="preserve">; </w:t>
      </w:r>
      <w:hyperlink r:id="rId47">
        <w:r>
          <w:rPr>
            <w:color w:val="156E93"/>
            <w:u w:val="single"/>
          </w:rPr>
          <w:t>R054</w:t>
        </w:r>
      </w:hyperlink>
      <w:r>
        <w:t>]</w:t>
      </w:r>
    </w:p>
    <w:p>
      <w:r>
        <w:t>Для Duke проверялись конкретные главы, а не только книжная карточка: привлекательные отметки Free не дали полного доступа к нужному тексту. Для EY/Apus Graph государственная страница и официальный анонс подтверждают законный бесплатный PDF-маршрут, но сам файл не получен; запись хранит временную недоступность. Для UCSB наличие IIIF URL не подтверждает работоспособность manifest и тем более не означает открытой лицензии.</w:t>
      </w:r>
      <w:r>
        <w:t xml:space="preserve">  [</w:t>
      </w:r>
      <w:hyperlink r:id="rId57">
        <w:r>
          <w:rPr>
            <w:color w:val="156E93"/>
            <w:u w:val="single"/>
          </w:rPr>
          <w:t>R035</w:t>
        </w:r>
      </w:hyperlink>
      <w:r>
        <w:t xml:space="preserve">; </w:t>
      </w:r>
      <w:hyperlink r:id="rId72">
        <w:r>
          <w:rPr>
            <w:color w:val="156E93"/>
            <w:u w:val="single"/>
          </w:rPr>
          <w:t>R043</w:t>
        </w:r>
      </w:hyperlink>
      <w:r>
        <w:t xml:space="preserve">; </w:t>
      </w:r>
      <w:hyperlink r:id="rId77">
        <w:r>
          <w:rPr>
            <w:color w:val="156E93"/>
            <w:u w:val="single"/>
          </w:rPr>
          <w:t>R060</w:t>
        </w:r>
      </w:hyperlink>
      <w:r>
        <w:t xml:space="preserve">; </w:t>
      </w:r>
      <w:hyperlink r:id="rId78">
        <w:r>
          <w:rPr>
            <w:color w:val="156E93"/>
            <w:u w:val="single"/>
          </w:rPr>
          <w:t>R061</w:t>
        </w:r>
      </w:hyperlink>
      <w:r>
        <w:t xml:space="preserve">; </w:t>
      </w:r>
      <w:hyperlink r:id="rId36">
        <w:r>
          <w:rPr>
            <w:color w:val="156E93"/>
            <w:u w:val="single"/>
          </w:rPr>
          <w:t>R068</w:t>
        </w:r>
      </w:hyperlink>
      <w:r>
        <w:t xml:space="preserve">; </w:t>
      </w:r>
      <w:hyperlink r:id="rId37">
        <w:r>
          <w:rPr>
            <w:color w:val="156E93"/>
            <w:u w:val="single"/>
          </w:rPr>
          <w:t>R069</w:t>
        </w:r>
      </w:hyperlink>
      <w:r>
        <w:t>]</w:t>
      </w:r>
    </w:p>
    <w:p>
      <w:pPr>
        <w:pStyle w:val="Heading2"/>
      </w:pPr>
      <w:r>
        <w:t>Общинная сохранность не сводится к copyright</w:t>
      </w:r>
    </w:p>
    <w:p>
      <w:r>
        <w:t>Для Collata, Rapaz, Tupicocha, Entablo и поздних хозяйственных кипу нужно учитывать происхождение, условия доступа исследователей и полномочия общины в отношении публикации архивов. Право использовать уже опубликованную статью не является разрешением раскрыть весь местный архив. Реестр не содержит извлечённых паролей, не использует исторические учётные данные из документов HDAKD и не выполняет обращения к хранителям от имени пользователя.</w:t>
      </w:r>
      <w:r>
        <w:t xml:space="preserve">  [</w:t>
      </w:r>
      <w:hyperlink r:id="rId79">
        <w:r>
          <w:rPr>
            <w:color w:val="156E93"/>
            <w:u w:val="single"/>
          </w:rPr>
          <w:t>R008</w:t>
        </w:r>
      </w:hyperlink>
      <w:r>
        <w:t xml:space="preserve">; </w:t>
      </w:r>
      <w:hyperlink r:id="rId21">
        <w:r>
          <w:rPr>
            <w:color w:val="156E93"/>
            <w:u w:val="single"/>
          </w:rPr>
          <w:t>R010</w:t>
        </w:r>
      </w:hyperlink>
      <w:r>
        <w:t xml:space="preserve">; </w:t>
      </w:r>
      <w:hyperlink r:id="rId55">
        <w:r>
          <w:rPr>
            <w:color w:val="156E93"/>
            <w:u w:val="single"/>
          </w:rPr>
          <w:t>R021</w:t>
        </w:r>
      </w:hyperlink>
      <w:r>
        <w:t xml:space="preserve">; </w:t>
      </w:r>
      <w:hyperlink r:id="rId57">
        <w:r>
          <w:rPr>
            <w:color w:val="156E93"/>
            <w:u w:val="single"/>
          </w:rPr>
          <w:t>R035</w:t>
        </w:r>
      </w:hyperlink>
      <w:r>
        <w:t xml:space="preserve">; </w:t>
      </w:r>
      <w:hyperlink r:id="rId58">
        <w:r>
          <w:rPr>
            <w:color w:val="156E93"/>
            <w:u w:val="single"/>
          </w:rPr>
          <w:t>R036</w:t>
        </w:r>
      </w:hyperlink>
      <w:r>
        <w:t xml:space="preserve">; </w:t>
      </w:r>
      <w:hyperlink r:id="rId59">
        <w:r>
          <w:rPr>
            <w:color w:val="156E93"/>
            <w:u w:val="single"/>
          </w:rPr>
          <w:t>R065</w:t>
        </w:r>
      </w:hyperlink>
      <w:r>
        <w:t>]</w:t>
      </w:r>
    </w:p>
    <w:p>
      <w:r>
        <w:br w:type="page"/>
      </w:r>
    </w:p>
    <w:p>
      <w:pPr>
        <w:pStyle w:val="Heading1"/>
      </w:pPr>
      <w:r>
        <w:t>6. Пробелы и дальнейший поиск</w:t>
      </w:r>
    </w:p>
    <w:p>
      <w:r>
        <w:t>Лист gaps содержит 37 конкретных записей. Это не перечень «несуществующих произведений», а зафиксированные ограничения: неоткрывшийся источник, неопределённая версия, неполный предметный охват, отсутствующий оригинал, неустановленная лицензия или кандидат, подтверждённый пока недостаточно. Исследование не объявляется исчерпывающим: новые предметные входы продолжали появляться, а отдельные сайты ограничивали загрузку.</w:t>
      </w:r>
    </w:p>
    <w:p>
      <w:r>
        <w:t>Наиболее существенные ограничения ядра — отсутствие проверенных полных фотосерий Inkawasi/Laguna, исходного Padrón de Recuayes, полного дневника Ttio, всех музейных Wari-карточек и открытой общей политики повторного использования структурных данных KFG/частей OKR. У Guaman Poma официальный полный viewer не загрузился; у Collata не получен полный PDF; у Berlin и ряда Dumbarton Oaks страниц — техническая недоступность.</w:t>
      </w:r>
      <w:r>
        <w:t xml:space="preserve">  [</w:t>
      </w:r>
      <w:hyperlink r:id="rId11">
        <w:r>
          <w:rPr>
            <w:color w:val="156E93"/>
            <w:u w:val="single"/>
          </w:rPr>
          <w:t>R001</w:t>
        </w:r>
      </w:hyperlink>
      <w:r>
        <w:t xml:space="preserve">; </w:t>
      </w:r>
      <w:hyperlink r:id="rId60">
        <w:r>
          <w:rPr>
            <w:color w:val="156E93"/>
            <w:u w:val="single"/>
          </w:rPr>
          <w:t>R003</w:t>
        </w:r>
      </w:hyperlink>
      <w:r>
        <w:t xml:space="preserve">; </w:t>
      </w:r>
      <w:hyperlink r:id="rId21">
        <w:r>
          <w:rPr>
            <w:color w:val="156E93"/>
            <w:u w:val="single"/>
          </w:rPr>
          <w:t>R010</w:t>
        </w:r>
      </w:hyperlink>
      <w:r>
        <w:t xml:space="preserve">; </w:t>
      </w:r>
      <w:hyperlink r:id="rId23">
        <w:r>
          <w:rPr>
            <w:color w:val="156E93"/>
            <w:u w:val="single"/>
          </w:rPr>
          <w:t>R012</w:t>
        </w:r>
      </w:hyperlink>
      <w:r>
        <w:t xml:space="preserve">; </w:t>
      </w:r>
      <w:hyperlink r:id="rId24">
        <w:r>
          <w:rPr>
            <w:color w:val="156E93"/>
            <w:u w:val="single"/>
          </w:rPr>
          <w:t>R013</w:t>
        </w:r>
      </w:hyperlink>
      <w:r>
        <w:t xml:space="preserve">; </w:t>
      </w:r>
      <w:hyperlink r:id="rId80">
        <w:r>
          <w:rPr>
            <w:color w:val="156E93"/>
            <w:u w:val="single"/>
          </w:rPr>
          <w:t>R014</w:t>
        </w:r>
      </w:hyperlink>
      <w:r>
        <w:t xml:space="preserve">; </w:t>
      </w:r>
      <w:hyperlink r:id="rId33">
        <w:r>
          <w:rPr>
            <w:color w:val="156E93"/>
            <w:u w:val="single"/>
          </w:rPr>
          <w:t>R019</w:t>
        </w:r>
      </w:hyperlink>
      <w:r>
        <w:t xml:space="preserve">; </w:t>
      </w:r>
      <w:hyperlink r:id="rId56">
        <w:r>
          <w:rPr>
            <w:color w:val="156E93"/>
            <w:u w:val="single"/>
          </w:rPr>
          <w:t>R022</w:t>
        </w:r>
      </w:hyperlink>
      <w:r>
        <w:t xml:space="preserve">; </w:t>
      </w:r>
      <w:hyperlink r:id="rId29">
        <w:r>
          <w:rPr>
            <w:color w:val="156E93"/>
            <w:u w:val="single"/>
          </w:rPr>
          <w:t>R026</w:t>
        </w:r>
      </w:hyperlink>
      <w:r>
        <w:t xml:space="preserve">; </w:t>
      </w:r>
      <w:hyperlink r:id="rId52">
        <w:r>
          <w:rPr>
            <w:color w:val="156E93"/>
            <w:u w:val="single"/>
          </w:rPr>
          <w:t>R056</w:t>
        </w:r>
      </w:hyperlink>
      <w:r>
        <w:t>]</w:t>
      </w:r>
    </w:p>
    <w:p>
      <w:r>
        <w:t>Платный/институциональный слой остаётся значимым: Textos andinos I–II, Inkawasi и Wari статьи, современные переводы, The Cord Keepers, Narrative Threads. Неоднозначные права сохраняются и у бесплатных материалов: Ascher, Getty Murúa, старые сканы с платформенными условиями, Mangas и современный авторский депозит Yumani. Русская редакция Garcilaso требует подтверждения переводчика и состава.</w:t>
      </w:r>
      <w:r>
        <w:t xml:space="preserve">  [</w:t>
      </w:r>
      <w:hyperlink r:id="rId50">
        <w:r>
          <w:rPr>
            <w:color w:val="156E93"/>
            <w:u w:val="single"/>
          </w:rPr>
          <w:t>R004</w:t>
        </w:r>
      </w:hyperlink>
      <w:r>
        <w:t xml:space="preserve">; </w:t>
      </w:r>
      <w:hyperlink r:id="rId50">
        <w:r>
          <w:rPr>
            <w:color w:val="156E93"/>
            <w:u w:val="single"/>
          </w:rPr>
          <w:t>R005</w:t>
        </w:r>
      </w:hyperlink>
      <w:r>
        <w:t xml:space="preserve">; </w:t>
      </w:r>
      <w:hyperlink r:id="rId25">
        <w:r>
          <w:rPr>
            <w:color w:val="156E93"/>
            <w:u w:val="single"/>
          </w:rPr>
          <w:t>R015</w:t>
        </w:r>
      </w:hyperlink>
      <w:r>
        <w:t xml:space="preserve">; </w:t>
      </w:r>
      <w:hyperlink r:id="rId28">
        <w:r>
          <w:rPr>
            <w:color w:val="156E93"/>
            <w:u w:val="single"/>
          </w:rPr>
          <w:t>R024</w:t>
        </w:r>
      </w:hyperlink>
      <w:r>
        <w:t xml:space="preserve">; </w:t>
      </w:r>
      <w:hyperlink r:id="rId38">
        <w:r>
          <w:rPr>
            <w:color w:val="156E93"/>
            <w:u w:val="single"/>
          </w:rPr>
          <w:t>R030</w:t>
        </w:r>
      </w:hyperlink>
      <w:r>
        <w:t xml:space="preserve">; </w:t>
      </w:r>
      <w:hyperlink r:id="rId39">
        <w:r>
          <w:rPr>
            <w:color w:val="156E93"/>
            <w:u w:val="single"/>
          </w:rPr>
          <w:t>R031</w:t>
        </w:r>
      </w:hyperlink>
      <w:r>
        <w:t xml:space="preserve">; </w:t>
      </w:r>
      <w:hyperlink r:id="rId40">
        <w:r>
          <w:rPr>
            <w:color w:val="156E93"/>
            <w:u w:val="single"/>
          </w:rPr>
          <w:t>R034</w:t>
        </w:r>
      </w:hyperlink>
      <w:r>
        <w:t xml:space="preserve">; </w:t>
      </w:r>
      <w:hyperlink r:id="rId57">
        <w:r>
          <w:rPr>
            <w:color w:val="156E93"/>
            <w:u w:val="single"/>
          </w:rPr>
          <w:t>R035</w:t>
        </w:r>
      </w:hyperlink>
      <w:r>
        <w:t xml:space="preserve">; </w:t>
      </w:r>
      <w:hyperlink r:id="rId73">
        <w:r>
          <w:rPr>
            <w:color w:val="156E93"/>
            <w:u w:val="single"/>
          </w:rPr>
          <w:t>R046</w:t>
        </w:r>
      </w:hyperlink>
      <w:r>
        <w:t xml:space="preserve">; </w:t>
      </w:r>
      <w:hyperlink r:id="rId52">
        <w:r>
          <w:rPr>
            <w:color w:val="156E93"/>
            <w:u w:val="single"/>
          </w:rPr>
          <w:t>R056</w:t>
        </w:r>
      </w:hyperlink>
      <w:r>
        <w:t xml:space="preserve">; </w:t>
      </w:r>
      <w:hyperlink r:id="rId81">
        <w:r>
          <w:rPr>
            <w:color w:val="156E93"/>
            <w:u w:val="single"/>
          </w:rPr>
          <w:t>R062</w:t>
        </w:r>
      </w:hyperlink>
      <w:r>
        <w:t xml:space="preserve">; </w:t>
      </w:r>
      <w:hyperlink r:id="rId59">
        <w:r>
          <w:rPr>
            <w:color w:val="156E93"/>
            <w:u w:val="single"/>
          </w:rPr>
          <w:t>R065</w:t>
        </w:r>
      </w:hyperlink>
      <w:r>
        <w:t>]</w:t>
      </w:r>
    </w:p>
    <w:p>
      <w:pPr>
        <w:pStyle w:val="Heading2"/>
      </w:pPr>
      <w:r>
        <w:t>Восемь приоритетных направлений следующего прохода</w:t>
      </w:r>
    </w:p>
    <w:p>
      <w:r>
        <w:t>1. Полный состав Inkawasi и Laguna. Свести археологические инвентари, музейные номера и KH-ID; проверить не только каталог, но и доступ ко всем шнурам, снимкам и измерениям. Публикацию одного хорошо изученного предмета не использовать как подтверждение полноты всей группы.</w:t>
      </w:r>
    </w:p>
    <w:p>
      <w:r>
        <w:t>2. Ранняя Wari-линия. Открыть AMNH 41.2/7681 и конкретные Dumbarton Oaks Wari-инвентари; сопоставить их с восемью предметами Urton 2014. Отдельно проверить canuto-тип и не спутать его с поздним Inka PC.WBC.2016.070. Caral оставлять за пределами установленного корпуса до первичного подтверждения.</w:t>
      </w:r>
    </w:p>
    <w:p>
      <w:r>
        <w:t>3. Парные бумажно-шнуровые документы. Найти оригинал Padrón de Recuayes 1670, полный дневник Ortiz de Zevallos 1857 и исходные документы Textos andinos/El quipu colonial. Фиксировать архивный шифр, язык, редакторские вмешательства и точность заявленного сопоставления.</w:t>
      </w:r>
    </w:p>
    <w:p>
      <w:r>
        <w:t>4. Колониальные оригиналы и редакции. Проверить BNE Mss/3169 по составу, испанские издания Molina/Pachacuti/Ávila/Polo, Polo в OpenEdition, старый испанский Cobo и отдельное факсимиле Galvin Murúa. Для Relación de los quipucamayos уточнить соотношение раннего свидетельства, поздней редакции и издания 1892.</w:t>
      </w:r>
    </w:p>
    <w:p>
      <w:r>
        <w:t>5. Община и поздняя запись. Продолжить Anchucaya, Cuspón/Chiquián, Jucul, Uhle/Cutusuma и ранние этнографические каталоги. Получить предметные музейные записи пяти Yumani-кипу, разрешив неясность институциональной подписи и E-инвентарей. Искать полномочия и условия публикации, а не только удобные фотографии.</w:t>
      </w:r>
    </w:p>
    <w:p>
      <w:r>
        <w:t>6. Чистые оригинальные языковые слои. Для Guaman Poma проверить права KB на факсимиле и электронную транскрипцию отдельно; подтвердить русский Garcilaso и современные полные английские варианты. Добавить предметно проверенные статьи о шнуровой записи из Santo Tomás 1560, Bertonio 1612 и Confesionario 1585.</w:t>
      </w:r>
    </w:p>
    <w:p>
      <w:r>
        <w:t>7. Машинные данные и изображения. Получить и прочесть реальные IIIF manifests UCSB; проверить component-level права и image credits. Установить точную версию экспериментального набора Medrano–Khosla; не приравнивать современный OKR к опубликованному snapshot из 650 объектов. Для Cleveland/Penn протестировать фактическую загрузку JSON/CSV.</w:t>
      </w:r>
    </w:p>
    <w:p>
      <w:r>
        <w:t>8. Новые публикации и утверждения. Восстановить рабочие PDF-ссылки EY 2020/2025, прочесть их copyright-страницы и состав фото. Проверить лицензию Thompson Numerical Connection непосредственно у издателя; потенциальный ND-вариант не считать подтверждённым по сниппету. Новые toolkit/ALBA-страницы оценивать по первичным данным и независимой проверке, не по заявлениям об успехе.</w:t>
      </w:r>
    </w:p>
    <w:p>
      <w:pPr>
        <w:pStyle w:val="Heading2"/>
      </w:pPr>
      <w:r>
        <w:t>Что не принято как установленный материал</w:t>
      </w:r>
    </w:p>
    <w:p>
      <w:r>
        <w:t>Unverified_candidate охватывает том III Textos andinos; точную позднюю иллюстрацию Martínez Compañón; публикационный dataset Jucul; ранний объект Caral; новые программные/дешифровочные проекты 2026. Для каждого в XLSX указано, какого подтверждения не хватает. Эти кандидаты не являются основанием датировок, идентификации языка или правовых разрешений.</w:t>
      </w:r>
    </w:p>
    <w:p>
      <w:r>
        <w:t>Не подтверждена лицензия ND, которая позволила бы в рамках этого набора безусловно рекомендовать распространение только неизменённого файла. Поэтому отсутствие UNCHANGED_ONLY в основном реестре — не пропуск доступного режима, а результат проверки: запрет изменений на защищённом сайте сам по себе вообще не разрешает распространение.</w:t>
      </w:r>
    </w:p>
    <w:p>
      <w:pPr>
        <w:pStyle w:val="Heading1"/>
      </w:pPr>
      <w:r>
        <w:t>7. Итоговая оценка</w:t>
      </w:r>
    </w:p>
    <w:p>
      <w:r>
        <w:t>Корпус покрыт широко на уровне ключевых комплексов, свидетельств и путей доступа: все основные якоря DR имеют маршрут, а недостающий предметный объём явно вынесен в gaps. При этом реестр не является полной описью всех сохранившихся кипу, всех колониальных paper-khipu документов или всех современных этнографических архивов.</w:t>
      </w:r>
    </w:p>
    <w:p>
      <w:r>
        <w:t>Оригинальные материальные предметы доступны преимущественно через фотографии, каталоги и структурные суррогаты; наиболее свободный показательный вариант — Cleveland CC0. Для алфавитных оригиналов сильнее всего JCB с историческими факсимиле и CC BY 4.0, а также старые тексты PG с юрисдикционной оговоркой. Современные переводы и критические публикации заметно доступнее как чтение/покупка, чем как материал для зеркалирования.</w:t>
      </w:r>
      <w:r>
        <w:t xml:space="preserve">  [</w:t>
      </w:r>
      <w:hyperlink r:id="rId41">
        <w:r>
          <w:rPr>
            <w:color w:val="156E93"/>
            <w:u w:val="single"/>
          </w:rPr>
          <w:t>R037</w:t>
        </w:r>
      </w:hyperlink>
      <w:r>
        <w:t xml:space="preserve">; </w:t>
      </w:r>
      <w:hyperlink r:id="rId53">
        <w:r>
          <w:rPr>
            <w:color w:val="156E93"/>
            <w:u w:val="single"/>
          </w:rPr>
          <w:t>R040</w:t>
        </w:r>
      </w:hyperlink>
      <w:r>
        <w:t xml:space="preserve">; </w:t>
      </w:r>
      <w:hyperlink r:id="rId45">
        <w:r>
          <w:rPr>
            <w:color w:val="156E93"/>
            <w:u w:val="single"/>
          </w:rPr>
          <w:t>R045</w:t>
        </w:r>
      </w:hyperlink>
      <w:r>
        <w:t xml:space="preserve">; </w:t>
      </w:r>
      <w:hyperlink r:id="rId48">
        <w:r>
          <w:rPr>
            <w:color w:val="156E93"/>
            <w:u w:val="single"/>
          </w:rPr>
          <w:t>R055</w:t>
        </w:r>
      </w:hyperlink>
      <w:r>
        <w:t xml:space="preserve">; </w:t>
      </w:r>
      <w:hyperlink r:id="rId12">
        <w:r>
          <w:rPr>
            <w:color w:val="156E93"/>
            <w:u w:val="single"/>
          </w:rPr>
          <w:t>R063</w:t>
        </w:r>
      </w:hyperlink>
      <w:r>
        <w:t xml:space="preserve">; </w:t>
      </w:r>
      <w:hyperlink r:id="rId13">
        <w:r>
          <w:rPr>
            <w:color w:val="156E93"/>
            <w:u w:val="single"/>
          </w:rPr>
          <w:t>R066</w:t>
        </w:r>
      </w:hyperlink>
      <w:r>
        <w:t>]</w:t>
      </w:r>
    </w:p>
    <w:p>
      <w:r>
        <w:t>Основные ограничения сосредоточены в полноте полевых и музейных серий, правах на фотографии и реконструкции, неопубликованных общинных архивах, несовпадении редакций и технических барьерах доступа. Универсальный словесный перевод кипу не заявлен; статус C / 4 и исторические границы мастер-строки сохранены.</w:t>
      </w:r>
    </w:p>
    <w:p>
      <w:r>
        <w:t>Пакет пригоден для передачи Codex как исследовательский реестр с доказательствами и очередью ручной проверки. Для автоматизации нельзя отбрасывать coverage, rights_scope, verification_status и notes. Наличие MIRROR_OK либо OWN_TRANSLATION_POSSIBLE в одной записи не даёт глобального разрешения на корпус. Реестр служит основанием для дальнейшей дедупликации и разрешённых действий, но не заменяет их компонентную проверку.</w:t>
      </w:r>
    </w:p>
    <w:p>
      <w:pPr>
        <w:pStyle w:val="Heading2"/>
      </w:pPr>
      <w:r>
        <w:t>Файлы пакета и навигация</w:t>
      </w:r>
    </w:p>
    <w:p>
      <w:r>
        <w:t>ToS_Corpus_Rights_T2-56_registry.xlsx — registry: 69 записей, 32 поля; gaps: 37 записей. ToS_Corpus_Rights_T2-56_report.docx — настоящий отчёт. Все полные URL, идентификаторы, условия доступа и правовые основания находятся в соответствующих строках XLSX; гиперссылки R… в отчёте ведут к тем же источникам.</w:t>
      </w:r>
    </w:p>
    <w:sectPr w:rsidR="00FC693F" w:rsidRPr="0006063C" w:rsidSect="00034616">
      <w:headerReference w:type="default" r:id="rId9"/>
      <w:footerReference w:type="default" r:id="rId10"/>
      <w:pgSz w:w="11906" w:h="16838"/>
      <w:pgMar w:top="1020" w:right="1134" w:bottom="964" w:left="1134"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Проверено 05.09.2026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ToS / Древо Софии                                             CORPUS &amp; RIGHTS · T2-56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F5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3F5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173F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173F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D6C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18025748" TargetMode="External"/><Relationship Id="rId12" Type="http://schemas.openxmlformats.org/officeDocument/2006/relationships/hyperlink" Target="https://www.clevelandart.org/art/1940.469" TargetMode="External"/><Relationship Id="rId13" Type="http://schemas.openxmlformats.org/officeDocument/2006/relationships/hyperlink" Target="https://archive.org/details/vocabulariodelal01gonz" TargetMode="External"/><Relationship Id="rId14" Type="http://schemas.openxmlformats.org/officeDocument/2006/relationships/hyperlink" Target="https://figshare.unimelb.edu.au/articles/dataset/Khipu-Biblio_Cross-Reference_KBCR_Resource/25661322" TargetMode="External"/><Relationship Id="rId15" Type="http://schemas.openxmlformats.org/officeDocument/2006/relationships/hyperlink" Target="https://americanindian.si.edu/collections-search/object/NMAI_154591" TargetMode="External"/><Relationship Id="rId16" Type="http://schemas.openxmlformats.org/officeDocument/2006/relationships/hyperlink" Target="https://repositorio.pucp.edu.pe/items/fe99a49f-7a95-453d-be89-bfd5d1a974a0" TargetMode="External"/><Relationship Id="rId17" Type="http://schemas.openxmlformats.org/officeDocument/2006/relationships/hyperlink" Target="https://collections.penn.museum/collections/objects/data.php" TargetMode="External"/><Relationship Id="rId18" Type="http://schemas.openxmlformats.org/officeDocument/2006/relationships/hyperlink" Target="https://commons.wikimedia.org/wiki/File:Nueva_cor%C3%B3nica_y_buen_gobierno_(1936_facsimile)_p360.png" TargetMode="External"/><Relationship Id="rId19" Type="http://schemas.openxmlformats.org/officeDocument/2006/relationships/hyperlink" Target="https://en.wikisource.org/wiki/The_Ancient_Quipu,_a_Peruvian_Knot_Record" TargetMode="External"/><Relationship Id="rId20" Type="http://schemas.openxmlformats.org/officeDocument/2006/relationships/hyperlink" Target="https://research-repository.st-andrews.ac.uk/handle/10023/32618" TargetMode="External"/><Relationship Id="rId21" Type="http://schemas.openxmlformats.org/officeDocument/2006/relationships/hyperlink" Target="https://research-repository.st-andrews.ac.uk/handle/10023/12326" TargetMode="External"/><Relationship Id="rId22" Type="http://schemas.openxmlformats.org/officeDocument/2006/relationships/hyperlink" Target="https://www.khipufieldguide.com/catalog/KH0015.html" TargetMode="External"/><Relationship Id="rId23" Type="http://schemas.openxmlformats.org/officeDocument/2006/relationships/hyperlink" Target="https://www.khipufieldguide.com/catalog/KH0242.html" TargetMode="External"/><Relationship Id="rId24" Type="http://schemas.openxmlformats.org/officeDocument/2006/relationships/hyperlink" Target="https://www.khipufieldguide.com/catalog/KH0501.html" TargetMode="External"/><Relationship Id="rId25" Type="http://schemas.openxmlformats.org/officeDocument/2006/relationships/hyperlink" Target="https://www.cambridge.org/core/journals/latin-american-antiquity/article/abs/accounting-in-the-kings-storehouse-the-inkawasi-khipu-archive/417CED6AB7ED0F6D37DC7A3E84F698D5" TargetMode="External"/><Relationship Id="rId26" Type="http://schemas.openxmlformats.org/officeDocument/2006/relationships/hyperlink" Target="https://www.cambridge.org/core/journals/latin-american-antiquity/article/abs/calendrical-and-demographic-tomb-text-from-northern-peru/CAE58065581C32CF78AA4D5F51FD7220" TargetMode="External"/><Relationship Id="rId27" Type="http://schemas.openxmlformats.org/officeDocument/2006/relationships/hyperlink" Target="https://artsandculture.google.com/story/wari-khipus-mali-museo-de-arte-de-lima/jAXhk_JrDHGq4w?hl=en" TargetMode="External"/><Relationship Id="rId28" Type="http://schemas.openxmlformats.org/officeDocument/2006/relationships/hyperlink" Target="https://research-repository.st-andrews.ac.uk/handle/10023/6637" TargetMode="External"/><Relationship Id="rId29" Type="http://schemas.openxmlformats.org/officeDocument/2006/relationships/hyperlink" Target="https://poma.kb.dk/" TargetMode="External"/><Relationship Id="rId30" Type="http://schemas.openxmlformats.org/officeDocument/2006/relationships/hyperlink" Target="https://www.cambridge.org/core/journals/latin-american-antiquity/article/abs/khipu-archives-duplicate-accounts-and-identity-labels-in-the-inka-knotted-string-records/019D70304BF1E88E4CE6F2EBBAAD597E" TargetMode="External"/><Relationship Id="rId31" Type="http://schemas.openxmlformats.org/officeDocument/2006/relationships/hyperlink" Target="https://github.com/khipulab/open-khipu-repository" TargetMode="External"/><Relationship Id="rId32" Type="http://schemas.openxmlformats.org/officeDocument/2006/relationships/hyperlink" Target="https://artsandculture.google.com/story/8AWh9KXGqHC1zw" TargetMode="External"/><Relationship Id="rId33" Type="http://schemas.openxmlformats.org/officeDocument/2006/relationships/hyperlink" Target="https://artsandculture.google.com/story/TwURueXdUOqKzA" TargetMode="External"/><Relationship Id="rId34" Type="http://schemas.openxmlformats.org/officeDocument/2006/relationships/hyperlink" Target="https://artsandculture.google.com/story/AgXBGLpmkj_frQ" TargetMode="External"/><Relationship Id="rId35" Type="http://schemas.openxmlformats.org/officeDocument/2006/relationships/hyperlink" Target="https://collections.penn.museum/collections/object/199361" TargetMode="External"/><Relationship Id="rId36" Type="http://schemas.openxmlformats.org/officeDocument/2006/relationships/hyperlink" Target="https://khipu.mirl.arthistory.ucsb.edu/objects/image16/" TargetMode="External"/><Relationship Id="rId37" Type="http://schemas.openxmlformats.org/officeDocument/2006/relationships/hyperlink" Target="https://khipu.mirl.arthistory.ucsb.edu/objects/image18/" TargetMode="External"/><Relationship Id="rId38" Type="http://schemas.openxmlformats.org/officeDocument/2006/relationships/hyperlink" Target="https://madrid.fi/libro/textos-andinos-primer-tomo/" TargetMode="External"/><Relationship Id="rId39" Type="http://schemas.openxmlformats.org/officeDocument/2006/relationships/hyperlink" Target="https://madrid.fi/libro/textos-andinos-segundo-tomo/" TargetMode="External"/><Relationship Id="rId40" Type="http://schemas.openxmlformats.org/officeDocument/2006/relationships/hyperlink" Target="https://archive.org/details/historiagenerald00mura" TargetMode="External"/><Relationship Id="rId41" Type="http://schemas.openxmlformats.org/officeDocument/2006/relationships/hyperlink" Target="https://www.gutenberg.org/ebooks/50430" TargetMode="External"/><Relationship Id="rId42" Type="http://schemas.openxmlformats.org/officeDocument/2006/relationships/hyperlink" Target="https://www.gutenberg.org/ebooks/20218" TargetMode="External"/><Relationship Id="rId43" Type="http://schemas.openxmlformats.org/officeDocument/2006/relationships/hyperlink" Target="https://www.gutenberg.org/ebooks/48785" TargetMode="External"/><Relationship Id="rId44" Type="http://schemas.openxmlformats.org/officeDocument/2006/relationships/hyperlink" Target="https://books.google.com/books?id=U2k9UzRVwfkC" TargetMode="External"/><Relationship Id="rId45" Type="http://schemas.openxmlformats.org/officeDocument/2006/relationships/hyperlink" Target="https://archive.org/details/ritualformulario00pr" TargetMode="External"/><Relationship Id="rId46" Type="http://schemas.openxmlformats.org/officeDocument/2006/relationships/hyperlink" Target="https://catalog.hathitrust.org/Record/001875543" TargetMode="External"/><Relationship Id="rId47" Type="http://schemas.openxmlformats.org/officeDocument/2006/relationships/hyperlink" Target="https://archive.org/details/narrativesofrite00moli" TargetMode="External"/><Relationship Id="rId48" Type="http://schemas.openxmlformats.org/officeDocument/2006/relationships/hyperlink" Target="https://archive.org/details/extirpaciondelai00arri" TargetMode="External"/><Relationship Id="rId49" Type="http://schemas.openxmlformats.org/officeDocument/2006/relationships/hyperlink" Target="https://utpress.utexas.edu/9780292730250/" TargetMode="External"/><Relationship Id="rId50" Type="http://schemas.openxmlformats.org/officeDocument/2006/relationships/hyperlink" Target="https://courses.cit.cornell.edu/quipu/contents.htm" TargetMode="External"/><Relationship Id="rId51" Type="http://schemas.openxmlformats.org/officeDocument/2006/relationships/hyperlink" Target="https://catalog.hathitrust.org/Record/000380512" TargetMode="External"/><Relationship Id="rId52" Type="http://schemas.openxmlformats.org/officeDocument/2006/relationships/hyperlink" Target="https://www.cambridge.org/core/journals/antiquity/article/abs/from-middle-horizon-cordkeeping-to-the-rise-of-inka-khipus-in-the-central-andes/04964C31803194A5EA0F1565617F00C9" TargetMode="External"/><Relationship Id="rId53" Type="http://schemas.openxmlformats.org/officeDocument/2006/relationships/hyperlink" Target="https://www.gutenberg.org/ebooks/25255" TargetMode="External"/><Relationship Id="rId54" Type="http://schemas.openxmlformats.org/officeDocument/2006/relationships/hyperlink" Target="https://artsandculture.google.com/story/-wWBqfBRebHPRQ" TargetMode="External"/><Relationship Id="rId55" Type="http://schemas.openxmlformats.org/officeDocument/2006/relationships/hyperlink" Target="https://artsandculture.google.com/story/ggWR1WgoumeEGQ" TargetMode="External"/><Relationship Id="rId56" Type="http://schemas.openxmlformats.org/officeDocument/2006/relationships/hyperlink" Target="https://artsandculture.google.com/story/6wVBxVA86sb-Yw" TargetMode="External"/><Relationship Id="rId57" Type="http://schemas.openxmlformats.org/officeDocument/2006/relationships/hyperlink" Target="https://read.dukeupress.edu/books/book/920/The-Cord-KeepersKhipus-and-Cultural-Life-in-a" TargetMode="External"/><Relationship Id="rId58" Type="http://schemas.openxmlformats.org/officeDocument/2006/relationships/hyperlink" Target="https://www.cambridge.org/core/journals/latin-american-research-review/article/khipus-khipu-boards-and-sacred-texts-toward-a-philology-of-andean-knotted-cords/61B91DF0E21873EFE260B7B61A1B8AF9" TargetMode="External"/><Relationship Id="rId59" Type="http://schemas.openxmlformats.org/officeDocument/2006/relationships/hyperlink" Target="https://research-repository.st-andrews.ac.uk/handle/10023/24169" TargetMode="External"/><Relationship Id="rId60" Type="http://schemas.openxmlformats.org/officeDocument/2006/relationships/hyperlink" Target="https://www.khipufieldguide.com/sketchbook/index.html" TargetMode="External"/><Relationship Id="rId61" Type="http://schemas.openxmlformats.org/officeDocument/2006/relationships/hyperlink" Target="https://figshare.unimelb.edu.au/articles/report/Notes_and_Corrections_to_Aschers_Published_Khipu_Data/30526775" TargetMode="External"/><Relationship Id="rId62" Type="http://schemas.openxmlformats.org/officeDocument/2006/relationships/hyperlink" Target="https://github.com/khipulab/renaming" TargetMode="External"/><Relationship Id="rId63" Type="http://schemas.openxmlformats.org/officeDocument/2006/relationships/hyperlink" Target="https://www.cambridge.org/core/journals/latin-american-antiquity/article/abs/new-naming-convention-for-andean-khipus/A1B2108CA17B97489330EF7AC9BFB1B5" TargetMode="External"/><Relationship Id="rId64" Type="http://schemas.openxmlformats.org/officeDocument/2006/relationships/hyperlink" Target="https://github.com/ClevelandMuseumArt/openaccess" TargetMode="External"/><Relationship Id="rId65" Type="http://schemas.openxmlformats.org/officeDocument/2006/relationships/hyperlink" Target="https://www.penn.museum/about/statements-and-policies/terms-and-conditions" TargetMode="External"/><Relationship Id="rId66" Type="http://schemas.openxmlformats.org/officeDocument/2006/relationships/hyperlink" Target="https://bibliotecadigital.bnp.gob.pe/items/b1f30bfd-f000-40dd-9c68-6a124e72c80b" TargetMode="External"/><Relationship Id="rId67" Type="http://schemas.openxmlformats.org/officeDocument/2006/relationships/hyperlink" Target="https://bibliotecadigital.bnp.gob.pe/conditions-of-use" TargetMode="External"/><Relationship Id="rId68" Type="http://schemas.openxmlformats.org/officeDocument/2006/relationships/hyperlink" Target="https://utpress.utexas.edu/9781477323410/" TargetMode="External"/><Relationship Id="rId69" Type="http://schemas.openxmlformats.org/officeDocument/2006/relationships/hyperlink" Target="https://repositorio.pucp.edu.pe/bitstreams/99d2026f-62c7-496c-a5f2-b4f583456f2f/download" TargetMode="External"/><Relationship Id="rId70" Type="http://schemas.openxmlformats.org/officeDocument/2006/relationships/hyperlink" Target="https://archive.org/download/unaantiguallape00espagoog/unaantiguallape00espagoog.pdf" TargetMode="External"/><Relationship Id="rId71" Type="http://schemas.openxmlformats.org/officeDocument/2006/relationships/hyperlink" Target="https://catalog.hathitrust.org/Record/002809395" TargetMode="External"/><Relationship Id="rId72" Type="http://schemas.openxmlformats.org/officeDocument/2006/relationships/hyperlink" Target="https://read.dukeupress.edu/books/book/2045/Natural-and-Moral-History-of-the-Indies" TargetMode="External"/><Relationship Id="rId73" Type="http://schemas.openxmlformats.org/officeDocument/2006/relationships/hyperlink" Target="https://www.litres.ru/book/inka-garsilaso-de-la-vega/istoriya-gosudarstva-inkov-71189251/" TargetMode="External"/><Relationship Id="rId74" Type="http://schemas.openxmlformats.org/officeDocument/2006/relationships/hyperlink" Target="https://utpress.utexas.edu/9780292774827/" TargetMode="External"/><Relationship Id="rId75" Type="http://schemas.openxmlformats.org/officeDocument/2006/relationships/hyperlink" Target="https://jcblibrary.org/permissions/" TargetMode="External"/><Relationship Id="rId76" Type="http://schemas.openxmlformats.org/officeDocument/2006/relationships/hyperlink" Target="https://raw.githubusercontent.com/khipulab/open-khipu-repository/master/LICENSE" TargetMode="External"/><Relationship Id="rId77" Type="http://schemas.openxmlformats.org/officeDocument/2006/relationships/hyperlink" Target="https://www.ccincagarcilaso.gob.pe/mirador/quipus-y-quipucamayoc-codificacion-y-administracion-en-el-antiguo-peru/" TargetMode="External"/><Relationship Id="rId78" Type="http://schemas.openxmlformats.org/officeDocument/2006/relationships/hyperlink" Target="https://www.ccincagarcilaso.gob.pe/mirador/la-interpretacion-linguistica-de-los-quipus/" TargetMode="External"/><Relationship Id="rId79" Type="http://schemas.openxmlformats.org/officeDocument/2006/relationships/hyperlink" Target="https://www.unesco.org/en/memory-world/lac/khipu-database-khipu-archives" TargetMode="External"/><Relationship Id="rId80" Type="http://schemas.openxmlformats.org/officeDocument/2006/relationships/hyperlink" Target="https://www.britishmuseum.org/collection/object/E_Am1907-0319-286" TargetMode="External"/><Relationship Id="rId81" Type="http://schemas.openxmlformats.org/officeDocument/2006/relationships/hyperlink" Target="https://utpress.utexas.edu/97802927236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T2-56</dc:title>
  <dc:subject>Андские кипу как информационная система: корпус, доступ и права</dc:subject>
  <dc:creator>ToS / Древо Софии</dc:creator>
  <cp:keywords>T2-56, khipu, quipu, corpus, rights, C</cp:keywords>
  <dc:description>generated by python-docx</dc:description>
  <cp:lastModifiedBy/>
  <cp:revision>1</cp:revision>
  <dcterms:created xsi:type="dcterms:W3CDTF">2013-12-23T23:15:00Z</dcterms:created>
  <dcterms:modified xsi:type="dcterms:W3CDTF">2013-12-23T23:15:00Z</dcterms:modified>
  <cp:category/>
</cp:coreProperties>
</file>