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ToS Corpus &amp; Rights</w:t>
        <w:br/>
        <w:t>Registry</w:t>
      </w:r>
    </w:p>
    <w:p>
      <w:r>
        <w:rPr>
          <w:b/>
          <w:color w:val="22695E"/>
          <w:sz w:val="32"/>
        </w:rPr>
        <w:t>T2-05 · Грузинская монастырская</w:t>
        <w:br/>
        <w:t>переводная республика</w:t>
      </w:r>
    </w:p>
    <w:p>
      <w:pPr>
        <w:spacing w:before="140" w:after="200"/>
        <w:shd w:fill="EAF2EF"/>
      </w:pPr>
      <w:r>
        <w:rPr>
          <w:b/>
        </w:rPr>
        <w:t>71 запись доступа  •  27 пробелов и задач проверки  •  статус мастер-строки: B</w:t>
      </w:r>
    </w:p>
    <w:p>
      <w:pPr>
        <w:pStyle w:val="Heading1"/>
      </w:pPr>
      <w:r>
        <w:t>1. Паспорт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597"/>
      </w:tblGrid>
      <w:tr>
        <w:trPr>
          <w:cantSplit/>
          <w:tblHeader/>
        </w:trPr>
        <w:tc>
          <w:tcPr>
            <w:tcW w:type="dxa" w:w="2268"/>
            <w:vAlign w:val="top"/>
            <w:shd w:fill="203C4B"/>
          </w:tcPr>
          <w:p>
            <w:pPr>
              <w:spacing w:before="60" w:after="80" w:line="252" w:lineRule="auto"/>
            </w:pPr>
            <w:r>
              <w:rPr>
                <w:b/>
                <w:color w:val="FFFFFF"/>
                <w:sz w:val="17"/>
              </w:rPr>
              <w:t>Поле</w:t>
            </w:r>
          </w:p>
        </w:tc>
        <w:tc>
          <w:tcPr>
            <w:tcW w:type="dxa" w:w="7597"/>
            <w:vAlign w:val="top"/>
            <w:shd w:fill="203C4B"/>
          </w:tcPr>
          <w:p>
            <w:pPr>
              <w:spacing w:before="60" w:after="80" w:line="252" w:lineRule="auto"/>
            </w:pPr>
            <w:r>
              <w:rPr>
                <w:b/>
                <w:color w:val="FFFFFF"/>
                <w:sz w:val="17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0F4F5"/>
          </w:tcPr>
          <w:p>
            <w:pPr>
              <w:spacing w:before="60" w:after="80" w:line="252" w:lineRule="auto"/>
            </w:pPr>
            <w:r>
              <w:rPr>
                <w:sz w:val="17"/>
              </w:rPr>
              <w:t>Мастер-строка</w:t>
            </w:r>
          </w:p>
        </w:tc>
        <w:tc>
          <w:tcPr>
            <w:tcW w:type="dxa" w:w="7597"/>
            <w:vAlign w:val="top"/>
            <w:shd w:fill="F0F4F5"/>
          </w:tcPr>
          <w:p>
            <w:pPr>
              <w:spacing w:before="60" w:after="80" w:line="252" w:lineRule="auto"/>
            </w:pPr>
            <w:r>
              <w:rPr>
                <w:sz w:val="17"/>
              </w:rPr>
              <w:t>Таблица II, T2-05. Исходный статус B; не изменён.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FFFFF"/>
          </w:tcPr>
          <w:p>
            <w:pPr>
              <w:spacing w:before="60" w:after="80" w:line="252" w:lineRule="auto"/>
            </w:pPr>
            <w:r>
              <w:rPr>
                <w:sz w:val="17"/>
              </w:rPr>
              <w:t>Хронологический фокус</w:t>
            </w:r>
          </w:p>
        </w:tc>
        <w:tc>
          <w:tcPr>
            <w:tcW w:type="dxa" w:w="7597"/>
            <w:vAlign w:val="top"/>
            <w:shd w:fill="FFFFFF"/>
          </w:tcPr>
          <w:p>
            <w:pPr>
              <w:spacing w:before="60" w:after="80" w:line="252" w:lineRule="auto"/>
            </w:pPr>
            <w:r>
              <w:rPr>
                <w:sz w:val="17"/>
              </w:rPr>
              <w:t>Формирование VI–IX вв.; письменная фиксация/перевод VI–XI вв.; канонизация/комментарий IX–XII вв.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0F4F5"/>
          </w:tcPr>
          <w:p>
            <w:pPr>
              <w:spacing w:before="60" w:after="80" w:line="252" w:lineRule="auto"/>
            </w:pPr>
            <w:r>
              <w:rPr>
                <w:sz w:val="17"/>
              </w:rPr>
              <w:t>Исходный документ</w:t>
            </w:r>
          </w:p>
        </w:tc>
        <w:tc>
          <w:tcPr>
            <w:tcW w:type="dxa" w:w="7597"/>
            <w:vAlign w:val="top"/>
            <w:shd w:fill="F0F4F5"/>
          </w:tcPr>
          <w:p>
            <w:pPr>
              <w:spacing w:before="60" w:after="80" w:line="252" w:lineRule="auto"/>
            </w:pPr>
            <w:r>
              <w:rPr>
                <w:sz w:val="17"/>
              </w:rPr>
              <w:t>ToS Deep Research_ T2-05 — Грузинская монастырская переводная республика(1).docx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FFFFF"/>
          </w:tcPr>
          <w:p>
            <w:pPr>
              <w:spacing w:before="60" w:after="80" w:line="252" w:lineRule="auto"/>
            </w:pPr>
            <w:r>
              <w:rPr>
                <w:sz w:val="17"/>
              </w:rPr>
              <w:t>Проверка</w:t>
            </w:r>
          </w:p>
        </w:tc>
        <w:tc>
          <w:tcPr>
            <w:tcW w:type="dxa" w:w="7597"/>
            <w:vAlign w:val="top"/>
            <w:shd w:fill="FFFFFF"/>
          </w:tcPr>
          <w:p>
            <w:pPr>
              <w:spacing w:before="60" w:after="80" w:line="252" w:lineRule="auto"/>
            </w:pPr>
            <w:r>
              <w:rPr>
                <w:sz w:val="17"/>
              </w:rPr>
              <w:t>4 сентября 2026 года. Живые обращения к страницам, каталогам, лицензиям и отдельным полным текстам.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0F4F5"/>
          </w:tcPr>
          <w:p>
            <w:pPr>
              <w:spacing w:before="60" w:after="80" w:line="252" w:lineRule="auto"/>
            </w:pPr>
            <w:r>
              <w:rPr>
                <w:sz w:val="17"/>
              </w:rPr>
              <w:t>География корпуса</w:t>
            </w:r>
          </w:p>
        </w:tc>
        <w:tc>
          <w:tcPr>
            <w:tcW w:type="dxa" w:w="7597"/>
            <w:vAlign w:val="top"/>
            <w:shd w:fill="F0F4F5"/>
          </w:tcPr>
          <w:p>
            <w:pPr>
              <w:spacing w:before="60" w:after="80" w:line="252" w:lineRule="auto"/>
            </w:pPr>
            <w:r>
              <w:rPr>
                <w:sz w:val="17"/>
              </w:rPr>
              <w:t>Грузия; Палестина и Иерусалим; Синай; Иверон/Афон; Чёрная гора/Антиохия; поздний гелатский край.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FFFFF"/>
          </w:tcPr>
          <w:p>
            <w:pPr>
              <w:spacing w:before="60" w:after="80" w:line="252" w:lineRule="auto"/>
            </w:pPr>
            <w:r>
              <w:rPr>
                <w:sz w:val="17"/>
              </w:rPr>
              <w:t>Языки поиска</w:t>
            </w:r>
          </w:p>
        </w:tc>
        <w:tc>
          <w:tcPr>
            <w:tcW w:type="dxa" w:w="7597"/>
            <w:vAlign w:val="top"/>
            <w:shd w:fill="FFFFFF"/>
          </w:tcPr>
          <w:p>
            <w:pPr>
              <w:spacing w:before="60" w:after="80" w:line="252" w:lineRule="auto"/>
            </w:pPr>
            <w:r>
              <w:rPr>
                <w:sz w:val="17"/>
              </w:rPr>
              <w:t>Русский, английский, грузинский; французские и немецкие заглавия/каталоги; армянские поисковые формы. Греческие/латинские названия и идентификаторы изданий.</w:t>
            </w:r>
          </w:p>
        </w:tc>
      </w:tr>
    </w:tbl>
    <w:p>
      <w:r>
        <w:t>Ядро определено по DR: Иадгари; Евфимиев патристический корпус; грузинская метафрастическая традиция; корпус Ефрема Мцире; Догматикон Арсена Икалтойского; перевод Прокла и комментарий Петрици. Поздний философский край не переопределяет статус всей строки.</w:t>
      </w:r>
    </w:p>
    <w:p>
      <w:r>
        <w:t>Искались произведения, редакции, переводы, рукописи и палимпсесты, старые и современные издания, цифровые тексты, наборы изображений и каталоги. Для доступа использованы сайты библиотек, монастыря, университетов и издательств; для идентификации — специализированные издания и академические исследования; для прав — item-level уведомления, лицензии и применимые правила платформ.</w:t>
      </w:r>
    </w:p>
    <w:p>
      <w:pPr>
        <w:pStyle w:val="Caption"/>
      </w:pPr>
      <w:r>
        <w:t>Ссылки [R…] ниже кликабельны и соответствуют строкам XLSX. Полная доказательная информация, ограничения объёма и отдельные rights_evidence_url находятся в реестре. Пустое поле правового evidence означает, что подходящее подтверждение не найдено, а не отсутствие охраны.</w:t>
      </w:r>
    </w:p>
    <w:p>
      <w:pPr>
        <w:pStyle w:val="Heading1"/>
        <w:pageBreakBefore/>
      </w:pPr>
      <w:r>
        <w:t>2. Охват корпуса</w:t>
      </w:r>
    </w:p>
    <w:p>
      <w:pPr>
        <w:pStyle w:val="Heading2"/>
      </w:pPr>
      <w:r>
        <w:t>2.1. Что извлечено из DR и чем расширено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4082"/>
        <w:gridCol w:w="3515"/>
      </w:tblGrid>
      <w:tr>
        <w:trPr>
          <w:cantSplit/>
          <w:tblHeader/>
        </w:trPr>
        <w:tc>
          <w:tcPr>
            <w:tcW w:type="dxa" w:w="2268"/>
            <w:vAlign w:val="top"/>
            <w:shd w:fill="203C4B"/>
          </w:tcPr>
          <w:p>
            <w:pPr>
              <w:spacing w:before="60" w:after="80" w:line="252" w:lineRule="auto"/>
            </w:pPr>
            <w:r>
              <w:rPr>
                <w:b/>
                <w:color w:val="FFFFFF"/>
                <w:sz w:val="17"/>
              </w:rPr>
              <w:t>Блок</w:t>
            </w:r>
          </w:p>
        </w:tc>
        <w:tc>
          <w:tcPr>
            <w:tcW w:type="dxa" w:w="4082"/>
            <w:vAlign w:val="top"/>
            <w:shd w:fill="203C4B"/>
          </w:tcPr>
          <w:p>
            <w:pPr>
              <w:spacing w:before="60" w:after="80" w:line="252" w:lineRule="auto"/>
            </w:pPr>
            <w:r>
              <w:rPr>
                <w:b/>
                <w:color w:val="FFFFFF"/>
                <w:sz w:val="17"/>
              </w:rPr>
              <w:t>Конкретные входы</w:t>
            </w:r>
          </w:p>
        </w:tc>
        <w:tc>
          <w:tcPr>
            <w:tcW w:type="dxa" w:w="3515"/>
            <w:vAlign w:val="top"/>
            <w:shd w:fill="203C4B"/>
          </w:tcPr>
          <w:p>
            <w:pPr>
              <w:spacing w:before="60" w:after="80" w:line="252" w:lineRule="auto"/>
            </w:pPr>
            <w:r>
              <w:rPr>
                <w:b/>
                <w:color w:val="FFFFFF"/>
                <w:sz w:val="17"/>
              </w:rPr>
              <w:t>Предел покрытия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0F4F5"/>
          </w:tcPr>
          <w:p>
            <w:pPr>
              <w:spacing w:before="60" w:after="80" w:line="252" w:lineRule="auto"/>
            </w:pPr>
            <w:r>
              <w:rPr>
                <w:sz w:val="17"/>
              </w:rPr>
              <w:t>Иадгари и палестинско-синайская литургия</w:t>
            </w:r>
          </w:p>
        </w:tc>
        <w:tc>
          <w:tcPr>
            <w:tcW w:type="dxa" w:w="4082"/>
            <w:vAlign w:val="top"/>
            <w:shd w:fill="F0F4F5"/>
          </w:tcPr>
          <w:p>
            <w:pPr>
              <w:spacing w:before="60" w:after="80" w:line="252" w:lineRule="auto"/>
            </w:pPr>
            <w:r>
              <w:rPr>
                <w:sz w:val="17"/>
              </w:rPr>
              <w:t>TITUS; издания NPLG; HMML Frag.32; Vat.iber.4; точные LOC/UCLA адреса.</w:t>
            </w:r>
          </w:p>
        </w:tc>
        <w:tc>
          <w:tcPr>
            <w:tcW w:type="dxa" w:w="3515"/>
            <w:vAlign w:val="top"/>
            <w:shd w:fill="F0F4F5"/>
          </w:tcPr>
          <w:p>
            <w:pPr>
              <w:spacing w:before="60" w:after="80" w:line="252" w:lineRule="auto"/>
            </w:pPr>
            <w:r>
              <w:rPr>
                <w:sz w:val="17"/>
              </w:rPr>
              <w:t>TITUS проверен на сегменте; LOC/UCLA не дали проверяемого полного факсимиле.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FFFFF"/>
          </w:tcPr>
          <w:p>
            <w:pPr>
              <w:spacing w:before="60" w:after="80" w:line="252" w:lineRule="auto"/>
            </w:pPr>
            <w:r>
              <w:rPr>
                <w:sz w:val="17"/>
              </w:rPr>
              <w:t>Евфимий и Георгий Афонские</w:t>
            </w:r>
          </w:p>
        </w:tc>
        <w:tc>
          <w:tcPr>
            <w:tcW w:type="dxa" w:w="4082"/>
            <w:vAlign w:val="top"/>
            <w:shd w:fill="FFFFFF"/>
          </w:tcPr>
          <w:p>
            <w:pPr>
              <w:spacing w:before="60" w:after="80" w:line="252" w:lineRule="auto"/>
            </w:pPr>
            <w:r>
              <w:rPr>
                <w:sz w:val="17"/>
              </w:rPr>
              <w:t>Галереи Иверона; грузинские версии Григория; Житие Иоанна и Евфимия.</w:t>
            </w:r>
          </w:p>
        </w:tc>
        <w:tc>
          <w:tcPr>
            <w:tcW w:type="dxa" w:w="3515"/>
            <w:vAlign w:val="top"/>
            <w:shd w:fill="FFFFFF"/>
          </w:tcPr>
          <w:p>
            <w:pPr>
              <w:spacing w:before="60" w:after="80" w:line="252" w:lineRule="auto"/>
            </w:pPr>
            <w:r>
              <w:rPr>
                <w:sz w:val="17"/>
              </w:rPr>
              <w:t>Галерея не равна полному корпусу переводчика. Многие тексты остались в каталожном слое.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0F4F5"/>
          </w:tcPr>
          <w:p>
            <w:pPr>
              <w:spacing w:before="60" w:after="80" w:line="252" w:lineRule="auto"/>
            </w:pPr>
            <w:r>
              <w:rPr>
                <w:sz w:val="17"/>
              </w:rPr>
              <w:t>Метафрастическая традиция</w:t>
            </w:r>
          </w:p>
        </w:tc>
        <w:tc>
          <w:tcPr>
            <w:tcW w:type="dxa" w:w="4082"/>
            <w:vAlign w:val="top"/>
            <w:shd w:fill="F0F4F5"/>
          </w:tcPr>
          <w:p>
            <w:pPr>
              <w:spacing w:before="60" w:after="80" w:line="252" w:lineRule="auto"/>
            </w:pPr>
            <w:r>
              <w:rPr>
                <w:sz w:val="17"/>
              </w:rPr>
              <w:t>Публикация трёх свидетельств; указатели на переводчиков и свидетелей.</w:t>
            </w:r>
          </w:p>
        </w:tc>
        <w:tc>
          <w:tcPr>
            <w:tcW w:type="dxa" w:w="3515"/>
            <w:vAlign w:val="top"/>
            <w:shd w:fill="F0F4F5"/>
          </w:tcPr>
          <w:p>
            <w:pPr>
              <w:spacing w:before="60" w:after="80" w:line="252" w:lineRule="auto"/>
            </w:pPr>
            <w:r>
              <w:rPr>
                <w:sz w:val="17"/>
              </w:rPr>
              <w:t>Полный грузинский Menologion не найден; статья не выдана за него.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FFFFF"/>
          </w:tcPr>
          <w:p>
            <w:pPr>
              <w:spacing w:before="60" w:after="80" w:line="252" w:lineRule="auto"/>
            </w:pPr>
            <w:r>
              <w:rPr>
                <w:sz w:val="17"/>
              </w:rPr>
              <w:t>Ефрем Мцире</w:t>
            </w:r>
          </w:p>
        </w:tc>
        <w:tc>
          <w:tcPr>
            <w:tcW w:type="dxa" w:w="4082"/>
            <w:vAlign w:val="top"/>
            <w:shd w:fill="FFFFFF"/>
          </w:tcPr>
          <w:p>
            <w:pPr>
              <w:spacing w:before="60" w:after="80" w:line="252" w:lineRule="auto"/>
            </w:pPr>
            <w:r>
              <w:rPr>
                <w:sz w:val="17"/>
              </w:rPr>
              <w:t>Corpus Nazianzenum, Corpus Dionysiacum, Псевдо-Нонн; Диалектика; колофоны.</w:t>
            </w:r>
          </w:p>
        </w:tc>
        <w:tc>
          <w:tcPr>
            <w:tcW w:type="dxa" w:w="3515"/>
            <w:vAlign w:val="top"/>
            <w:shd w:fill="FFFFFF"/>
          </w:tcPr>
          <w:p>
            <w:pPr>
              <w:spacing w:before="60" w:after="80" w:line="252" w:lineRule="auto"/>
            </w:pPr>
            <w:r>
              <w:rPr>
                <w:sz w:val="17"/>
              </w:rPr>
              <w:t>Хорошая идентификация изданий, но не полный открытый текст всех версий.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0F4F5"/>
          </w:tcPr>
          <w:p>
            <w:pPr>
              <w:spacing w:before="60" w:after="80" w:line="252" w:lineRule="auto"/>
            </w:pPr>
            <w:r>
              <w:rPr>
                <w:sz w:val="17"/>
              </w:rPr>
              <w:t>Арсен и Догматикон</w:t>
            </w:r>
          </w:p>
        </w:tc>
        <w:tc>
          <w:tcPr>
            <w:tcW w:type="dxa" w:w="4082"/>
            <w:vAlign w:val="top"/>
            <w:shd w:fill="F0F4F5"/>
          </w:tcPr>
          <w:p>
            <w:pPr>
              <w:spacing w:before="60" w:after="80" w:line="252" w:lineRule="auto"/>
            </w:pPr>
            <w:r>
              <w:rPr>
                <w:sz w:val="17"/>
              </w:rPr>
              <w:t>Анастасий Синаит, Florilegium, Абу Курра; Диалектика; фрагмент Максима; Никита Стифат.</w:t>
            </w:r>
          </w:p>
        </w:tc>
        <w:tc>
          <w:tcPr>
            <w:tcW w:type="dxa" w:w="3515"/>
            <w:vAlign w:val="top"/>
            <w:shd w:fill="F0F4F5"/>
          </w:tcPr>
          <w:p>
            <w:pPr>
              <w:spacing w:before="60" w:after="80" w:line="252" w:lineRule="auto"/>
            </w:pPr>
            <w:r>
              <w:rPr>
                <w:sz w:val="17"/>
              </w:rPr>
              <w:t>Том, трактат и фрагмент различены. Нет полного открытого Догматикона.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FFFFF"/>
          </w:tcPr>
          <w:p>
            <w:pPr>
              <w:spacing w:before="60" w:after="80" w:line="252" w:lineRule="auto"/>
            </w:pPr>
            <w:r>
              <w:rPr>
                <w:sz w:val="17"/>
              </w:rPr>
              <w:t>Петрици–Прокл</w:t>
            </w:r>
          </w:p>
        </w:tc>
        <w:tc>
          <w:tcPr>
            <w:tcW w:type="dxa" w:w="4082"/>
            <w:vAlign w:val="top"/>
            <w:shd w:fill="FFFFFF"/>
          </w:tcPr>
          <w:p>
            <w:pPr>
              <w:spacing w:before="60" w:after="80" w:line="252" w:lineRule="auto"/>
            </w:pPr>
            <w:r>
              <w:rPr>
                <w:sz w:val="17"/>
              </w:rPr>
              <w:t>NPLG 1940; TITUS; немецкий перевод; русский каталог; старые переводы Прокла.</w:t>
            </w:r>
          </w:p>
        </w:tc>
        <w:tc>
          <w:tcPr>
            <w:tcW w:type="dxa" w:w="3515"/>
            <w:vAlign w:val="top"/>
            <w:shd w:fill="FFFFFF"/>
          </w:tcPr>
          <w:p>
            <w:pPr>
              <w:spacing w:before="60" w:after="80" w:line="252" w:lineRule="auto"/>
            </w:pPr>
            <w:r>
              <w:rPr>
                <w:sz w:val="17"/>
              </w:rPr>
              <w:t>Комментарий отделён от перевода Прокла. Армянская цепь и часть факсимиле — в gaps.</w:t>
            </w:r>
          </w:p>
        </w:tc>
      </w:tr>
    </w:tbl>
    <w:p>
      <w:r>
        <w:t>Новые предметные входы включают французский перевод Жития Иоанна и Евфимия, каталог грузинского Dionysiacum 1961 года, точный item Древнейшего Иадгари 1980 года, исследование четырёх свидетелей Февронии, канонические сборники, аскетику Зосимы и позднюю рецепцию Петрици. Конкретная связь указана в notes и академических/корпусных источниках.</w:t>
      </w:r>
      <w:r>
        <w:t xml:space="preserve"> </w:t>
      </w:r>
      <w:hyperlink r:id="rId11">
        <w:r>
          <w:rPr>
            <w:color w:val="165D8D"/>
            <w:u w:val="single"/>
            <w:sz w:val="18"/>
          </w:rPr>
          <w:t>[R050]</w:t>
        </w:r>
      </w:hyperlink>
      <w:r>
        <w:t xml:space="preserve"> </w:t>
      </w:r>
      <w:hyperlink r:id="rId12">
        <w:r>
          <w:rPr>
            <w:color w:val="165D8D"/>
            <w:u w:val="single"/>
            <w:sz w:val="18"/>
          </w:rPr>
          <w:t>[R051]</w:t>
        </w:r>
      </w:hyperlink>
      <w:r>
        <w:t xml:space="preserve"> </w:t>
      </w:r>
      <w:hyperlink r:id="rId13">
        <w:r>
          <w:rPr>
            <w:color w:val="165D8D"/>
            <w:u w:val="single"/>
            <w:sz w:val="18"/>
          </w:rPr>
          <w:t>[R053]</w:t>
        </w:r>
      </w:hyperlink>
      <w:r>
        <w:t xml:space="preserve"> </w:t>
      </w:r>
      <w:hyperlink r:id="rId14">
        <w:r>
          <w:rPr>
            <w:color w:val="165D8D"/>
            <w:u w:val="single"/>
            <w:sz w:val="18"/>
          </w:rPr>
          <w:t>[R056]</w:t>
        </w:r>
      </w:hyperlink>
      <w:r>
        <w:t xml:space="preserve"> </w:t>
      </w:r>
      <w:hyperlink r:id="rId15">
        <w:r>
          <w:rPr>
            <w:color w:val="165D8D"/>
            <w:u w:val="single"/>
            <w:sz w:val="18"/>
          </w:rPr>
          <w:t>[R065]</w:t>
        </w:r>
      </w:hyperlink>
      <w:r>
        <w:t xml:space="preserve"> </w:t>
      </w:r>
      <w:hyperlink r:id="rId16">
        <w:r>
          <w:rPr>
            <w:color w:val="165D8D"/>
            <w:u w:val="single"/>
            <w:sz w:val="18"/>
          </w:rPr>
          <w:t>[R066]</w:t>
        </w:r>
      </w:hyperlink>
      <w:r>
        <w:t xml:space="preserve"> </w:t>
      </w:r>
      <w:hyperlink r:id="rId17">
        <w:r>
          <w:rPr>
            <w:color w:val="165D8D"/>
            <w:u w:val="single"/>
            <w:sz w:val="18"/>
          </w:rPr>
          <w:t>[R067]</w:t>
        </w:r>
      </w:hyperlink>
    </w:p>
    <w:p>
      <w:pPr>
        <w:pStyle w:val="Heading2"/>
      </w:pPr>
      <w:r>
        <w:t>2.2. Как считать результат</w:t>
      </w:r>
    </w:p>
    <w:p>
      <w:r>
        <w:t>71 запись — это 71 практически различимый вход, включая недоступные при проверке item-страницы, а не 71 произведение и не 71 свободный файл. Для обзора материал сгруппирован в 32 рабочие группы произведений, сборников и корпусных семей. Речи Григория считаются одной семьёй; восемь томов — восемью путями доступа к ней. Балавариани и греческая ветвь Barlaam and Ioasaph объединены при этом подсчёте.</w:t>
      </w:r>
    </w:p>
    <w:p>
      <w:r>
        <w:t>Это не глобальная дедупликация: две группы — широкие корпуса переводчиков, пересекающиеся с отдельными произведениями. Пять составных/не полностью идентифицированных рукописных записей и пять инфраструктурных/навигационных записей учитываются отдельно от названных групп. Количество самостоятельных текстов внутри Мравалтави, Иадгари, Догматикона и житийных сборников здесь не установлено.</w:t>
      </w:r>
    </w:p>
    <w:p>
      <w:pPr>
        <w:pStyle w:val="Heading2"/>
        <w:pageBreakBefore/>
      </w:pPr>
      <w:r>
        <w:t>2.3. Поиск назад и вперёд во времени</w:t>
      </w:r>
    </w:p>
    <w:p>
      <w:r>
        <w:t>Более ранние источники включены не по общему тематическому сходству, а как материал конкретных грузинских переводов: «Начала теологии» Прокла, речи Григория Богослова, «О природе человека» Немесия, «Об устроении человека» Григория Нисского и иерусалимский лекционарный слой. Для каждого различаются древний текст, грузинская версия и доступное современное представление. Старый английский перевод Прокла, например, не заменяет грузинский комментарий Петрици.</w:t>
      </w:r>
      <w:r>
        <w:t xml:space="preserve"> </w:t>
      </w:r>
      <w:hyperlink r:id="rId18">
        <w:r>
          <w:rPr>
            <w:color w:val="165D8D"/>
            <w:u w:val="single"/>
            <w:sz w:val="18"/>
          </w:rPr>
          <w:t>[R023]</w:t>
        </w:r>
      </w:hyperlink>
      <w:r>
        <w:t xml:space="preserve"> </w:t>
      </w:r>
      <w:hyperlink r:id="rId19">
        <w:r>
          <w:rPr>
            <w:color w:val="165D8D"/>
            <w:u w:val="single"/>
            <w:sz w:val="18"/>
          </w:rPr>
          <w:t>[R034]</w:t>
        </w:r>
      </w:hyperlink>
      <w:r>
        <w:t xml:space="preserve"> </w:t>
      </w:r>
      <w:hyperlink r:id="rId20">
        <w:r>
          <w:rPr>
            <w:color w:val="165D8D"/>
            <w:u w:val="single"/>
            <w:sz w:val="18"/>
          </w:rPr>
          <w:t>[R041]</w:t>
        </w:r>
      </w:hyperlink>
      <w:r>
        <w:t xml:space="preserve"> </w:t>
      </w:r>
      <w:hyperlink r:id="rId21">
        <w:r>
          <w:rPr>
            <w:color w:val="165D8D"/>
            <w:u w:val="single"/>
            <w:sz w:val="18"/>
          </w:rPr>
          <w:t>[R042]</w:t>
        </w:r>
      </w:hyperlink>
      <w:r>
        <w:t xml:space="preserve"> </w:t>
      </w:r>
      <w:hyperlink r:id="rId22">
        <w:r>
          <w:rPr>
            <w:color w:val="165D8D"/>
            <w:u w:val="single"/>
            <w:sz w:val="18"/>
          </w:rPr>
          <w:t>[R068]</w:t>
        </w:r>
      </w:hyperlink>
      <w:r>
        <w:t xml:space="preserve"> </w:t>
      </w:r>
      <w:hyperlink r:id="rId23">
        <w:r>
          <w:rPr>
            <w:color w:val="165D8D"/>
            <w:u w:val="single"/>
            <w:sz w:val="18"/>
          </w:rPr>
          <w:t>[R071]</w:t>
        </w:r>
      </w:hyperlink>
    </w:p>
    <w:p>
      <w:r>
        <w:t>Прямое корпусное расширение охватывает две грузинские «Диалектики», Феодора Абу Курру, мифологические пояснения Псевдо-Нонна к Григорию, догматический флорилегий, Малый и Великий Номоканоны, алфавитные изречения отцов, поучения Зосимы, гимнографию Микаэла Модрекили и Иоанна Минчхи. Наличие названия в специализированном корпусе не приравнено к проверке полного текста; в ряде TITUS-записей открылась только оболочка или не открылся текстовый вход.</w:t>
      </w:r>
      <w:r>
        <w:t xml:space="preserve"> </w:t>
      </w:r>
      <w:hyperlink r:id="rId24">
        <w:r>
          <w:rPr>
            <w:color w:val="165D8D"/>
            <w:u w:val="single"/>
            <w:sz w:val="18"/>
          </w:rPr>
          <w:t>[R015]</w:t>
        </w:r>
      </w:hyperlink>
      <w:r>
        <w:t xml:space="preserve"> </w:t>
      </w:r>
      <w:hyperlink r:id="rId25">
        <w:r>
          <w:rPr>
            <w:color w:val="165D8D"/>
            <w:u w:val="single"/>
            <w:sz w:val="18"/>
          </w:rPr>
          <w:t>[R018]</w:t>
        </w:r>
      </w:hyperlink>
      <w:r>
        <w:t xml:space="preserve"> </w:t>
      </w:r>
      <w:hyperlink r:id="rId26">
        <w:r>
          <w:rPr>
            <w:color w:val="165D8D"/>
            <w:u w:val="single"/>
            <w:sz w:val="18"/>
          </w:rPr>
          <w:t>[R028]</w:t>
        </w:r>
      </w:hyperlink>
      <w:r>
        <w:t xml:space="preserve"> </w:t>
      </w:r>
      <w:hyperlink r:id="rId27">
        <w:r>
          <w:rPr>
            <w:color w:val="165D8D"/>
            <w:u w:val="single"/>
            <w:sz w:val="18"/>
          </w:rPr>
          <w:t>[R029]</w:t>
        </w:r>
      </w:hyperlink>
      <w:r>
        <w:t xml:space="preserve"> </w:t>
      </w:r>
      <w:hyperlink r:id="rId28">
        <w:r>
          <w:rPr>
            <w:color w:val="165D8D"/>
            <w:u w:val="single"/>
            <w:sz w:val="18"/>
          </w:rPr>
          <w:t>[R035]</w:t>
        </w:r>
      </w:hyperlink>
      <w:r>
        <w:t xml:space="preserve"> </w:t>
      </w:r>
      <w:hyperlink r:id="rId29">
        <w:r>
          <w:rPr>
            <w:color w:val="165D8D"/>
            <w:u w:val="single"/>
            <w:sz w:val="18"/>
          </w:rPr>
          <w:t>[R043]</w:t>
        </w:r>
      </w:hyperlink>
      <w:r>
        <w:t xml:space="preserve"> </w:t>
      </w:r>
      <w:hyperlink r:id="rId15">
        <w:r>
          <w:rPr>
            <w:color w:val="165D8D"/>
            <w:u w:val="single"/>
            <w:sz w:val="18"/>
          </w:rPr>
          <w:t>[R065]</w:t>
        </w:r>
      </w:hyperlink>
      <w:r>
        <w:t xml:space="preserve"> </w:t>
      </w:r>
      <w:hyperlink r:id="rId16">
        <w:r>
          <w:rPr>
            <w:color w:val="165D8D"/>
            <w:u w:val="single"/>
            <w:sz w:val="18"/>
          </w:rPr>
          <w:t>[R066]</w:t>
        </w:r>
      </w:hyperlink>
      <w:r>
        <w:t xml:space="preserve"> </w:t>
      </w:r>
      <w:hyperlink r:id="rId17">
        <w:r>
          <w:rPr>
            <w:color w:val="165D8D"/>
            <w:u w:val="single"/>
            <w:sz w:val="18"/>
          </w:rPr>
          <w:t>[R067]</w:t>
        </w:r>
      </w:hyperlink>
      <w:r>
        <w:t xml:space="preserve"> </w:t>
      </w:r>
      <w:hyperlink r:id="rId30">
        <w:r>
          <w:rPr>
            <w:color w:val="165D8D"/>
            <w:u w:val="single"/>
            <w:sz w:val="18"/>
          </w:rPr>
          <w:t>[R069]</w:t>
        </w:r>
      </w:hyperlink>
      <w:r>
        <w:t xml:space="preserve"> </w:t>
      </w:r>
      <w:hyperlink r:id="rId31">
        <w:r>
          <w:rPr>
            <w:color w:val="165D8D"/>
            <w:u w:val="single"/>
            <w:sz w:val="18"/>
          </w:rPr>
          <w:t>[R070]</w:t>
        </w:r>
      </w:hyperlink>
    </w:p>
    <w:p>
      <w:r>
        <w:t>Поиск вперёд дал документированную линию рецепции Петрици: «Спекали» Антония, словарь Сулхан-Сабы Орбелиани и «Калмасоба» Иоанна Багратиони. Найдены конкретные библиотечные издания, но философские разделы «Калмасобы» не локализованы по страницам. Поэтому это входы в произведение рецепции, а не подтверждённые цифровые извлечения комментария к Проклу.</w:t>
      </w:r>
      <w:r>
        <w:t xml:space="preserve"> </w:t>
      </w:r>
      <w:hyperlink r:id="rId32">
        <w:r>
          <w:rPr>
            <w:color w:val="165D8D"/>
            <w:u w:val="single"/>
            <w:sz w:val="18"/>
          </w:rPr>
          <w:t>[R044]</w:t>
        </w:r>
      </w:hyperlink>
      <w:r>
        <w:t xml:space="preserve"> </w:t>
      </w:r>
      <w:hyperlink r:id="rId33">
        <w:r>
          <w:rPr>
            <w:color w:val="165D8D"/>
            <w:u w:val="single"/>
            <w:sz w:val="18"/>
          </w:rPr>
          <w:t>[R045]</w:t>
        </w:r>
      </w:hyperlink>
      <w:r>
        <w:t xml:space="preserve"> </w:t>
      </w:r>
      <w:hyperlink r:id="rId34">
        <w:r>
          <w:rPr>
            <w:color w:val="165D8D"/>
            <w:u w:val="single"/>
            <w:sz w:val="18"/>
          </w:rPr>
          <w:t>[R046]</w:t>
        </w:r>
      </w:hyperlink>
      <w:r>
        <w:t xml:space="preserve"> </w:t>
      </w:r>
      <w:hyperlink r:id="rId35">
        <w:r>
          <w:rPr>
            <w:color w:val="165D8D"/>
            <w:u w:val="single"/>
            <w:sz w:val="18"/>
          </w:rPr>
          <w:t>[R047]</w:t>
        </w:r>
      </w:hyperlink>
      <w:r>
        <w:t xml:space="preserve"> </w:t>
      </w:r>
      <w:hyperlink r:id="rId36">
        <w:r>
          <w:rPr>
            <w:color w:val="165D8D"/>
            <w:u w:val="single"/>
            <w:sz w:val="18"/>
          </w:rPr>
          <w:t>[R048]</w:t>
        </w:r>
      </w:hyperlink>
      <w:r>
        <w:t xml:space="preserve"> </w:t>
      </w:r>
      <w:hyperlink r:id="rId37">
        <w:r>
          <w:rPr>
            <w:color w:val="165D8D"/>
            <w:u w:val="single"/>
            <w:sz w:val="18"/>
          </w:rPr>
          <w:t>Академическое подтверждение связи: SEP</w:t>
        </w:r>
      </w:hyperlink>
    </w:p>
    <w:p>
      <w:r>
        <w:t>Армянский перевод 1248 года, переработка Симеона Джугаеци 1651 года и обратная грузинская передача 1757 года сохранены как приоритетные направления в gaps. Исследовательская статья об армянской линии найдена, но она не заменяет первичные тексты этих трёх стадий. Их отсутствие в основной таблице как полнотекстовых объектов означает недостаточную проверку цифрового входа, а не отсутствие самих произведений.</w:t>
      </w:r>
      <w:r>
        <w:t xml:space="preserve"> </w:t>
      </w:r>
      <w:hyperlink r:id="rId38">
        <w:r>
          <w:rPr>
            <w:color w:val="165D8D"/>
            <w:u w:val="single"/>
            <w:sz w:val="18"/>
          </w:rPr>
          <w:t>[R049]</w:t>
        </w:r>
      </w:hyperlink>
    </w:p>
    <w:p>
      <w:r>
        <w:t>Поздние издания и переводы образуют отдельный слой доступа: печать XIX–XX веков в NPLG, современные тома Brepols, немецкий комментарий Петрици, русское издание 1984 года, английские Balavariani и Life of the Virgin. Они не посчитаны новыми древними произведениями. Греческая ветвь Barlaam and Ioasaph включена по конкретной линии грузинско-греческой передачи.</w:t>
      </w:r>
      <w:r>
        <w:t xml:space="preserve"> </w:t>
      </w:r>
      <w:hyperlink r:id="rId39">
        <w:r>
          <w:rPr>
            <w:color w:val="165D8D"/>
            <w:u w:val="single"/>
            <w:sz w:val="18"/>
          </w:rPr>
          <w:t>[R002]</w:t>
        </w:r>
      </w:hyperlink>
      <w:r>
        <w:t xml:space="preserve"> </w:t>
      </w:r>
      <w:hyperlink r:id="rId40">
        <w:r>
          <w:rPr>
            <w:color w:val="165D8D"/>
            <w:u w:val="single"/>
            <w:sz w:val="18"/>
          </w:rPr>
          <w:t>[R007]</w:t>
        </w:r>
      </w:hyperlink>
      <w:r>
        <w:t xml:space="preserve"> </w:t>
      </w:r>
      <w:hyperlink r:id="rId41">
        <w:r>
          <w:rPr>
            <w:color w:val="165D8D"/>
            <w:u w:val="single"/>
            <w:sz w:val="18"/>
          </w:rPr>
          <w:t>[R038]</w:t>
        </w:r>
      </w:hyperlink>
      <w:r>
        <w:t xml:space="preserve"> </w:t>
      </w:r>
      <w:hyperlink r:id="rId42">
        <w:r>
          <w:rPr>
            <w:color w:val="165D8D"/>
            <w:u w:val="single"/>
            <w:sz w:val="18"/>
          </w:rPr>
          <w:t>[R039]</w:t>
        </w:r>
      </w:hyperlink>
      <w:r>
        <w:t xml:space="preserve"> </w:t>
      </w:r>
      <w:hyperlink r:id="rId43">
        <w:r>
          <w:rPr>
            <w:color w:val="165D8D"/>
            <w:u w:val="single"/>
            <w:sz w:val="18"/>
          </w:rPr>
          <w:t>[R040]</w:t>
        </w:r>
      </w:hyperlink>
      <w:r>
        <w:t xml:space="preserve"> </w:t>
      </w:r>
      <w:hyperlink r:id="rId44">
        <w:r>
          <w:rPr>
            <w:color w:val="165D8D"/>
            <w:u w:val="single"/>
            <w:sz w:val="18"/>
          </w:rPr>
          <w:t>[R052]</w:t>
        </w:r>
      </w:hyperlink>
      <w:r>
        <w:t xml:space="preserve"> </w:t>
      </w:r>
      <w:hyperlink r:id="rId45">
        <w:r>
          <w:rPr>
            <w:color w:val="165D8D"/>
            <w:u w:val="single"/>
            <w:sz w:val="18"/>
          </w:rPr>
          <w:t>Oxford: грузинская переводная традиция</w:t>
        </w:r>
      </w:hyperlink>
    </w:p>
    <w:p>
      <w:pPr>
        <w:pStyle w:val="Heading2"/>
      </w:pPr>
      <w:r>
        <w:t>2.4. Релевантность и границы расширения</w:t>
      </w:r>
    </w:p>
    <w:p>
      <w:r>
        <w:t>Распределение 71 пути доступа: core — 34; same_corpus_or_tradition — 16; antecedent — 5; commentary_or_reception — 6; transmission_or_preservation — 4; supporting — 1; infrastructure — 1; secondary_navigation — 4. Категории continuation и boundary не заполнялись искусственно: поздние включения точнее описываются как рецепция или передача.</w:t>
      </w:r>
    </w:p>
    <w:p>
      <w:r>
        <w:t>Сирийский нижний текст палимпсеста не объявляется автоматически источником грузинского верхнего текста. Полная история византийской, армянской или грузинской литературы не включалась. Арабская предыстория Балавариани и кандидат «Лествица» оставлены в gaps там, где не достигнута предметная проверка версии и доступа. В итоговых файлах нет ссылок на Wikipedia как на источник доступа, идентичности или прав.</w:t>
      </w:r>
    </w:p>
    <w:p>
      <w:pPr>
        <w:pStyle w:val="Heading1"/>
        <w:pageBreakBefore/>
      </w:pPr>
      <w:r>
        <w:t>3. Лучшие пути доступа</w:t>
      </w:r>
    </w:p>
    <w:p>
      <w:pPr>
        <w:pStyle w:val="Heading2"/>
      </w:pPr>
      <w:r>
        <w:t>3.1. Иадгари, лекционарии и палестино-синайские свидетели</w:t>
      </w:r>
    </w:p>
    <w:p>
      <w:r>
        <w:t>Лучший проверенный машиночитаемый вход — текстовые сегменты TITUS: Иадгари и Иерусалимский лекционарий. Это пригодный материал для чтения и сверки конкретных мест, но проверенный сегмент не равен всему корпусу. Для Иадгари сайт указывает существенно больший полный текст; его целостная загрузка в данном запуске не проверена.</w:t>
      </w:r>
      <w:r>
        <w:t xml:space="preserve"> </w:t>
      </w:r>
      <w:hyperlink r:id="rId46">
        <w:r>
          <w:rPr>
            <w:color w:val="165D8D"/>
            <w:u w:val="single"/>
            <w:sz w:val="18"/>
          </w:rPr>
          <w:t>[R022]</w:t>
        </w:r>
      </w:hyperlink>
      <w:r>
        <w:t xml:space="preserve"> </w:t>
      </w:r>
      <w:hyperlink r:id="rId18">
        <w:r>
          <w:rPr>
            <w:color w:val="165D8D"/>
            <w:u w:val="single"/>
            <w:sz w:val="18"/>
          </w:rPr>
          <w:t>[R023]</w:t>
        </w:r>
      </w:hyperlink>
    </w:p>
    <w:p>
      <w:r>
        <w:t>Для печатного грузинского корпуса найден точный NPLG item Древнейшего Иадгари 1980 года; карточку и PDF этого item открыть не удалось. Издание «Дзлиспирни» 1971 года имеет библиотечную карточку с предложенным PDF. Эти два результата имеют разную степень проверки. Наличие кнопки файла не устанавливает ни доступность всех страниц, ни право повторного размещения.</w:t>
      </w:r>
      <w:r>
        <w:t xml:space="preserve"> </w:t>
      </w:r>
      <w:hyperlink r:id="rId47">
        <w:r>
          <w:rPr>
            <w:color w:val="165D8D"/>
            <w:u w:val="single"/>
            <w:sz w:val="18"/>
          </w:rPr>
          <w:t>[R016]</w:t>
        </w:r>
      </w:hyperlink>
      <w:r>
        <w:t xml:space="preserve"> </w:t>
      </w:r>
      <w:hyperlink r:id="rId14">
        <w:r>
          <w:rPr>
            <w:color w:val="165D8D"/>
            <w:u w:val="single"/>
            <w:sz w:val="18"/>
          </w:rPr>
          <w:t>[R056]</w:t>
        </w:r>
      </w:hyperlink>
      <w:r>
        <w:t xml:space="preserve"> </w:t>
      </w:r>
      <w:hyperlink r:id="rId48">
        <w:r>
          <w:rPr>
            <w:color w:val="165D8D"/>
            <w:u w:val="single"/>
            <w:sz w:val="18"/>
          </w:rPr>
          <w:t>[R057]</w:t>
        </w:r>
      </w:hyperlink>
    </w:p>
    <w:p>
      <w:r>
        <w:t>Лучший проверенный факсимильный вход в один исторический свидетель — Vatican Library, Vat. iber. 4: просмотр и скачивание для личного изучения. Для HMML Frag. 32 сохранены отдельные пути через vHMML, публикацию транскрипции и OPenn. Транскрипция не равна полному факсимиле; перспективный OPenn-слой не получил подтверждения непосредственно открытой лицензией.</w:t>
      </w:r>
      <w:r>
        <w:t xml:space="preserve"> </w:t>
      </w:r>
      <w:hyperlink r:id="rId49">
        <w:r>
          <w:rPr>
            <w:color w:val="165D8D"/>
            <w:u w:val="single"/>
            <w:sz w:val="18"/>
          </w:rPr>
          <w:t>[R019]</w:t>
        </w:r>
      </w:hyperlink>
      <w:r>
        <w:t xml:space="preserve"> </w:t>
      </w:r>
      <w:hyperlink r:id="rId50">
        <w:r>
          <w:rPr>
            <w:color w:val="165D8D"/>
            <w:u w:val="single"/>
            <w:sz w:val="18"/>
          </w:rPr>
          <w:t>[R020]</w:t>
        </w:r>
      </w:hyperlink>
      <w:r>
        <w:t xml:space="preserve"> </w:t>
      </w:r>
      <w:hyperlink r:id="rId51">
        <w:r>
          <w:rPr>
            <w:color w:val="165D8D"/>
            <w:u w:val="single"/>
            <w:sz w:val="18"/>
          </w:rPr>
          <w:t>[R021]</w:t>
        </w:r>
      </w:hyperlink>
      <w:r>
        <w:t xml:space="preserve"> </w:t>
      </w:r>
      <w:hyperlink r:id="rId52">
        <w:r>
          <w:rPr>
            <w:color w:val="165D8D"/>
            <w:u w:val="single"/>
            <w:sz w:val="18"/>
          </w:rPr>
          <w:t>[R037]</w:t>
        </w:r>
      </w:hyperlink>
    </w:p>
    <w:p>
      <w:r>
        <w:t>Синайские карточки LOC для Georgian 40, 59, 62, 68 и 43 оставлены в реестре, но при проверке возвращали отказ доступа. У UCLA NF M 84 и NF M 90 не удалось проверить полноту динамической карточки и наборов изображений. Наличие IIIF или JSON в описании проекта не принято за проверку конкретного работоспособного endpoint. Для рукописи 43 не установлено, что названный святой Евфимий — именно Евфимий Афонский.</w:t>
      </w:r>
      <w:r>
        <w:t xml:space="preserve"> </w:t>
      </w:r>
      <w:hyperlink r:id="rId53">
        <w:r>
          <w:rPr>
            <w:color w:val="165D8D"/>
            <w:u w:val="single"/>
            <w:sz w:val="18"/>
          </w:rPr>
          <w:t>[R058]</w:t>
        </w:r>
      </w:hyperlink>
      <w:r>
        <w:t xml:space="preserve"> </w:t>
      </w:r>
      <w:hyperlink r:id="rId54">
        <w:r>
          <w:rPr>
            <w:color w:val="165D8D"/>
            <w:u w:val="single"/>
            <w:sz w:val="18"/>
          </w:rPr>
          <w:t>[R059]</w:t>
        </w:r>
      </w:hyperlink>
      <w:r>
        <w:t xml:space="preserve"> </w:t>
      </w:r>
      <w:hyperlink r:id="rId55">
        <w:r>
          <w:rPr>
            <w:color w:val="165D8D"/>
            <w:u w:val="single"/>
            <w:sz w:val="18"/>
          </w:rPr>
          <w:t>[R060]</w:t>
        </w:r>
      </w:hyperlink>
      <w:r>
        <w:t xml:space="preserve"> </w:t>
      </w:r>
      <w:hyperlink r:id="rId56">
        <w:r>
          <w:rPr>
            <w:color w:val="165D8D"/>
            <w:u w:val="single"/>
            <w:sz w:val="18"/>
          </w:rPr>
          <w:t>[R061]</w:t>
        </w:r>
      </w:hyperlink>
      <w:r>
        <w:t xml:space="preserve"> </w:t>
      </w:r>
      <w:hyperlink r:id="rId57">
        <w:r>
          <w:rPr>
            <w:color w:val="165D8D"/>
            <w:u w:val="single"/>
            <w:sz w:val="18"/>
          </w:rPr>
          <w:t>[R062]</w:t>
        </w:r>
      </w:hyperlink>
      <w:r>
        <w:t xml:space="preserve"> </w:t>
      </w:r>
      <w:hyperlink r:id="rId58">
        <w:r>
          <w:rPr>
            <w:color w:val="165D8D"/>
            <w:u w:val="single"/>
            <w:sz w:val="18"/>
          </w:rPr>
          <w:t>[R063]</w:t>
        </w:r>
      </w:hyperlink>
      <w:r>
        <w:t xml:space="preserve"> </w:t>
      </w:r>
      <w:hyperlink r:id="rId59">
        <w:r>
          <w:rPr>
            <w:color w:val="165D8D"/>
            <w:u w:val="single"/>
            <w:sz w:val="18"/>
          </w:rPr>
          <w:t>[R064]</w:t>
        </w:r>
      </w:hyperlink>
    </w:p>
    <w:p>
      <w:r>
        <w:t>Полного проверенного русского или английского перевода Иадгари в этом исследовании не найдено. Ни один перечисленный вход не получил безусловного разрешения на публикацию собственной переводной версии ToS: чистота основы, объём и условия цифрового слоя должны рассматриваться вместе.</w:t>
      </w:r>
    </w:p>
    <w:p>
      <w:pPr>
        <w:pStyle w:val="Heading2"/>
      </w:pPr>
      <w:r>
        <w:t>3.2. Иверон, жития и метафрастическая работа</w:t>
      </w:r>
    </w:p>
    <w:p>
      <w:r>
        <w:t>Иверонский портал и отдельные подборки Евфимия и Георгия дают предметный вход в переводческую среду и изображения выбранных листов. Они не заменяют полного факсимиле всех кодексов. Iviron geo. 68 оставлен отдельной целью поиска; это не Sinai Georgian 68.</w:t>
      </w:r>
      <w:r>
        <w:t xml:space="preserve"> </w:t>
      </w:r>
      <w:hyperlink r:id="rId60">
        <w:r>
          <w:rPr>
            <w:color w:val="165D8D"/>
            <w:u w:val="single"/>
            <w:sz w:val="18"/>
          </w:rPr>
          <w:t>[R003]</w:t>
        </w:r>
      </w:hyperlink>
      <w:r>
        <w:t xml:space="preserve"> </w:t>
      </w:r>
      <w:hyperlink r:id="rId61">
        <w:r>
          <w:rPr>
            <w:color w:val="165D8D"/>
            <w:u w:val="single"/>
            <w:sz w:val="18"/>
          </w:rPr>
          <w:t>[R004]</w:t>
        </w:r>
      </w:hyperlink>
      <w:r>
        <w:t xml:space="preserve"> </w:t>
      </w:r>
      <w:hyperlink r:id="rId62">
        <w:r>
          <w:rPr>
            <w:color w:val="165D8D"/>
            <w:u w:val="single"/>
            <w:sz w:val="18"/>
          </w:rPr>
          <w:t>[R005]</w:t>
        </w:r>
      </w:hyperlink>
    </w:p>
    <w:p>
      <w:r>
        <w:t>Французский перевод Бернадетты Мартен-Изар «Жития Иоанна и Евфимия» на Persée — наиболее полезный найденный вход в прямое свидетельство о работе иверонской общины. Открыты статья и её текстовое представление; сплошная сверка всех страниц не выполнялась. Современный перевод не объявлен свободным по возрасту грузинского жития.</w:t>
      </w:r>
      <w:r>
        <w:t xml:space="preserve"> </w:t>
      </w:r>
      <w:hyperlink r:id="rId12">
        <w:r>
          <w:rPr>
            <w:color w:val="165D8D"/>
            <w:u w:val="single"/>
            <w:sz w:val="18"/>
          </w:rPr>
          <w:t>[R051]</w:t>
        </w:r>
      </w:hyperlink>
    </w:p>
    <w:p>
      <w:r>
        <w:t>Статья Сандро Николаишвили публикует три свидетельства о Метафрасте и помогает идентифицировать грузинскую рецепцию. CC BY-SA относится к лицензированному авторскому материалу этой публикации с оговоркой о сторонних компонентах. Это не лицензия на весь грузинский Метафрастический менологий; полный первичный корпус остаётся существенным пробелом.</w:t>
      </w:r>
      <w:r>
        <w:t xml:space="preserve"> </w:t>
      </w:r>
      <w:hyperlink r:id="rId63">
        <w:r>
          <w:rPr>
            <w:color w:val="165D8D"/>
            <w:u w:val="single"/>
            <w:sz w:val="18"/>
          </w:rPr>
          <w:t>[R006]</w:t>
        </w:r>
      </w:hyperlink>
    </w:p>
    <w:p>
      <w:pPr>
        <w:pStyle w:val="Heading2"/>
        <w:pageBreakBefore/>
      </w:pPr>
      <w:r>
        <w:t>3.3. Григорий Богослов и комментарийная линия</w:t>
      </w:r>
    </w:p>
    <w:p>
      <w:r>
        <w:t>Для грузинского Corpus Nazianzenum найдены восемь конкретных томов Brepols. Это самый последовательно представленный современный критический ряд в пакете: каждый том имеет свою издательскую карточку, набор речей, редакторов и ограничения. Для научной работы это предпочтительнее случайного открытого пересказа; для зеркалирования эти защищённые издания не подходят.</w:t>
      </w:r>
      <w:r>
        <w:t xml:space="preserve"> </w:t>
      </w:r>
      <w:hyperlink r:id="rId40">
        <w:r>
          <w:rPr>
            <w:color w:val="165D8D"/>
            <w:u w:val="single"/>
            <w:sz w:val="18"/>
          </w:rPr>
          <w:t>[R007]</w:t>
        </w:r>
      </w:hyperlink>
      <w:r>
        <w:t xml:space="preserve"> </w:t>
      </w:r>
      <w:hyperlink r:id="rId64">
        <w:r>
          <w:rPr>
            <w:color w:val="165D8D"/>
            <w:u w:val="single"/>
            <w:sz w:val="18"/>
          </w:rPr>
          <w:t>[R008]</w:t>
        </w:r>
      </w:hyperlink>
      <w:r>
        <w:t xml:space="preserve"> </w:t>
      </w:r>
      <w:hyperlink r:id="rId65">
        <w:r>
          <w:rPr>
            <w:color w:val="165D8D"/>
            <w:u w:val="single"/>
            <w:sz w:val="18"/>
          </w:rPr>
          <w:t>[R009]</w:t>
        </w:r>
      </w:hyperlink>
      <w:r>
        <w:t xml:space="preserve"> </w:t>
      </w:r>
      <w:hyperlink r:id="rId66">
        <w:r>
          <w:rPr>
            <w:color w:val="165D8D"/>
            <w:u w:val="single"/>
            <w:sz w:val="18"/>
          </w:rPr>
          <w:t>[R010]</w:t>
        </w:r>
      </w:hyperlink>
      <w:r>
        <w:t xml:space="preserve"> </w:t>
      </w:r>
      <w:hyperlink r:id="rId67">
        <w:r>
          <w:rPr>
            <w:color w:val="165D8D"/>
            <w:u w:val="single"/>
            <w:sz w:val="18"/>
          </w:rPr>
          <w:t>[R011]</w:t>
        </w:r>
      </w:hyperlink>
      <w:r>
        <w:t xml:space="preserve"> </w:t>
      </w:r>
      <w:hyperlink r:id="rId68">
        <w:r>
          <w:rPr>
            <w:color w:val="165D8D"/>
            <w:u w:val="single"/>
            <w:sz w:val="18"/>
          </w:rPr>
          <w:t>[R012]</w:t>
        </w:r>
      </w:hyperlink>
      <w:r>
        <w:t xml:space="preserve"> </w:t>
      </w:r>
      <w:hyperlink r:id="rId69">
        <w:r>
          <w:rPr>
            <w:color w:val="165D8D"/>
            <w:u w:val="single"/>
            <w:sz w:val="18"/>
          </w:rPr>
          <w:t>[R013]</w:t>
        </w:r>
      </w:hyperlink>
      <w:r>
        <w:t xml:space="preserve"> </w:t>
      </w:r>
      <w:hyperlink r:id="rId70">
        <w:r>
          <w:rPr>
            <w:color w:val="165D8D"/>
            <w:u w:val="single"/>
            <w:sz w:val="18"/>
          </w:rPr>
          <w:t>[R014]</w:t>
        </w:r>
      </w:hyperlink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7937"/>
      </w:tblGrid>
      <w:tr>
        <w:trPr>
          <w:cantSplit/>
          <w:tblHeader/>
        </w:trPr>
        <w:tc>
          <w:tcPr>
            <w:tcW w:type="dxa" w:w="1928"/>
            <w:vAlign w:val="top"/>
            <w:shd w:fill="203C4B"/>
          </w:tcPr>
          <w:p>
            <w:pPr>
              <w:spacing w:before="60" w:after="80" w:line="252" w:lineRule="auto"/>
            </w:pPr>
            <w:r>
              <w:rPr>
                <w:b/>
                <w:color w:val="FFFFFF"/>
                <w:sz w:val="17"/>
              </w:rPr>
              <w:t>Тома и годы</w:t>
            </w:r>
          </w:p>
        </w:tc>
        <w:tc>
          <w:tcPr>
            <w:tcW w:type="dxa" w:w="7937"/>
            <w:vAlign w:val="top"/>
            <w:shd w:fill="203C4B"/>
          </w:tcPr>
          <w:p>
            <w:pPr>
              <w:spacing w:before="60" w:after="80" w:line="252" w:lineRule="auto"/>
            </w:pPr>
            <w:r>
              <w:rPr>
                <w:b/>
                <w:color w:val="FFFFFF"/>
                <w:sz w:val="17"/>
              </w:rPr>
              <w:t>Состав и различимые версии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F0F4F5"/>
          </w:tcPr>
          <w:p>
            <w:pPr>
              <w:spacing w:before="60" w:after="80" w:line="252" w:lineRule="auto"/>
            </w:pPr>
            <w:r>
              <w:rPr>
                <w:sz w:val="17"/>
              </w:rPr>
              <w:t>I–II, 1998–2000</w:t>
            </w:r>
          </w:p>
        </w:tc>
        <w:tc>
          <w:tcPr>
            <w:tcW w:type="dxa" w:w="7937"/>
            <w:vAlign w:val="top"/>
            <w:shd w:fill="F0F4F5"/>
          </w:tcPr>
          <w:p>
            <w:pPr>
              <w:spacing w:before="60" w:after="80" w:line="252" w:lineRule="auto"/>
            </w:pPr>
            <w:r>
              <w:rPr>
                <w:sz w:val="17"/>
              </w:rPr>
              <w:t>Речи 45, 44, 41; 15, 24, 19. В одном названии/оглавлении обнаружено расхождение; оно сохранено в notes, а не скрыто.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FFFFFF"/>
          </w:tcPr>
          <w:p>
            <w:pPr>
              <w:spacing w:before="60" w:after="80" w:line="252" w:lineRule="auto"/>
            </w:pPr>
            <w:r>
              <w:rPr>
                <w:sz w:val="17"/>
              </w:rPr>
              <w:t>III–IV, 2001–2004</w:t>
            </w:r>
          </w:p>
        </w:tc>
        <w:tc>
          <w:tcPr>
            <w:tcW w:type="dxa" w:w="7937"/>
            <w:vAlign w:val="top"/>
            <w:shd w:fill="FFFFFF"/>
          </w:tcPr>
          <w:p>
            <w:pPr>
              <w:spacing w:before="60" w:after="80" w:line="252" w:lineRule="auto"/>
            </w:pPr>
            <w:r>
              <w:rPr>
                <w:sz w:val="17"/>
              </w:rPr>
              <w:t>Речь 38 в старой, евфимиевой и ефремовой версиях; речь 43 и комментарий Никиты Ираклийского.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F0F4F5"/>
          </w:tcPr>
          <w:p>
            <w:pPr>
              <w:spacing w:before="60" w:after="80" w:line="252" w:lineRule="auto"/>
            </w:pPr>
            <w:r>
              <w:rPr>
                <w:sz w:val="17"/>
              </w:rPr>
              <w:t>V–VI, 2007–2014</w:t>
            </w:r>
          </w:p>
        </w:tc>
        <w:tc>
          <w:tcPr>
            <w:tcW w:type="dxa" w:w="7937"/>
            <w:vAlign w:val="top"/>
            <w:shd w:fill="F0F4F5"/>
          </w:tcPr>
          <w:p>
            <w:pPr>
              <w:spacing w:before="60" w:after="80" w:line="252" w:lineRule="auto"/>
            </w:pPr>
            <w:r>
              <w:rPr>
                <w:sz w:val="17"/>
              </w:rPr>
              <w:t>Речи 39, 40; комментарий Пселла в грузинской передаче; затем речи 11, 21, 42.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FFFFFF"/>
          </w:tcPr>
          <w:p>
            <w:pPr>
              <w:spacing w:before="60" w:after="80" w:line="252" w:lineRule="auto"/>
            </w:pPr>
            <w:r>
              <w:rPr>
                <w:sz w:val="17"/>
              </w:rPr>
              <w:t>VII–VIII, 2018–2020</w:t>
            </w:r>
          </w:p>
        </w:tc>
        <w:tc>
          <w:tcPr>
            <w:tcW w:type="dxa" w:w="7937"/>
            <w:vAlign w:val="top"/>
            <w:shd w:fill="FFFFFF"/>
          </w:tcPr>
          <w:p>
            <w:pPr>
              <w:spacing w:before="60" w:after="80" w:line="252" w:lineRule="auto"/>
            </w:pPr>
            <w:r>
              <w:rPr>
                <w:sz w:val="17"/>
              </w:rPr>
              <w:t>Речи 16, 14; затем 6, 23, 22. Поздняя рукопись ефремовой версии учитывается как свидетель передачи, а не новая дата исходного перевода.</w:t>
            </w:r>
          </w:p>
        </w:tc>
      </w:tr>
    </w:tbl>
    <w:p>
      <w:r>
        <w:t>Псевдо-Нонн представлен отдельным критическим изданием грузинских мифологических комментариев. Комментарии Псевдо-Максима, Никиты Ираклийского и Пселла учитываются по конкретным изданиям. Никита Ираклийский в этой линии не смешивается с Никитой Стифатом в Догматиконе.</w:t>
      </w:r>
      <w:r>
        <w:t xml:space="preserve"> </w:t>
      </w:r>
      <w:hyperlink r:id="rId65">
        <w:r>
          <w:rPr>
            <w:color w:val="165D8D"/>
            <w:u w:val="single"/>
            <w:sz w:val="18"/>
          </w:rPr>
          <w:t>[R009]</w:t>
        </w:r>
      </w:hyperlink>
      <w:r>
        <w:t xml:space="preserve"> </w:t>
      </w:r>
      <w:hyperlink r:id="rId66">
        <w:r>
          <w:rPr>
            <w:color w:val="165D8D"/>
            <w:u w:val="single"/>
            <w:sz w:val="18"/>
          </w:rPr>
          <w:t>[R010]</w:t>
        </w:r>
      </w:hyperlink>
      <w:r>
        <w:t xml:space="preserve"> </w:t>
      </w:r>
      <w:hyperlink r:id="rId67">
        <w:r>
          <w:rPr>
            <w:color w:val="165D8D"/>
            <w:u w:val="single"/>
            <w:sz w:val="18"/>
          </w:rPr>
          <w:t>[R011]</w:t>
        </w:r>
      </w:hyperlink>
      <w:r>
        <w:t xml:space="preserve"> </w:t>
      </w:r>
      <w:hyperlink r:id="rId24">
        <w:r>
          <w:rPr>
            <w:color w:val="165D8D"/>
            <w:u w:val="single"/>
            <w:sz w:val="18"/>
          </w:rPr>
          <w:t>[R015]</w:t>
        </w:r>
      </w:hyperlink>
      <w:r>
        <w:t xml:space="preserve"> </w:t>
      </w:r>
      <w:hyperlink r:id="rId71">
        <w:r>
          <w:rPr>
            <w:color w:val="165D8D"/>
            <w:u w:val="single"/>
            <w:sz w:val="18"/>
          </w:rPr>
          <w:t>[R054]</w:t>
        </w:r>
      </w:hyperlink>
      <w:r>
        <w:t xml:space="preserve"> </w:t>
      </w:r>
      <w:hyperlink r:id="rId72">
        <w:r>
          <w:rPr>
            <w:color w:val="165D8D"/>
            <w:u w:val="single"/>
            <w:sz w:val="18"/>
          </w:rPr>
          <w:t>[R055]</w:t>
        </w:r>
      </w:hyperlink>
    </w:p>
    <w:p>
      <w:r>
        <w:t>Бесплатная старая английская альтернатива для выбранных речей Григория — CCEL, NPNF, серия II, том 7. Открыт большой PDF, в котором есть явное разрешение на неизменённое некоммерческое копирование. Это не грузинский или греческий исходник, не полный Corpus Nazianzenum и не разрешение автоматически публиковать XML, OCR или отдельную производную базу.</w:t>
      </w:r>
      <w:r>
        <w:t xml:space="preserve"> </w:t>
      </w:r>
      <w:hyperlink r:id="rId23">
        <w:r>
          <w:rPr>
            <w:color w:val="165D8D"/>
            <w:u w:val="single"/>
            <w:sz w:val="18"/>
          </w:rPr>
          <w:t>[R071]</w:t>
        </w:r>
      </w:hyperlink>
    </w:p>
    <w:p>
      <w:pPr>
        <w:pStyle w:val="Heading2"/>
      </w:pPr>
      <w:r>
        <w:t>3.4. Ефрем, Арсен и Догматикон</w:t>
      </w:r>
    </w:p>
    <w:p>
      <w:r>
        <w:t>Грузинский Corpus Dionysiacum 1961 года подтверждён библиотечным каталогом UG. В каталоге используется авторское обозначение, связанное с Петром Ивером; спорная атрибуция не перенесена в реестр как установленный факт. Внешний полнотекстовый просмотрщик не открылся, поэтому сохранена каталожная возможность, а не обещание бесплатного полного чтения.</w:t>
      </w:r>
      <w:r>
        <w:t xml:space="preserve"> </w:t>
      </w:r>
      <w:hyperlink r:id="rId73">
        <w:r>
          <w:rPr>
            <w:color w:val="165D8D"/>
            <w:u w:val="single"/>
            <w:sz w:val="18"/>
          </w:rPr>
          <w:t>[R030]</w:t>
        </w:r>
      </w:hyperlink>
      <w:r>
        <w:t xml:space="preserve"> </w:t>
      </w:r>
      <w:hyperlink r:id="rId11">
        <w:r>
          <w:rPr>
            <w:color w:val="165D8D"/>
            <w:u w:val="single"/>
            <w:sz w:val="18"/>
          </w:rPr>
          <w:t>[R050]</w:t>
        </w:r>
      </w:hyperlink>
      <w:r>
        <w:t xml:space="preserve"> </w:t>
      </w:r>
      <w:hyperlink r:id="rId72">
        <w:r>
          <w:rPr>
            <w:color w:val="165D8D"/>
            <w:u w:val="single"/>
            <w:sz w:val="18"/>
          </w:rPr>
          <w:t>[R055]</w:t>
        </w:r>
      </w:hyperlink>
    </w:p>
    <w:p>
      <w:r>
        <w:t>Две грузинские «Диалектики» Иоанна Дамаскина разведены по переводчикам Ефрему и Арсену. Для «Путеводителя» Анастасия Синаита и догматического флорилегия найдены отдельные тома Догматикона в UG; доступ к файлам ограничен университетской средой. Карточка Абу Курры 1980 года подтверждена, но внешний файл не проверен. Эти различия отражены в access_mode.</w:t>
      </w:r>
      <w:r>
        <w:t xml:space="preserve"> </w:t>
      </w:r>
      <w:hyperlink r:id="rId74">
        <w:r>
          <w:rPr>
            <w:color w:val="165D8D"/>
            <w:u w:val="single"/>
            <w:sz w:val="18"/>
          </w:rPr>
          <w:t>[R017]</w:t>
        </w:r>
      </w:hyperlink>
      <w:r>
        <w:t xml:space="preserve"> </w:t>
      </w:r>
      <w:hyperlink r:id="rId25">
        <w:r>
          <w:rPr>
            <w:color w:val="165D8D"/>
            <w:u w:val="single"/>
            <w:sz w:val="18"/>
          </w:rPr>
          <w:t>[R018]</w:t>
        </w:r>
      </w:hyperlink>
      <w:r>
        <w:t xml:space="preserve"> </w:t>
      </w:r>
      <w:hyperlink r:id="rId26">
        <w:r>
          <w:rPr>
            <w:color w:val="165D8D"/>
            <w:u w:val="single"/>
            <w:sz w:val="18"/>
          </w:rPr>
          <w:t>[R028]</w:t>
        </w:r>
      </w:hyperlink>
      <w:r>
        <w:t xml:space="preserve"> </w:t>
      </w:r>
      <w:hyperlink r:id="rId27">
        <w:r>
          <w:rPr>
            <w:color w:val="165D8D"/>
            <w:u w:val="single"/>
            <w:sz w:val="18"/>
          </w:rPr>
          <w:t>[R029]</w:t>
        </w:r>
      </w:hyperlink>
      <w:r>
        <w:t xml:space="preserve"> </w:t>
      </w:r>
      <w:hyperlink r:id="rId29">
        <w:r>
          <w:rPr>
            <w:color w:val="165D8D"/>
            <w:u w:val="single"/>
            <w:sz w:val="18"/>
          </w:rPr>
          <w:t>[R043]</w:t>
        </w:r>
      </w:hyperlink>
    </w:p>
    <w:p>
      <w:r>
        <w:t>Для Максима Исповедника реально прочитан небольшой грузинский фрагмент Questions to Thalassius, связанный с S-1463, л. 69v–70r. Он не покрывает весь трактат и тем более весь максимовский корпус. По Никите Стифату найден академический навигационный вход, важный для утраченной греческой Epistle IX и арсеновских примечаний; полный первичный текст этим входом не заменяется.</w:t>
      </w:r>
      <w:r>
        <w:t xml:space="preserve"> </w:t>
      </w:r>
      <w:hyperlink r:id="rId75">
        <w:r>
          <w:rPr>
            <w:color w:val="165D8D"/>
            <w:u w:val="single"/>
            <w:sz w:val="18"/>
          </w:rPr>
          <w:t>[R024]</w:t>
        </w:r>
      </w:hyperlink>
      <w:r>
        <w:t xml:space="preserve"> </w:t>
      </w:r>
      <w:hyperlink r:id="rId71">
        <w:r>
          <w:rPr>
            <w:color w:val="165D8D"/>
            <w:u w:val="single"/>
            <w:sz w:val="18"/>
          </w:rPr>
          <w:t>[R054]</w:t>
        </w:r>
      </w:hyperlink>
    </w:p>
    <w:p>
      <w:pPr>
        <w:pStyle w:val="Heading2"/>
        <w:pageBreakBefore/>
      </w:pPr>
      <w:r>
        <w:t>3.5. Петрици, Прокл и поздняя рецепция</w:t>
      </w:r>
    </w:p>
    <w:p>
      <w:r>
        <w:t>Для грузинского перевода Прокла найден первый том сочинений Петрици 1940 года в NPLG: карточка предлагает PDF, но сам файл не проверен. Лучший найденный современный перевод комментария Петрици — немецкое издание Benjamins 2009 года, доступное через покупку или институциональный канал. Русское издание 1984 года подтверждено официальной каталожной выдачей РГБ; непосредственное открытие карточки не удалось.</w:t>
      </w:r>
      <w:r>
        <w:t xml:space="preserve"> </w:t>
      </w:r>
      <w:hyperlink r:id="rId76">
        <w:r>
          <w:rPr>
            <w:color w:val="165D8D"/>
            <w:u w:val="single"/>
            <w:sz w:val="18"/>
          </w:rPr>
          <w:t>[R001]</w:t>
        </w:r>
      </w:hyperlink>
      <w:r>
        <w:t xml:space="preserve"> </w:t>
      </w:r>
      <w:hyperlink r:id="rId39">
        <w:r>
          <w:rPr>
            <w:color w:val="165D8D"/>
            <w:u w:val="single"/>
            <w:sz w:val="18"/>
          </w:rPr>
          <w:t>[R002]</w:t>
        </w:r>
      </w:hyperlink>
      <w:r>
        <w:t xml:space="preserve"> </w:t>
      </w:r>
      <w:hyperlink r:id="rId44">
        <w:r>
          <w:rPr>
            <w:color w:val="165D8D"/>
            <w:u w:val="single"/>
            <w:sz w:val="18"/>
          </w:rPr>
          <w:t>[R052]</w:t>
        </w:r>
      </w:hyperlink>
    </w:p>
    <w:p>
      <w:r>
        <w:t>Грузинские текстовые входы TITUS для Прокла и комментария Петрици — две разные записи; в этом запуске полного текста по ним не получено. Старый английский Прокл Томаса Тейлора доступен в Project Gutenberg, но не является переводом комментария Петрици. Для греко-латинского издания Крейцера 1822 года найдена MDZ-карточка; факсимиле и условия изображений не проверены.</w:t>
      </w:r>
      <w:r>
        <w:t xml:space="preserve"> </w:t>
      </w:r>
      <w:hyperlink r:id="rId77">
        <w:r>
          <w:rPr>
            <w:color w:val="165D8D"/>
            <w:u w:val="single"/>
            <w:sz w:val="18"/>
          </w:rPr>
          <w:t>[R032]</w:t>
        </w:r>
      </w:hyperlink>
      <w:r>
        <w:t xml:space="preserve"> </w:t>
      </w:r>
      <w:hyperlink r:id="rId78">
        <w:r>
          <w:rPr>
            <w:color w:val="165D8D"/>
            <w:u w:val="single"/>
            <w:sz w:val="18"/>
          </w:rPr>
          <w:t>[R033]</w:t>
        </w:r>
      </w:hyperlink>
      <w:r>
        <w:t xml:space="preserve"> </w:t>
      </w:r>
      <w:hyperlink r:id="rId20">
        <w:r>
          <w:rPr>
            <w:color w:val="165D8D"/>
            <w:u w:val="single"/>
            <w:sz w:val="18"/>
          </w:rPr>
          <w:t>[R041]</w:t>
        </w:r>
      </w:hyperlink>
      <w:r>
        <w:t xml:space="preserve"> </w:t>
      </w:r>
      <w:hyperlink r:id="rId21">
        <w:r>
          <w:rPr>
            <w:color w:val="165D8D"/>
            <w:u w:val="single"/>
            <w:sz w:val="18"/>
          </w:rPr>
          <w:t>[R042]</w:t>
        </w:r>
      </w:hyperlink>
    </w:p>
    <w:p>
      <w:r>
        <w:t>Статья Майи Рапхавы об армянской передаче имеет CC BY-ND; это полезный научный указатель, но не открытый корпус армянского перевода. Для «Спекали», словаря Орбелиани и «Калмасобы» сохранены конкретные библиотечные издания. Два старых тома «Калмасобы» дают исторический печатный вход, однако их возраст не используется как безусловное доказательство прав на цифровые файлы.</w:t>
      </w:r>
      <w:r>
        <w:t xml:space="preserve"> </w:t>
      </w:r>
      <w:hyperlink r:id="rId32">
        <w:r>
          <w:rPr>
            <w:color w:val="165D8D"/>
            <w:u w:val="single"/>
            <w:sz w:val="18"/>
          </w:rPr>
          <w:t>[R044]</w:t>
        </w:r>
      </w:hyperlink>
      <w:r>
        <w:t xml:space="preserve"> </w:t>
      </w:r>
      <w:hyperlink r:id="rId33">
        <w:r>
          <w:rPr>
            <w:color w:val="165D8D"/>
            <w:u w:val="single"/>
            <w:sz w:val="18"/>
          </w:rPr>
          <w:t>[R045]</w:t>
        </w:r>
      </w:hyperlink>
      <w:r>
        <w:t xml:space="preserve"> </w:t>
      </w:r>
      <w:hyperlink r:id="rId34">
        <w:r>
          <w:rPr>
            <w:color w:val="165D8D"/>
            <w:u w:val="single"/>
            <w:sz w:val="18"/>
          </w:rPr>
          <w:t>[R046]</w:t>
        </w:r>
      </w:hyperlink>
      <w:r>
        <w:t xml:space="preserve"> </w:t>
      </w:r>
      <w:hyperlink r:id="rId35">
        <w:r>
          <w:rPr>
            <w:color w:val="165D8D"/>
            <w:u w:val="single"/>
            <w:sz w:val="18"/>
          </w:rPr>
          <w:t>[R047]</w:t>
        </w:r>
      </w:hyperlink>
      <w:r>
        <w:t xml:space="preserve"> </w:t>
      </w:r>
      <w:hyperlink r:id="rId36">
        <w:r>
          <w:rPr>
            <w:color w:val="165D8D"/>
            <w:u w:val="single"/>
            <w:sz w:val="18"/>
          </w:rPr>
          <w:t>[R048]</w:t>
        </w:r>
      </w:hyperlink>
      <w:r>
        <w:t xml:space="preserve"> </w:t>
      </w:r>
      <w:hyperlink r:id="rId38">
        <w:r>
          <w:rPr>
            <w:color w:val="165D8D"/>
            <w:u w:val="single"/>
            <w:sz w:val="18"/>
          </w:rPr>
          <w:t>[R049]</w:t>
        </w:r>
      </w:hyperlink>
    </w:p>
    <w:p>
      <w:r>
        <w:t>Чистая, полностью проверенная греческая или грузинская цифровая основа для нового перевода ToS в данной группе не установлена. Поэтому в пакете нет тега OWN_TRANSLATION_POSSIBLE, основанного только на древности Прокла или Петрици.</w:t>
      </w:r>
    </w:p>
    <w:p>
      <w:pPr>
        <w:pStyle w:val="Heading2"/>
      </w:pPr>
      <w:r>
        <w:t>3.6. Балавариани, Barlaam and Ioasaph и Life of the Virgin</w:t>
      </w:r>
    </w:p>
    <w:p>
      <w:r>
        <w:t>В TITUS открыт конкретный раздел пространной грузинской версии Балавариани; другой редакционный вход не удалось прочитать. Project Gutenberg предлагает полный старый английский перевод греческой ветви Barlaam and Ioasaph. Он полезен для чтения истории, но не заменяет грузинский оригинал и не подтверждает старую атрибуцию Иоанну Дамаскину.</w:t>
      </w:r>
      <w:r>
        <w:t xml:space="preserve"> </w:t>
      </w:r>
      <w:hyperlink r:id="rId79">
        <w:r>
          <w:rPr>
            <w:color w:val="165D8D"/>
            <w:u w:val="single"/>
            <w:sz w:val="18"/>
          </w:rPr>
          <w:t>[R025]</w:t>
        </w:r>
      </w:hyperlink>
      <w:r>
        <w:t xml:space="preserve"> </w:t>
      </w:r>
      <w:hyperlink r:id="rId80">
        <w:r>
          <w:rPr>
            <w:color w:val="165D8D"/>
            <w:u w:val="single"/>
            <w:sz w:val="18"/>
          </w:rPr>
          <w:t>[R026]</w:t>
        </w:r>
      </w:hyperlink>
      <w:r>
        <w:t xml:space="preserve"> </w:t>
      </w:r>
      <w:hyperlink r:id="rId43">
        <w:r>
          <w:rPr>
            <w:color w:val="165D8D"/>
            <w:u w:val="single"/>
            <w:sz w:val="18"/>
          </w:rPr>
          <w:t>[R040]</w:t>
        </w:r>
      </w:hyperlink>
    </w:p>
    <w:p>
      <w:r>
        <w:t>Английский перевод грузинского Balavariani Дэвида Лэнга сохранён как официальный издательский путь Routledge; непосредственная проверка страницы не удалась. Современное критическое издание греческой ветви и конкретная арабская предыстория вынесены в gaps, а не заменены случайными копиями.</w:t>
      </w:r>
      <w:r>
        <w:t xml:space="preserve"> </w:t>
      </w:r>
      <w:hyperlink r:id="rId42">
        <w:r>
          <w:rPr>
            <w:color w:val="165D8D"/>
            <w:u w:val="single"/>
            <w:sz w:val="18"/>
          </w:rPr>
          <w:t>[R039]</w:t>
        </w:r>
      </w:hyperlink>
    </w:p>
    <w:p>
      <w:r>
        <w:t>Для Life of the Virgin найдено официальное издание английского перевода Стивена Шумейкера, Yale, 2012. Это защищённый современный перевод. Атрибуция Максиму и роль грузинской редакции остаются предметом дискуссии; издательское название не превращено в окончательное решение об авторстве. Грузинское основание и французский перевод CSCO требуют отдельной проверки доступа.</w:t>
      </w:r>
      <w:r>
        <w:t xml:space="preserve"> </w:t>
      </w:r>
      <w:hyperlink r:id="rId41">
        <w:r>
          <w:rPr>
            <w:color w:val="165D8D"/>
            <w:u w:val="single"/>
            <w:sz w:val="18"/>
          </w:rPr>
          <w:t>[R038]</w:t>
        </w:r>
      </w:hyperlink>
    </w:p>
    <w:p>
      <w:r>
        <w:t>Ни для одной из этих групп не подтверждён действующий режим Controlled Digital Lending или фактическая библиотечная выдача конкретного файла. Поэтому library_borrow не добавлен ради полноты перечня. Регистрация, покупки и обращения к учреждениям не выполнялись.</w:t>
      </w:r>
    </w:p>
    <w:p>
      <w:pPr>
        <w:pStyle w:val="Heading1"/>
        <w:pageBreakBefore/>
      </w:pPr>
      <w:r>
        <w:t>4. Карта прав и практического использования</w:t>
      </w:r>
    </w:p>
    <w:p>
      <w:r>
        <w:t>Основной принцип реестра: право читать, право скачать и право повторно разместить — разные разрешения. Ни один первичный грузинский корпус не помечен безусловным MIRROR_OK. Наиболее ясно лицензированный слой найден главным образом в современных научных публикациях, а не в полном массиве средневековых текстов.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7540"/>
      </w:tblGrid>
      <w:tr>
        <w:trPr>
          <w:cantSplit/>
          <w:tblHeader/>
        </w:trPr>
        <w:tc>
          <w:tcPr>
            <w:tcW w:type="dxa" w:w="2324"/>
            <w:vAlign w:val="top"/>
            <w:shd w:fill="203C4B"/>
          </w:tcPr>
          <w:p>
            <w:pPr>
              <w:spacing w:before="60" w:after="80" w:line="252" w:lineRule="auto"/>
            </w:pPr>
            <w:r>
              <w:rPr>
                <w:b/>
                <w:color w:val="FFFFFF"/>
                <w:sz w:val="17"/>
              </w:rPr>
              <w:t>Слой / записи</w:t>
            </w:r>
          </w:p>
        </w:tc>
        <w:tc>
          <w:tcPr>
            <w:tcW w:type="dxa" w:w="7540"/>
            <w:vAlign w:val="top"/>
            <w:shd w:fill="203C4B"/>
          </w:tcPr>
          <w:p>
            <w:pPr>
              <w:spacing w:before="60" w:after="80" w:line="252" w:lineRule="auto"/>
            </w:pPr>
            <w:r>
              <w:rPr>
                <w:b/>
                <w:color w:val="FFFFFF"/>
                <w:sz w:val="17"/>
              </w:rPr>
              <w:t>Практический режим для ToS</w:t>
            </w:r>
          </w:p>
        </w:tc>
      </w:tr>
      <w:tr>
        <w:trPr>
          <w:cantSplit/>
        </w:trPr>
        <w:tc>
          <w:tcPr>
            <w:tcW w:type="dxa" w:w="2324"/>
            <w:vAlign w:val="top"/>
            <w:shd w:fill="F0F4F5"/>
          </w:tcPr>
          <w:p>
            <w:pPr>
              <w:spacing w:before="60" w:after="80" w:line="252" w:lineRule="auto"/>
            </w:pPr>
            <w:r>
              <w:rPr>
                <w:sz w:val="17"/>
              </w:rPr>
              <w:t>Статья и свидетельства, R006</w:t>
            </w:r>
          </w:p>
        </w:tc>
        <w:tc>
          <w:tcPr>
            <w:tcW w:type="dxa" w:w="7540"/>
            <w:vAlign w:val="top"/>
            <w:shd w:fill="F0F4F5"/>
          </w:tcPr>
          <w:p>
            <w:pPr>
              <w:spacing w:before="60" w:after="80" w:line="252" w:lineRule="auto"/>
            </w:pPr>
            <w:r>
              <w:rPr>
                <w:sz w:val="17"/>
              </w:rPr>
              <w:t>CC BY-SA 4.0: атрибуция, сохранение уведомлений, ShareAlike для адаптаций. Положительные теги относятся к лицензированному авторскому слою; сторонние изображения и заимствованные материалы требуют проверки.</w:t>
            </w:r>
          </w:p>
        </w:tc>
      </w:tr>
      <w:tr>
        <w:trPr>
          <w:cantSplit/>
        </w:trPr>
        <w:tc>
          <w:tcPr>
            <w:tcW w:type="dxa" w:w="2324"/>
            <w:vAlign w:val="top"/>
            <w:shd w:fill="FFFFFF"/>
          </w:tcPr>
          <w:p>
            <w:pPr>
              <w:spacing w:before="60" w:after="80" w:line="252" w:lineRule="auto"/>
            </w:pPr>
            <w:r>
              <w:rPr>
                <w:sz w:val="17"/>
              </w:rPr>
              <w:t>Исследование Февронии, R053</w:t>
            </w:r>
          </w:p>
        </w:tc>
        <w:tc>
          <w:tcPr>
            <w:tcW w:type="dxa" w:w="7540"/>
            <w:vAlign w:val="top"/>
            <w:shd w:fill="FFFFFF"/>
          </w:tcPr>
          <w:p>
            <w:pPr>
              <w:spacing w:before="60" w:after="80" w:line="252" w:lineRule="auto"/>
            </w:pPr>
            <w:r>
              <w:rPr>
                <w:sz w:val="17"/>
              </w:rPr>
              <w:t>CC BY-NC 4.0: авторский материал можно использовать некоммерчески с атрибуцией. Открыта страница статьи; полный PDF не проверен. Лицензия не объявлена разрешением на все рукописные изображения.</w:t>
            </w:r>
          </w:p>
        </w:tc>
      </w:tr>
      <w:tr>
        <w:trPr>
          <w:cantSplit/>
        </w:trPr>
        <w:tc>
          <w:tcPr>
            <w:tcW w:type="dxa" w:w="2324"/>
            <w:vAlign w:val="top"/>
            <w:shd w:fill="F0F4F5"/>
          </w:tcPr>
          <w:p>
            <w:pPr>
              <w:spacing w:before="60" w:after="80" w:line="252" w:lineRule="auto"/>
            </w:pPr>
            <w:r>
              <w:rPr>
                <w:sz w:val="17"/>
              </w:rPr>
              <w:t>Армянская передача, R049</w:t>
            </w:r>
          </w:p>
        </w:tc>
        <w:tc>
          <w:tcPr>
            <w:tcW w:type="dxa" w:w="7540"/>
            <w:vAlign w:val="top"/>
            <w:shd w:fill="F0F4F5"/>
          </w:tcPr>
          <w:p>
            <w:pPr>
              <w:spacing w:before="60" w:after="80" w:line="252" w:lineRule="auto"/>
            </w:pPr>
            <w:r>
              <w:rPr>
                <w:sz w:val="17"/>
              </w:rPr>
              <w:t>CC BY-ND 4.0: распространять лицензированный авторский материал неизменённым с атрибуцией. Публичный перевод или иная адаптация статьи не разрешены тегом UNCHANGED_ONLY.</w:t>
            </w:r>
          </w:p>
        </w:tc>
      </w:tr>
      <w:tr>
        <w:trPr>
          <w:cantSplit/>
        </w:trPr>
        <w:tc>
          <w:tcPr>
            <w:tcW w:type="dxa" w:w="2324"/>
            <w:vAlign w:val="top"/>
            <w:shd w:fill="FFFFFF"/>
          </w:tcPr>
          <w:p>
            <w:pPr>
              <w:spacing w:before="60" w:after="80" w:line="252" w:lineRule="auto"/>
            </w:pPr>
            <w:r>
              <w:rPr>
                <w:sz w:val="17"/>
              </w:rPr>
              <w:t>Старый английский том CCEL, R071</w:t>
            </w:r>
          </w:p>
        </w:tc>
        <w:tc>
          <w:tcPr>
            <w:tcW w:type="dxa" w:w="7540"/>
            <w:vAlign w:val="top"/>
            <w:shd w:fill="FFFFFF"/>
          </w:tcPr>
          <w:p>
            <w:pPr>
              <w:spacing w:before="60" w:after="80" w:line="252" w:lineRule="auto"/>
            </w:pPr>
            <w:r>
              <w:rPr>
                <w:sz w:val="17"/>
              </w:rPr>
              <w:t>Особое разрешение в PDF: неизменённое некоммерческое копирование всего соответствующего файла с сохранением уведомления. Отдельные переработанные тексты, XML и публичные индексы этим не разрешены.</w:t>
            </w:r>
          </w:p>
        </w:tc>
      </w:tr>
      <w:tr>
        <w:trPr>
          <w:cantSplit/>
        </w:trPr>
        <w:tc>
          <w:tcPr>
            <w:tcW w:type="dxa" w:w="2324"/>
            <w:vAlign w:val="top"/>
            <w:shd w:fill="F0F4F5"/>
          </w:tcPr>
          <w:p>
            <w:pPr>
              <w:spacing w:before="60" w:after="80" w:line="252" w:lineRule="auto"/>
            </w:pPr>
            <w:r>
              <w:rPr>
                <w:sz w:val="17"/>
              </w:rPr>
              <w:t>TITUS</w:t>
            </w:r>
          </w:p>
        </w:tc>
        <w:tc>
          <w:tcPr>
            <w:tcW w:type="dxa" w:w="7540"/>
            <w:vAlign w:val="top"/>
            <w:shd w:fill="F0F4F5"/>
          </w:tcPr>
          <w:p>
            <w:pPr>
              <w:spacing w:before="60" w:after="80" w:line="252" w:lineRule="auto"/>
            </w:pPr>
            <w:r>
              <w:rPr>
                <w:sz w:val="17"/>
              </w:rPr>
              <w:t>Условия научного некоммерческого использования и отдельные текстовые уведомления. Проверенное чтение/локальное исследование не равно разрешению на перепубликацию корпуса.</w:t>
            </w:r>
          </w:p>
        </w:tc>
      </w:tr>
      <w:tr>
        <w:trPr>
          <w:cantSplit/>
        </w:trPr>
        <w:tc>
          <w:tcPr>
            <w:tcW w:type="dxa" w:w="2324"/>
            <w:vAlign w:val="top"/>
            <w:shd w:fill="FFFFFF"/>
          </w:tcPr>
          <w:p>
            <w:pPr>
              <w:spacing w:before="60" w:after="80" w:line="252" w:lineRule="auto"/>
            </w:pPr>
            <w:r>
              <w:rPr>
                <w:sz w:val="17"/>
              </w:rPr>
              <w:t>NPLG / UG / издательства</w:t>
            </w:r>
          </w:p>
        </w:tc>
        <w:tc>
          <w:tcPr>
            <w:tcW w:type="dxa" w:w="7540"/>
            <w:vAlign w:val="top"/>
            <w:shd w:fill="FFFFFF"/>
          </w:tcPr>
          <w:p>
            <w:pPr>
              <w:spacing w:before="60" w:after="80" w:line="252" w:lineRule="auto"/>
            </w:pPr>
            <w:r>
              <w:rPr>
                <w:sz w:val="17"/>
              </w:rPr>
              <w:t>Карточки, предложенные PDF, институциональное чтение и покупка сохранены. Явной лицензии на повторное распространение большинства конкретных файлов не установлено.</w:t>
            </w:r>
          </w:p>
        </w:tc>
      </w:tr>
      <w:tr>
        <w:trPr>
          <w:cantSplit/>
        </w:trPr>
        <w:tc>
          <w:tcPr>
            <w:tcW w:type="dxa" w:w="2324"/>
            <w:vAlign w:val="top"/>
            <w:shd w:fill="F0F4F5"/>
          </w:tcPr>
          <w:p>
            <w:pPr>
              <w:spacing w:before="60" w:after="80" w:line="252" w:lineRule="auto"/>
            </w:pPr>
            <w:r>
              <w:rPr>
                <w:sz w:val="17"/>
              </w:rPr>
              <w:t>Рукописные изображения</w:t>
            </w:r>
          </w:p>
        </w:tc>
        <w:tc>
          <w:tcPr>
            <w:tcW w:type="dxa" w:w="7540"/>
            <w:vAlign w:val="top"/>
            <w:shd w:fill="F0F4F5"/>
          </w:tcPr>
          <w:p>
            <w:pPr>
              <w:spacing w:before="60" w:after="80" w:line="252" w:lineRule="auto"/>
            </w:pPr>
            <w:r>
              <w:rPr>
                <w:sz w:val="17"/>
              </w:rPr>
              <w:t>Vatican Library: личное изучение и скачивание, публикация с разрешением. vHMML: свой режим доступа. OPenn: перспективные условия требуют непосредственной проверки; лицензия не перенесена с одного хостинга на другой.</w:t>
            </w:r>
          </w:p>
        </w:tc>
      </w:tr>
    </w:tbl>
    <w:p>
      <w:r>
        <w:t>Обоснования и точные области действия находятся в rights_scope, rights_evidence_url и notes соответствующих записей. Уведомления о лицензиях относятся только к конкретной версии, компоненту и объёму coverage.</w:t>
      </w:r>
      <w:r>
        <w:t xml:space="preserve"> </w:t>
      </w:r>
      <w:hyperlink r:id="rId63">
        <w:r>
          <w:rPr>
            <w:color w:val="165D8D"/>
            <w:u w:val="single"/>
            <w:sz w:val="18"/>
          </w:rPr>
          <w:t>[R006]</w:t>
        </w:r>
      </w:hyperlink>
      <w:r>
        <w:t xml:space="preserve"> </w:t>
      </w:r>
      <w:hyperlink r:id="rId49">
        <w:r>
          <w:rPr>
            <w:color w:val="165D8D"/>
            <w:u w:val="single"/>
            <w:sz w:val="18"/>
          </w:rPr>
          <w:t>[R019]</w:t>
        </w:r>
      </w:hyperlink>
      <w:r>
        <w:t xml:space="preserve"> </w:t>
      </w:r>
      <w:hyperlink r:id="rId50">
        <w:r>
          <w:rPr>
            <w:color w:val="165D8D"/>
            <w:u w:val="single"/>
            <w:sz w:val="18"/>
          </w:rPr>
          <w:t>[R020]</w:t>
        </w:r>
      </w:hyperlink>
      <w:r>
        <w:t xml:space="preserve"> </w:t>
      </w:r>
      <w:hyperlink r:id="rId52">
        <w:r>
          <w:rPr>
            <w:color w:val="165D8D"/>
            <w:u w:val="single"/>
            <w:sz w:val="18"/>
          </w:rPr>
          <w:t>[R037]</w:t>
        </w:r>
      </w:hyperlink>
      <w:r>
        <w:t xml:space="preserve"> </w:t>
      </w:r>
      <w:hyperlink r:id="rId38">
        <w:r>
          <w:rPr>
            <w:color w:val="165D8D"/>
            <w:u w:val="single"/>
            <w:sz w:val="18"/>
          </w:rPr>
          <w:t>[R049]</w:t>
        </w:r>
      </w:hyperlink>
      <w:r>
        <w:t xml:space="preserve"> </w:t>
      </w:r>
      <w:hyperlink r:id="rId13">
        <w:r>
          <w:rPr>
            <w:color w:val="165D8D"/>
            <w:u w:val="single"/>
            <w:sz w:val="18"/>
          </w:rPr>
          <w:t>[R053]</w:t>
        </w:r>
      </w:hyperlink>
      <w:r>
        <w:t xml:space="preserve"> </w:t>
      </w:r>
      <w:hyperlink r:id="rId23">
        <w:r>
          <w:rPr>
            <w:color w:val="165D8D"/>
            <w:u w:val="single"/>
            <w:sz w:val="18"/>
          </w:rPr>
          <w:t>[R071]</w:t>
        </w:r>
      </w:hyperlink>
    </w:p>
    <w:p>
      <w:pPr>
        <w:pStyle w:val="Heading2"/>
      </w:pPr>
      <w:r>
        <w:t>OCR, публичный поиск и embeddings</w:t>
      </w:r>
    </w:p>
    <w:p>
      <w:r>
        <w:t>Эти действия не объединены одним «разрешением на обработку». В реестре нет положительного OCR_OK. FULLTEXT_INDEX_OK и EMBEDDINGS_OK стоят только для авторского слоя R006 на основании его открытой лицензии, а не для всего Метафрастического корпуса или музейных снимков. Наличие RIGHTS_REVIEW_REQUIRED ограничивает автоматическую обработку сторонних компонентов.</w:t>
      </w:r>
      <w:r>
        <w:t xml:space="preserve"> </w:t>
      </w:r>
      <w:hyperlink r:id="rId63">
        <w:r>
          <w:rPr>
            <w:color w:val="165D8D"/>
            <w:u w:val="single"/>
            <w:sz w:val="18"/>
          </w:rPr>
          <w:t>[R006]</w:t>
        </w:r>
      </w:hyperlink>
    </w:p>
    <w:p>
      <w:pPr>
        <w:pStyle w:val="Heading2"/>
      </w:pPr>
      <w:r>
        <w:t>Собственный перевод ToS</w:t>
      </w:r>
    </w:p>
    <w:p>
      <w:r>
        <w:t>Тег OWN_TRANSLATION_POSSIBLE не присвоен ни одной записи. Это не утверждение о невозможности новых переводов древних произведений: в данном пакете не установлена достаточная совокупность проверенной чистой основы, её реального объёма и применимых условий цифрового доступа. Защищённый перевод-посредник или критическая реконструкция не признаны свободной основой только из-за древности произведения.</w:t>
      </w:r>
    </w:p>
    <w:p>
      <w:pPr>
        <w:pStyle w:val="Heading1"/>
        <w:pageBreakBefore/>
      </w:pPr>
      <w:r>
        <w:t>5. Характерные правовые тонкости</w:t>
      </w:r>
    </w:p>
    <w:p>
      <w:pPr>
        <w:pStyle w:val="Heading2"/>
      </w:pPr>
      <w:r>
        <w:t>5.1. Древний текст и современная версия</w:t>
      </w:r>
    </w:p>
    <w:p>
      <w:r>
        <w:t>Одна запись может одновременно описывать древнее произведение вне обычного срока имущественной охраны и защищённую современную редакцию. Научный аппарат, реконструкция, перевод и цифровая транскрипция не получают автоматически статус оригинала. Это особенно важно для Corpus Nazianzenum, грузинских версий Прокла, Догматикона и оцифрованных академических изданий XX века.</w:t>
      </w:r>
      <w:r>
        <w:t xml:space="preserve"> </w:t>
      </w:r>
      <w:hyperlink r:id="rId40">
        <w:r>
          <w:rPr>
            <w:color w:val="165D8D"/>
            <w:u w:val="single"/>
            <w:sz w:val="18"/>
          </w:rPr>
          <w:t>[R007]</w:t>
        </w:r>
      </w:hyperlink>
      <w:r>
        <w:t xml:space="preserve"> </w:t>
      </w:r>
      <w:hyperlink r:id="rId46">
        <w:r>
          <w:rPr>
            <w:color w:val="165D8D"/>
            <w:u w:val="single"/>
            <w:sz w:val="18"/>
          </w:rPr>
          <w:t>[R022]</w:t>
        </w:r>
      </w:hyperlink>
      <w:r>
        <w:t xml:space="preserve"> </w:t>
      </w:r>
      <w:hyperlink r:id="rId32">
        <w:r>
          <w:rPr>
            <w:color w:val="165D8D"/>
            <w:u w:val="single"/>
            <w:sz w:val="18"/>
          </w:rPr>
          <w:t>[R044]</w:t>
        </w:r>
      </w:hyperlink>
      <w:r>
        <w:t xml:space="preserve"> </w:t>
      </w:r>
      <w:hyperlink r:id="rId11">
        <w:r>
          <w:rPr>
            <w:color w:val="165D8D"/>
            <w:u w:val="single"/>
            <w:sz w:val="18"/>
          </w:rPr>
          <w:t>[R050]</w:t>
        </w:r>
      </w:hyperlink>
    </w:p>
    <w:p>
      <w:pPr>
        <w:pStyle w:val="Heading2"/>
      </w:pPr>
      <w:r>
        <w:t>5.2. Один свидетель — несколько цифровых объектов</w:t>
      </w:r>
    </w:p>
    <w:p>
      <w:r>
        <w:t>HMML Frag. 32 представлен через разные сервисы, и их режимы нельзя смешивать. vHMML, OPenn и отдельно опубликованная транскрипция — практически разные способы доступа. Заявленные в поисковой выдаче условия OPenn не использованы как доказательство MIRROR_OK: непосредственная страница и применимость лицензии к компонентам не проверены. Изображения, метаданные и транскрипция могут иметь разные права.</w:t>
      </w:r>
      <w:r>
        <w:t xml:space="preserve"> </w:t>
      </w:r>
      <w:hyperlink r:id="rId49">
        <w:r>
          <w:rPr>
            <w:color w:val="165D8D"/>
            <w:u w:val="single"/>
            <w:sz w:val="18"/>
          </w:rPr>
          <w:t>[R019]</w:t>
        </w:r>
      </w:hyperlink>
      <w:r>
        <w:t xml:space="preserve"> </w:t>
      </w:r>
      <w:hyperlink r:id="rId50">
        <w:r>
          <w:rPr>
            <w:color w:val="165D8D"/>
            <w:u w:val="single"/>
            <w:sz w:val="18"/>
          </w:rPr>
          <w:t>[R020]</w:t>
        </w:r>
      </w:hyperlink>
      <w:r>
        <w:t xml:space="preserve"> </w:t>
      </w:r>
      <w:hyperlink r:id="rId51">
        <w:r>
          <w:rPr>
            <w:color w:val="165D8D"/>
            <w:u w:val="single"/>
            <w:sz w:val="18"/>
          </w:rPr>
          <w:t>[R021]</w:t>
        </w:r>
      </w:hyperlink>
      <w:r>
        <w:t xml:space="preserve"> </w:t>
      </w:r>
      <w:hyperlink r:id="rId81">
        <w:r>
          <w:rPr>
            <w:color w:val="165D8D"/>
            <w:u w:val="single"/>
            <w:sz w:val="18"/>
          </w:rPr>
          <w:t>HMML: проект палимпсестов</w:t>
        </w:r>
      </w:hyperlink>
    </w:p>
    <w:p>
      <w:r>
        <w:t>Vat. iber. 4 — конкретный ватиканский свидетель; BnF géorgien 30 — отдельный объект дальнейшего поиска. Историческая принадлежность фрагментов к общему комплексу не означает единого разрешения на фотографии всех хранителей. Даже наличие IIIF не является само по себе лицензией на публичное копирование.</w:t>
      </w:r>
      <w:r>
        <w:t xml:space="preserve"> </w:t>
      </w:r>
      <w:hyperlink r:id="rId52">
        <w:r>
          <w:rPr>
            <w:color w:val="165D8D"/>
            <w:u w:val="single"/>
            <w:sz w:val="18"/>
          </w:rPr>
          <w:t>[R037]</w:t>
        </w:r>
      </w:hyperlink>
    </w:p>
    <w:p>
      <w:pPr>
        <w:pStyle w:val="Heading2"/>
      </w:pPr>
      <w:r>
        <w:t>5.3. Палимпсест не является единым текстовым слоем</w:t>
      </w:r>
    </w:p>
    <w:p>
      <w:r>
        <w:t>Даты, языки и произведения верхнего и нижнего письма должны оцениваться раздельно. Сохранение сирийского нижнего текста под грузинским не доказывает непосредственный перевод одного из другого. Современные мультиспектральные снимки и исследовательская дешифровка также не тождественны древнему пергаменту с точки зрения цифровых прав.</w:t>
      </w:r>
      <w:r>
        <w:t xml:space="preserve"> </w:t>
      </w:r>
      <w:hyperlink r:id="rId49">
        <w:r>
          <w:rPr>
            <w:color w:val="165D8D"/>
            <w:u w:val="single"/>
            <w:sz w:val="18"/>
          </w:rPr>
          <w:t>[R019]</w:t>
        </w:r>
      </w:hyperlink>
      <w:r>
        <w:t xml:space="preserve"> </w:t>
      </w:r>
      <w:hyperlink r:id="rId58">
        <w:r>
          <w:rPr>
            <w:color w:val="165D8D"/>
            <w:u w:val="single"/>
            <w:sz w:val="18"/>
          </w:rPr>
          <w:t>[R063]</w:t>
        </w:r>
      </w:hyperlink>
      <w:r>
        <w:t xml:space="preserve"> </w:t>
      </w:r>
      <w:hyperlink r:id="rId59">
        <w:r>
          <w:rPr>
            <w:color w:val="165D8D"/>
            <w:u w:val="single"/>
            <w:sz w:val="18"/>
          </w:rPr>
          <w:t>[R064]</w:t>
        </w:r>
      </w:hyperlink>
    </w:p>
    <w:p>
      <w:pPr>
        <w:pStyle w:val="Heading2"/>
      </w:pPr>
      <w:r>
        <w:t>5.4. Юрисдикция старого перевода</w:t>
      </w:r>
    </w:p>
    <w:p>
      <w:r>
        <w:t>Project Gutenberg даёт явную американскую правовую рамку. Она не объявлена всемирным статусом произведения или перевода. Для английского Barlaam and Ioasaph и Прокла Тейлора сохранены законные пути чтения, но повторное распространение ToS требует оценки применимой юрисдикции и условий конкретного цифрового издания.</w:t>
      </w:r>
      <w:r>
        <w:t xml:space="preserve"> </w:t>
      </w:r>
      <w:hyperlink r:id="rId43">
        <w:r>
          <w:rPr>
            <w:color w:val="165D8D"/>
            <w:u w:val="single"/>
            <w:sz w:val="18"/>
          </w:rPr>
          <w:t>[R040]</w:t>
        </w:r>
      </w:hyperlink>
      <w:r>
        <w:t xml:space="preserve"> </w:t>
      </w:r>
      <w:hyperlink r:id="rId20">
        <w:r>
          <w:rPr>
            <w:color w:val="165D8D"/>
            <w:u w:val="single"/>
            <w:sz w:val="18"/>
          </w:rPr>
          <w:t>[R041]</w:t>
        </w:r>
      </w:hyperlink>
    </w:p>
    <w:p>
      <w:pPr>
        <w:pStyle w:val="Heading2"/>
      </w:pPr>
      <w:r>
        <w:t>5.5. Специальное разрешение важнее общей догадки</w:t>
      </w:r>
    </w:p>
    <w:p>
      <w:r>
        <w:t>В CCEL найдено специальное уведомление внутри PDF; именно оно ограниченно обосновывает неизменённое некоммерческое копирование. Общая политика сайта не превращена в разрешение на любую переработку. На Persée режим метаданных или открытых наборов данных не перенесён на современный французский перевод статьи.</w:t>
      </w:r>
      <w:r>
        <w:t xml:space="preserve"> </w:t>
      </w:r>
      <w:hyperlink r:id="rId12">
        <w:r>
          <w:rPr>
            <w:color w:val="165D8D"/>
            <w:u w:val="single"/>
            <w:sz w:val="18"/>
          </w:rPr>
          <w:t>[R051]</w:t>
        </w:r>
      </w:hyperlink>
      <w:r>
        <w:t xml:space="preserve"> </w:t>
      </w:r>
      <w:hyperlink r:id="rId23">
        <w:r>
          <w:rPr>
            <w:color w:val="165D8D"/>
            <w:u w:val="single"/>
            <w:sz w:val="18"/>
          </w:rPr>
          <w:t>[R071]</w:t>
        </w:r>
      </w:hyperlink>
      <w:r>
        <w:t xml:space="preserve"> </w:t>
      </w:r>
      <w:hyperlink r:id="rId82">
        <w:r>
          <w:rPr>
            <w:color w:val="165D8D"/>
            <w:u w:val="single"/>
            <w:sz w:val="18"/>
          </w:rPr>
          <w:t>Persée: условия использования</w:t>
        </w:r>
      </w:hyperlink>
    </w:p>
    <w:p>
      <w:pPr>
        <w:pStyle w:val="Heading2"/>
      </w:pPr>
      <w:r>
        <w:t>5.6. Положительные теги не отменяют область действия</w:t>
      </w:r>
    </w:p>
    <w:p>
      <w:r>
        <w:t>Сочетание разрешительного тега и RIGHTS_REVIEW_REQUIRED не является противоречием, когда они относятся к разным компонентам: например, лицензированному авторскому тексту и сторонним иллюстрациям. Автоматический импорт должен читать rights_scope, coverage и notes вместе. При отсутствии доказанного права на публичное распространение законная внешняя ссылка сохраняется, но зеркалирование не рекомендуется.</w:t>
      </w:r>
    </w:p>
    <w:p>
      <w:r>
        <w:t>Реестр — исследовательская карта доказательств и ограничений, а не универсальное юридическое заключение для всех стран, способов обработки и будущих моделей финансирования ToS.</w:t>
      </w:r>
    </w:p>
    <w:p>
      <w:pPr>
        <w:pStyle w:val="Heading1"/>
        <w:pageBreakBefore/>
      </w:pPr>
      <w:r>
        <w:t>6. Пробелы и дальнейший поиск</w:t>
      </w:r>
    </w:p>
    <w:p>
      <w:r>
        <w:t>Лист gaps содержит 27 предметных пробелов. Он различает непроверенного кандидата, неустановленный полный доступ, техническую недоступность и неясные права. «Не найден пригодный цифровой вход» не означает «произведение не существует».</w:t>
      </w:r>
    </w:p>
    <w:p>
      <w:r>
        <w:t>Главные содержательные недостачи: полный грузинский Метафрастический корпус; первичные тексты отдельных частей Догматикона и Epistle IX Никиты Стифата; полные грузинские версии Максима; оригиналы Life of the Virgin и Жития Иоанна и Евфимия; Michael of Mar Saba; чистые текстовые основания Немесия и Прокла; прямые армянские свидетели поздней передачи.</w:t>
      </w:r>
    </w:p>
    <w:p>
      <w:r>
        <w:t>Основные технические ограничения: 403 у пяти LOC item-страниц; динамические оболочки UCLA; недоступные OPenn-страница и некоторые NPLG item/PDF; внешние просмотрщики UG; часть текстовых входов TITUS; карточки РГБ и MDZ. Некоторые PDF удалось прочесть в текстовом представлении, но инструмент снимка страницы возвращал ошибку. Такие результаты не названы визуальной проверкой всех листов или иллюстраций.</w:t>
      </w:r>
    </w:p>
    <w:p>
      <w:pPr>
        <w:pStyle w:val="Heading2"/>
      </w:pPr>
      <w:r>
        <w:t>Восемь адресных направлений продолжения</w:t>
      </w:r>
    </w:p>
    <w:p>
      <w:r>
        <w:t>1. Иадгари и лекционарий. Проверить NPLG handles 435562 и 431942, получить реальные PDF и их уведомления о правах; сопоставить состав с полным TITUS, а не с отдельным просмотренным сегментом. Не путать карточку Древнейшего Иадгари с иной редакцией или «Дзлиспирни».</w:t>
      </w:r>
    </w:p>
    <w:p>
      <w:r>
        <w:t>2. Иверон и Метафраст. Найти item-level вход Iviron geo. 68, установить набор житий и редакций по месяцам; связать опубликованные свидетельства о переводческой работе с конкретными кодексами и доступными листами. Не подменять эту задачу повторной ссылкой на общий портал.</w:t>
      </w:r>
    </w:p>
    <w:p>
      <w:r>
        <w:t>3. Рассеянный палимпсест. Для HMML Frag. 32, Vat. iber. 4, BnF géorgien 30 и связанных синайских фрагментов проверить отдельные хранилища. В OPenn раздельно подтвердить права на изображения, метаданные и транскрипции; нельзя принимать поисковый сниппет за применимую лицензию.</w:t>
      </w:r>
    </w:p>
    <w:p>
      <w:r>
        <w:t>4. Синай и Феврония. Довести NF M 84 / NF M 90 до проверенных layer-level карточек и изображений; проверить четыре названных академической публикацией свидетеля Февронии. У LOC установить реальные форматы, полноту микрофильма, права и работоспособность IIIF.</w:t>
      </w:r>
    </w:p>
    <w:p>
      <w:r>
        <w:t>5. Догматикон и патристика. Найти доступ к UG-изданиям, Corpus Dionysiacum 1961 года, двум «Диалектикам», Никите Стифату и полному Thalassius. Зафиксировать различие полного первичного издания, авторского репозитория статьи и институционального файла.</w:t>
      </w:r>
    </w:p>
    <w:p>
      <w:r>
        <w:t>6. Петрици и античные исходники. Проверить второй том 1937 года, греческий Прокл в MDZ и возможный лицензированный машиночитаемый текст; разрешить доступ к русскому изданию 1984 года. Для Немесия установить конкретное грузинское издание и пригодный греческий источник.</w:t>
      </w:r>
    </w:p>
    <w:p>
      <w:r>
        <w:t>7. Поздняя передача. Найти первичные армянские тексты 1248 и 1651 годов, грузинскую передачу 1757 года и страницы философских разделов «Калмасобы». Статья о трансмиссии подтверждает направление поиска, но не заменяет эти произведения.</w:t>
      </w:r>
    </w:p>
    <w:p>
      <w:r>
        <w:t>8. Двунаправленная агиография. Проверить современное греческое издание Barlaam and Ioasaph, издания CSCO грузинской Life of the Virgin, грузинскую и греческую версии Michael of Mar Saba. Арабскую предысторию Балавариани включать в основной реестр только после идентификации конкретной редакции и законного входа.</w:t>
      </w:r>
    </w:p>
    <w:p>
      <w:pPr>
        <w:pStyle w:val="Heading1"/>
        <w:pageBreakBefore/>
      </w:pPr>
      <w:r>
        <w:t>7. Итоговая оценка</w:t>
      </w:r>
    </w:p>
    <w:p>
      <w:pPr>
        <w:spacing w:before="140" w:after="200"/>
        <w:shd w:fill="EAF2EF"/>
      </w:pPr>
      <w:r>
        <w:rPr>
          <w:b/>
        </w:rPr>
        <w:t>Пакет пригоден для передачи Codex как карта корпуса, доступа и доказательств прав, но не как список файлов, автоматически разрешённых к зеркалированию.</w:t>
      </w:r>
    </w:p>
    <w:p>
      <w:r>
        <w:t>Все шесть блоков DR получили предметные пути доступа и/или явные пробелы. Лучше всего представлены критические издания грузинского Григория, переводные входы в Петрици и агиографию, отдельные сегменты TITUS. Полнота рукописных корпусов, метафрастического массива и частей Догматикона не установлена.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91"/>
        <w:gridCol w:w="6973"/>
      </w:tblGrid>
      <w:tr>
        <w:trPr>
          <w:cantSplit/>
          <w:tblHeader/>
        </w:trPr>
        <w:tc>
          <w:tcPr>
            <w:tcW w:type="dxa" w:w="2891"/>
            <w:vAlign w:val="top"/>
            <w:shd w:fill="203C4B"/>
          </w:tcPr>
          <w:p>
            <w:pPr>
              <w:spacing w:before="60" w:after="80" w:line="252" w:lineRule="auto"/>
            </w:pPr>
            <w:r>
              <w:rPr>
                <w:b/>
                <w:color w:val="FFFFFF"/>
                <w:sz w:val="17"/>
              </w:rPr>
              <w:t>Показатель</w:t>
            </w:r>
          </w:p>
        </w:tc>
        <w:tc>
          <w:tcPr>
            <w:tcW w:type="dxa" w:w="6973"/>
            <w:vAlign w:val="top"/>
            <w:shd w:fill="203C4B"/>
          </w:tcPr>
          <w:p>
            <w:pPr>
              <w:spacing w:before="60" w:after="80" w:line="252" w:lineRule="auto"/>
            </w:pPr>
            <w:r>
              <w:rPr>
                <w:b/>
                <w:color w:val="FFFFFF"/>
                <w:sz w:val="17"/>
              </w:rPr>
              <w:t>Итог</w:t>
            </w:r>
          </w:p>
        </w:tc>
      </w:tr>
      <w:tr>
        <w:trPr>
          <w:cantSplit/>
        </w:trPr>
        <w:tc>
          <w:tcPr>
            <w:tcW w:type="dxa" w:w="2891"/>
            <w:vAlign w:val="top"/>
            <w:shd w:fill="F0F4F5"/>
          </w:tcPr>
          <w:p>
            <w:pPr>
              <w:spacing w:before="60" w:after="80" w:line="252" w:lineRule="auto"/>
            </w:pPr>
            <w:r>
              <w:rPr>
                <w:sz w:val="17"/>
              </w:rPr>
              <w:t>Записи основного реестра</w:t>
            </w:r>
          </w:p>
        </w:tc>
        <w:tc>
          <w:tcPr>
            <w:tcW w:type="dxa" w:w="6973"/>
            <w:vAlign w:val="top"/>
            <w:shd w:fill="F0F4F5"/>
          </w:tcPr>
          <w:p>
            <w:pPr>
              <w:spacing w:before="60" w:after="80" w:line="252" w:lineRule="auto"/>
            </w:pPr>
            <w:r>
              <w:rPr>
                <w:sz w:val="17"/>
              </w:rPr>
              <w:t>71 практически различимый способ доступа; это не количество произведений и не количество открытых файлов.</w:t>
            </w:r>
          </w:p>
        </w:tc>
      </w:tr>
      <w:tr>
        <w:trPr>
          <w:cantSplit/>
        </w:trPr>
        <w:tc>
          <w:tcPr>
            <w:tcW w:type="dxa" w:w="2891"/>
            <w:vAlign w:val="top"/>
            <w:shd w:fill="FFFFFF"/>
          </w:tcPr>
          <w:p>
            <w:pPr>
              <w:spacing w:before="60" w:after="80" w:line="252" w:lineRule="auto"/>
            </w:pPr>
            <w:r>
              <w:rPr>
                <w:sz w:val="17"/>
              </w:rPr>
              <w:t>Рабочие группы произведений</w:t>
            </w:r>
          </w:p>
        </w:tc>
        <w:tc>
          <w:tcPr>
            <w:tcW w:type="dxa" w:w="6973"/>
            <w:vAlign w:val="top"/>
            <w:shd w:fill="FFFFFF"/>
          </w:tcPr>
          <w:p>
            <w:pPr>
              <w:spacing w:before="60" w:after="80" w:line="252" w:lineRule="auto"/>
            </w:pPr>
            <w:r>
              <w:rPr>
                <w:sz w:val="17"/>
              </w:rPr>
              <w:t>32 группы текстов, сборников и корпусных семей; широкие корпуса переводчиков пересекаются с отдельными произведениями.</w:t>
            </w:r>
          </w:p>
        </w:tc>
      </w:tr>
      <w:tr>
        <w:trPr>
          <w:cantSplit/>
        </w:trPr>
        <w:tc>
          <w:tcPr>
            <w:tcW w:type="dxa" w:w="2891"/>
            <w:vAlign w:val="top"/>
            <w:shd w:fill="F0F4F5"/>
          </w:tcPr>
          <w:p>
            <w:pPr>
              <w:spacing w:before="60" w:after="80" w:line="252" w:lineRule="auto"/>
            </w:pPr>
            <w:r>
              <w:rPr>
                <w:sz w:val="17"/>
              </w:rPr>
              <w:t>Пробелы</w:t>
            </w:r>
          </w:p>
        </w:tc>
        <w:tc>
          <w:tcPr>
            <w:tcW w:type="dxa" w:w="6973"/>
            <w:vAlign w:val="top"/>
            <w:shd w:fill="F0F4F5"/>
          </w:tcPr>
          <w:p>
            <w:pPr>
              <w:spacing w:before="60" w:after="80" w:line="252" w:lineRule="auto"/>
            </w:pPr>
            <w:r>
              <w:rPr>
                <w:sz w:val="17"/>
              </w:rPr>
              <w:t>27 записей на листе gaps: доступ, идентификация версии, полнота, права, первичные свидетели и внепериодная передача.</w:t>
            </w:r>
          </w:p>
        </w:tc>
      </w:tr>
      <w:tr>
        <w:trPr>
          <w:cantSplit/>
        </w:trPr>
        <w:tc>
          <w:tcPr>
            <w:tcW w:type="dxa" w:w="2891"/>
            <w:vAlign w:val="top"/>
            <w:shd w:fill="FFFFFF"/>
          </w:tcPr>
          <w:p>
            <w:pPr>
              <w:spacing w:before="60" w:after="80" w:line="252" w:lineRule="auto"/>
            </w:pPr>
            <w:r>
              <w:rPr>
                <w:sz w:val="17"/>
              </w:rPr>
              <w:t>Типы объектов</w:t>
            </w:r>
          </w:p>
        </w:tc>
        <w:tc>
          <w:tcPr>
            <w:tcW w:type="dxa" w:w="6973"/>
            <w:vAlign w:val="top"/>
            <w:shd w:fill="FFFFFF"/>
          </w:tcPr>
          <w:p>
            <w:pPr>
              <w:spacing w:before="60" w:after="80" w:line="252" w:lineRule="auto"/>
            </w:pPr>
            <w:r>
              <w:rPr>
                <w:sz w:val="17"/>
              </w:rPr>
              <w:t>32 издания/перевода; 24 цифровых текста/факсимиле; 9 физических свидетелей; 4 навигационных объекта; 1 каталог; 1 dataset/API-вход.</w:t>
            </w:r>
          </w:p>
        </w:tc>
      </w:tr>
      <w:tr>
        <w:trPr>
          <w:cantSplit/>
        </w:trPr>
        <w:tc>
          <w:tcPr>
            <w:tcW w:type="dxa" w:w="2891"/>
            <w:vAlign w:val="top"/>
            <w:shd w:fill="F0F4F5"/>
          </w:tcPr>
          <w:p>
            <w:pPr>
              <w:spacing w:before="60" w:after="80" w:line="252" w:lineRule="auto"/>
            </w:pPr>
            <w:r>
              <w:rPr>
                <w:sz w:val="17"/>
              </w:rPr>
              <w:t>Режимы доступа, не взаимоисключающие</w:t>
            </w:r>
          </w:p>
        </w:tc>
        <w:tc>
          <w:tcPr>
            <w:tcW w:type="dxa" w:w="6973"/>
            <w:vAlign w:val="top"/>
            <w:shd w:fill="F0F4F5"/>
          </w:tcPr>
          <w:p>
            <w:pPr>
              <w:spacing w:before="60" w:after="80" w:line="252" w:lineRule="auto"/>
            </w:pPr>
            <w:r>
              <w:rPr>
                <w:sz w:val="17"/>
              </w:rPr>
              <w:t>14 free_full_read; 14 free_download; 11 purchase; 9 metadata_only; 3 institutional_access; 2 preview_or_snippet; 1 free_registration.</w:t>
            </w:r>
          </w:p>
        </w:tc>
      </w:tr>
      <w:tr>
        <w:trPr>
          <w:cantSplit/>
        </w:trPr>
        <w:tc>
          <w:tcPr>
            <w:tcW w:type="dxa" w:w="2891"/>
            <w:vAlign w:val="top"/>
            <w:shd w:fill="FFFFFF"/>
          </w:tcPr>
          <w:p>
            <w:pPr>
              <w:spacing w:before="60" w:after="80" w:line="252" w:lineRule="auto"/>
            </w:pPr>
            <w:r>
              <w:rPr>
                <w:sz w:val="17"/>
              </w:rPr>
              <w:t>Технически непроверенные входы</w:t>
            </w:r>
          </w:p>
        </w:tc>
        <w:tc>
          <w:tcPr>
            <w:tcW w:type="dxa" w:w="6973"/>
            <w:vAlign w:val="top"/>
            <w:shd w:fill="FFFFFF"/>
          </w:tcPr>
          <w:p>
            <w:pPr>
              <w:spacing w:before="60" w:after="80" w:line="252" w:lineRule="auto"/>
            </w:pPr>
            <w:r>
              <w:rPr>
                <w:sz w:val="17"/>
              </w:rPr>
              <w:t>30 записей содержат temporarily_unavailable. Поле verification_status объясняет, что удалось подтвердить и что не открылось.</w:t>
            </w:r>
          </w:p>
        </w:tc>
      </w:tr>
      <w:tr>
        <w:trPr>
          <w:cantSplit/>
        </w:trPr>
        <w:tc>
          <w:tcPr>
            <w:tcW w:type="dxa" w:w="2891"/>
            <w:vAlign w:val="top"/>
            <w:shd w:fill="F0F4F5"/>
          </w:tcPr>
          <w:p>
            <w:pPr>
              <w:spacing w:before="60" w:after="80" w:line="252" w:lineRule="auto"/>
            </w:pPr>
            <w:r>
              <w:rPr>
                <w:sz w:val="17"/>
              </w:rPr>
              <w:t>Оценка уверенности в правах</w:t>
            </w:r>
          </w:p>
        </w:tc>
        <w:tc>
          <w:tcPr>
            <w:tcW w:type="dxa" w:w="6973"/>
            <w:vAlign w:val="top"/>
            <w:shd w:fill="F0F4F5"/>
          </w:tcPr>
          <w:p>
            <w:pPr>
              <w:spacing w:before="60" w:after="80" w:line="252" w:lineRule="auto"/>
            </w:pPr>
            <w:r>
              <w:rPr>
                <w:sz w:val="17"/>
              </w:rPr>
              <w:t>19 high, 30 medium, 22 low. Высокая уверенность может означать достоверное ограничение, а не широкое разрешение.</w:t>
            </w:r>
          </w:p>
        </w:tc>
      </w:tr>
    </w:tbl>
    <w:p>
      <w:r>
        <w:t>Режимы доступа пересекаются. free_download может обозначать предложенную официальной карточкой загрузку без проверенного файла — см. verification_status. free_full_read всегда ограничен coverage: полностью доступный фрагмент не означает полный текст произведения.</w:t>
      </w:r>
    </w:p>
    <w:p>
      <w:pPr>
        <w:pStyle w:val="Heading2"/>
      </w:pPr>
      <w:r>
        <w:t>Доступность оригиналов и переводов</w:t>
      </w:r>
    </w:p>
    <w:p>
      <w:r>
        <w:t>Есть читаемые грузинские сегменты и отдельное факсимиле, но многие рукописные входы требуют повторной проверки. Английские, немецкие и французские переводы доступны для чтения или покупки; русский Петрици пока представлен каталожным входом. Это не равнозначно наличию свободной основы для нового перевода.</w:t>
      </w:r>
    </w:p>
    <w:p>
      <w:pPr>
        <w:pStyle w:val="Heading2"/>
      </w:pPr>
      <w:r>
        <w:t>Наиболее свободный слой и главные ограничения</w:t>
      </w:r>
    </w:p>
    <w:p>
      <w:r>
        <w:t>Наиболее ясно разрешённое повторное использование найдено в авторском материале отдельных академических публикаций и неизменённом некоммерческом PDF CCEL. OPenn остаётся перспективным, но непроверенным. Главные ограничения — права современных редакций, музейные условия, неполнота объектов и техническая недоступность.</w:t>
      </w:r>
    </w:p>
    <w:p>
      <w:pPr>
        <w:pStyle w:val="Heading2"/>
      </w:pPr>
      <w:r>
        <w:t>Передача в Codex</w:t>
      </w:r>
    </w:p>
    <w:p>
      <w:r>
        <w:t>В XLSX сохранены 32 требуемых поля; первый столбец — record_id. Читать verification_status, coverage, четыре слоя прав, rights_scope, evidence и notes необходимо совместно. Положительные теги не распространяются на иные компоненты. gaps — исследовательская очередь, а не список установленных первичных текстов.</w:t>
      </w:r>
    </w:p>
    <w:p>
      <w:r>
        <w:t>Исходный DR, ID T2-05, статус B и исторические границы сохранены. Хронологический ореол не меняет место строки в ToS. Граф, глобальная дедупликация и публикация материалов остаются за пределами пакета.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935" w:left="1020" w:header="425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T2-05 · B   |   04.09.2026   |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E6970"/>
        <w:sz w:val="16"/>
      </w:rPr>
      <w:t>TREE OF SOPHIA  /  CORPUS &amp; RIGHTS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DejaVu Sans" w:hAnsi="DejaVu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203C4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22695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DejaVu Sans" w:hAnsi="DejaVu Sans"/>
      <w:b/>
      <w:bCs/>
      <w:color w:val="454A7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DejaVu Sans" w:hAnsi="DejaVu Sans"/>
      <w:color w:val="203C4B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69" w:lineRule="auto"/>
    </w:pPr>
    <w:rPr>
      <w:rFonts w:ascii="DejaVu Sans" w:hAnsi="DejaVu Sans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DejaVu Sans" w:hAnsi="DejaVu Sans"/>
      <w:b/>
      <w:bCs/>
      <w:color w:val="5E6970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lab.ug.edu.ge/books/detail/8341" TargetMode="External"/><Relationship Id="rId12" Type="http://schemas.openxmlformats.org/officeDocument/2006/relationships/hyperlink" Target="https://www.persee.fr/doc/rebyz_0766-5598_1991_num_49_1_1837" TargetMode="External"/><Relationship Id="rId13" Type="http://schemas.openxmlformats.org/officeDocument/2006/relationships/hyperlink" Target="https://millennium.adh.ge/index.php/millennium/article/view/7992" TargetMode="External"/><Relationship Id="rId14" Type="http://schemas.openxmlformats.org/officeDocument/2006/relationships/hyperlink" Target="https://iverieli.nplg.gov.ge/handle/1234/435562" TargetMode="External"/><Relationship Id="rId15" Type="http://schemas.openxmlformats.org/officeDocument/2006/relationships/hyperlink" Target="https://titus.uni-frankfurt.de/texte/etca/cauc/ageo/sjulisk/sjuliskm/sjuli.htm" TargetMode="External"/><Relationship Id="rId16" Type="http://schemas.openxmlformats.org/officeDocument/2006/relationships/hyperlink" Target="https://titus.uni-frankfurt.de/texte/etca/cauc/ageo/sjulisk/kanoni/kanon.htm" TargetMode="External"/><Relationship Id="rId17" Type="http://schemas.openxmlformats.org/officeDocument/2006/relationships/hyperlink" Target="https://titus.uni-frankfurt.de/texte/etcg/cauc/ageo/ascetica/zossc_e/zossc.htm" TargetMode="External"/><Relationship Id="rId18" Type="http://schemas.openxmlformats.org/officeDocument/2006/relationships/hyperlink" Target="https://titus.uni-frankfurt.de/texte/etcs/cauc/ageo/lekt/lektpar/lektp001.htm" TargetMode="External"/><Relationship Id="rId19" Type="http://schemas.openxmlformats.org/officeDocument/2006/relationships/hyperlink" Target="https://titus.uni-frankfurt.de/texte/etca/cauc/ageo/gelati/nememes/nemem.htm" TargetMode="External"/><Relationship Id="rId20" Type="http://schemas.openxmlformats.org/officeDocument/2006/relationships/hyperlink" Target="https://www.gutenberg.org/ebooks/79455" TargetMode="External"/><Relationship Id="rId21" Type="http://schemas.openxmlformats.org/officeDocument/2006/relationships/hyperlink" Target="https://www.digitale-sammlungen.de/en/details/bsb10238187" TargetMode="External"/><Relationship Id="rId22" Type="http://schemas.openxmlformats.org/officeDocument/2006/relationships/hyperlink" Target="https://titus.uni-frankfurt.de/texte/etcg/cauc/ageo/mravtavi/grnoshob/grnos.htm" TargetMode="External"/><Relationship Id="rId23" Type="http://schemas.openxmlformats.org/officeDocument/2006/relationships/hyperlink" Target="https://ccel.org/ccel/schaff/npnf207.html" TargetMode="External"/><Relationship Id="rId24" Type="http://schemas.openxmlformats.org/officeDocument/2006/relationships/hyperlink" Target="https://www.brepols.net/products/IS-9782503405018-1" TargetMode="External"/><Relationship Id="rId25" Type="http://schemas.openxmlformats.org/officeDocument/2006/relationships/hyperlink" Target="https://dlab.ug.edu.ge/books/detail/8200" TargetMode="External"/><Relationship Id="rId26" Type="http://schemas.openxmlformats.org/officeDocument/2006/relationships/hyperlink" Target="https://titus.uni-frankfurt.de/texte/etcg/cauc/ageo/hagiorit/damdia_e/damdi.htm" TargetMode="External"/><Relationship Id="rId27" Type="http://schemas.openxmlformats.org/officeDocument/2006/relationships/hyperlink" Target="https://titus.uni-frankfurt.de/texte/etcg/cauc/ageo/gelati/damdia_a/damdi.htm" TargetMode="External"/><Relationship Id="rId28" Type="http://schemas.openxmlformats.org/officeDocument/2006/relationships/hyperlink" Target="https://titus.uni-frankfurt.de/texte/etcg/cauc/ageo/liturg/modrekil/modre.htm" TargetMode="External"/><Relationship Id="rId29" Type="http://schemas.openxmlformats.org/officeDocument/2006/relationships/hyperlink" Target="https://dlab.ug.edu.ge/books/detail/7694" TargetMode="External"/><Relationship Id="rId30" Type="http://schemas.openxmlformats.org/officeDocument/2006/relationships/hyperlink" Target="https://titus.uni-frankfurt.de/texte/etca/cauc/ageo/novelebi/noveleb2/novel.htm" TargetMode="External"/><Relationship Id="rId31" Type="http://schemas.openxmlformats.org/officeDocument/2006/relationships/hyperlink" Target="https://titus.uni-frankfurt.de/texte/etcs/cauc/ageo/liturg/minchxi/minch.htm" TargetMode="External"/><Relationship Id="rId32" Type="http://schemas.openxmlformats.org/officeDocument/2006/relationships/hyperlink" Target="https://dspace.nplg.gov.ge/handle/1234/483005" TargetMode="External"/><Relationship Id="rId33" Type="http://schemas.openxmlformats.org/officeDocument/2006/relationships/hyperlink" Target="https://dspace.nplg.gov.ge/handle/1234/517406" TargetMode="External"/><Relationship Id="rId34" Type="http://schemas.openxmlformats.org/officeDocument/2006/relationships/hyperlink" Target="https://dspace.nplg.gov.ge/handle/1234/224229" TargetMode="External"/><Relationship Id="rId35" Type="http://schemas.openxmlformats.org/officeDocument/2006/relationships/hyperlink" Target="https://dspace.nplg.gov.ge/handle/1234/222947" TargetMode="External"/><Relationship Id="rId36" Type="http://schemas.openxmlformats.org/officeDocument/2006/relationships/hyperlink" Target="https://dspace.nplg.gov.ge/handle/1234/223317" TargetMode="External"/><Relationship Id="rId37" Type="http://schemas.openxmlformats.org/officeDocument/2006/relationships/hyperlink" Target="https://plato.stanford.edu/entries/joane-petrizi/" TargetMode="External"/><Relationship Id="rId38" Type="http://schemas.openxmlformats.org/officeDocument/2006/relationships/hyperlink" Target="https://kartvelologist.journals.humanities.tsu.ge/index.php/kartvelologist/article/view/11206" TargetMode="External"/><Relationship Id="rId39" Type="http://schemas.openxmlformats.org/officeDocument/2006/relationships/hyperlink" Target="https://benjamins.com/catalog/bsp.47" TargetMode="External"/><Relationship Id="rId40" Type="http://schemas.openxmlformats.org/officeDocument/2006/relationships/hyperlink" Target="https://www.brepols.net/products/IS-9782503403618-1" TargetMode="External"/><Relationship Id="rId41" Type="http://schemas.openxmlformats.org/officeDocument/2006/relationships/hyperlink" Target="https://yalebooks.yale.edu/book/9780300175042/the-life-of-the-virgin/" TargetMode="External"/><Relationship Id="rId42" Type="http://schemas.openxmlformats.org/officeDocument/2006/relationships/hyperlink" Target="https://www.routledge.com/The-Balavariani-Barlaam-and-Josaphat-A-Tale-from-the-Christian-East/Lang/p/book/9781032168708" TargetMode="External"/><Relationship Id="rId43" Type="http://schemas.openxmlformats.org/officeDocument/2006/relationships/hyperlink" Target="https://www.gutenberg.org/ebooks/749" TargetMode="External"/><Relationship Id="rId44" Type="http://schemas.openxmlformats.org/officeDocument/2006/relationships/hyperlink" Target="https://search.rsl.ru/ru/record/01001196457" TargetMode="External"/><Relationship Id="rId45" Type="http://schemas.openxmlformats.org/officeDocument/2006/relationships/hyperlink" Target="https://academic.oup.com/edited-volume/38598/chapter-abstract/334681491" TargetMode="External"/><Relationship Id="rId46" Type="http://schemas.openxmlformats.org/officeDocument/2006/relationships/hyperlink" Target="https://titus.uni-frankfurt.de/texte/etcs/cauc/ageo/liturg/udzviad/udzvi.htm" TargetMode="External"/><Relationship Id="rId47" Type="http://schemas.openxmlformats.org/officeDocument/2006/relationships/hyperlink" Target="https://dspace.nplg.gov.ge/handle/1234/430199" TargetMode="External"/><Relationship Id="rId48" Type="http://schemas.openxmlformats.org/officeDocument/2006/relationships/hyperlink" Target="https://iverieli.nplg.gov.ge/handle/1234/431942" TargetMode="External"/><Relationship Id="rId49" Type="http://schemas.openxmlformats.org/officeDocument/2006/relationships/hyperlink" Target="https://www.vhmml.org/readingRoom/view/512195" TargetMode="External"/><Relationship Id="rId50" Type="http://schemas.openxmlformats.org/officeDocument/2006/relationships/hyperlink" Target="https://openn.library.upenn.edu/Data/0048/SJUMSFrag32/" TargetMode="External"/><Relationship Id="rId51" Type="http://schemas.openxmlformats.org/officeDocument/2006/relationships/hyperlink" Target="https://hmml.org/assets/pdf/HMML%20ms%20frag%2032%2010th-c.%20Georgian%20transcription%202018.pdf" TargetMode="External"/><Relationship Id="rId52" Type="http://schemas.openxmlformats.org/officeDocument/2006/relationships/hyperlink" Target="https://digi.vatlib.it/view/MSS_Vat.iber.4" TargetMode="External"/><Relationship Id="rId53" Type="http://schemas.openxmlformats.org/officeDocument/2006/relationships/hyperlink" Target="https://www.loc.gov/item/00279386930-ms/" TargetMode="External"/><Relationship Id="rId54" Type="http://schemas.openxmlformats.org/officeDocument/2006/relationships/hyperlink" Target="https://www.loc.gov/item/00271070408-ms/" TargetMode="External"/><Relationship Id="rId55" Type="http://schemas.openxmlformats.org/officeDocument/2006/relationships/hyperlink" Target="https://www.loc.gov/item/00271070378-ms/" TargetMode="External"/><Relationship Id="rId56" Type="http://schemas.openxmlformats.org/officeDocument/2006/relationships/hyperlink" Target="https://www.loc.gov/item/00271070469-ms/" TargetMode="External"/><Relationship Id="rId57" Type="http://schemas.openxmlformats.org/officeDocument/2006/relationships/hyperlink" Target="https://www.loc.gov/item/00279387028-ms/" TargetMode="External"/><Relationship Id="rId58" Type="http://schemas.openxmlformats.org/officeDocument/2006/relationships/hyperlink" Target="https://sinaiportal.library.ucla.edu/manuscripts/z14m9dms" TargetMode="External"/><Relationship Id="rId59" Type="http://schemas.openxmlformats.org/officeDocument/2006/relationships/hyperlink" Target="https://sinaiportal.library.ucla.edu/manuscripts/z1tb24tz" TargetMode="External"/><Relationship Id="rId60" Type="http://schemas.openxmlformats.org/officeDocument/2006/relationships/hyperlink" Target="https://manuscripts.imiviron.gr/" TargetMode="External"/><Relationship Id="rId61" Type="http://schemas.openxmlformats.org/officeDocument/2006/relationships/hyperlink" Target="https://manuscripts.imiviron.gr/euthymius-the-athonite/" TargetMode="External"/><Relationship Id="rId62" Type="http://schemas.openxmlformats.org/officeDocument/2006/relationships/hyperlink" Target="https://manuscripts.imiviron.gr/george-the-athonite/" TargetMode="External"/><Relationship Id="rId63" Type="http://schemas.openxmlformats.org/officeDocument/2006/relationships/hyperlink" Target="https://riviste.unimi.it/interfaces/article/view/18055" TargetMode="External"/><Relationship Id="rId64" Type="http://schemas.openxmlformats.org/officeDocument/2006/relationships/hyperlink" Target="https://www.brepols.net/products/IS-9782503404219-1" TargetMode="External"/><Relationship Id="rId65" Type="http://schemas.openxmlformats.org/officeDocument/2006/relationships/hyperlink" Target="https://www.brepols.net/products/IS-9782503404516-1" TargetMode="External"/><Relationship Id="rId66" Type="http://schemas.openxmlformats.org/officeDocument/2006/relationships/hyperlink" Target="https://www.brepols.net/products/IS-9782503405216-1" TargetMode="External"/><Relationship Id="rId67" Type="http://schemas.openxmlformats.org/officeDocument/2006/relationships/hyperlink" Target="https://www.brepols.net/products/IS-9782503405810-1" TargetMode="External"/><Relationship Id="rId68" Type="http://schemas.openxmlformats.org/officeDocument/2006/relationships/hyperlink" Target="https://www.brepols.net/products/IS-9782503543994-1" TargetMode="External"/><Relationship Id="rId69" Type="http://schemas.openxmlformats.org/officeDocument/2006/relationships/hyperlink" Target="https://www.brepols.net/products/IS-9782503555232-1" TargetMode="External"/><Relationship Id="rId70" Type="http://schemas.openxmlformats.org/officeDocument/2006/relationships/hyperlink" Target="https://www.brepols.net/products/IS-9782503586830-1" TargetMode="External"/><Relationship Id="rId71" Type="http://schemas.openxmlformats.org/officeDocument/2006/relationships/hyperlink" Target="https://openscience.ge/entities/publication/71784921-3e84-4ff5-ad38-868f947d0376" TargetMode="External"/><Relationship Id="rId72" Type="http://schemas.openxmlformats.org/officeDocument/2006/relationships/hyperlink" Target="https://openscience.ge/entities/publication/7e3be092-1680-43a7-8f1a-dd9b59be913a" TargetMode="External"/><Relationship Id="rId73" Type="http://schemas.openxmlformats.org/officeDocument/2006/relationships/hyperlink" Target="https://titus.uni-frankfurt.de/texte/etcg/cauc/ageo/hagiorit/petriber/petri.htm" TargetMode="External"/><Relationship Id="rId74" Type="http://schemas.openxmlformats.org/officeDocument/2006/relationships/hyperlink" Target="https://dlab.ug.edu.ge/books/detail/12565" TargetMode="External"/><Relationship Id="rId75" Type="http://schemas.openxmlformats.org/officeDocument/2006/relationships/hyperlink" Target="https://titus.uni-frankfurt.de/texte/etcg/cauc/ageo/tmin/maxconfq/maxco001.htm" TargetMode="External"/><Relationship Id="rId76" Type="http://schemas.openxmlformats.org/officeDocument/2006/relationships/hyperlink" Target="https://dspace.nplg.gov.ge/handle/1234/450641" TargetMode="External"/><Relationship Id="rId77" Type="http://schemas.openxmlformats.org/officeDocument/2006/relationships/hyperlink" Target="https://titus.uni-frankfurt.de/texte/etca/cauc/ageo/gelati/petrici/petri.htm" TargetMode="External"/><Relationship Id="rId78" Type="http://schemas.openxmlformats.org/officeDocument/2006/relationships/hyperlink" Target="https://titus.uni-frankfurt.de/texte/etca/cauc/ageo/gelati/petrici2/petri.htm" TargetMode="External"/><Relationship Id="rId79" Type="http://schemas.openxmlformats.org/officeDocument/2006/relationships/hyperlink" Target="https://titus.uni-frankfurt.de/texte/etca/cauc/ageo/hagio/balavara/balav.htm" TargetMode="External"/><Relationship Id="rId80" Type="http://schemas.openxmlformats.org/officeDocument/2006/relationships/hyperlink" Target="https://titus.uni-frankfurt.de/texte/etca/cauc/ageo/hagio/balavarb/balav.htm" TargetMode="External"/><Relationship Id="rId81" Type="http://schemas.openxmlformats.org/officeDocument/2006/relationships/hyperlink" Target="https://hmml.org/research/palimpsest/" TargetMode="External"/><Relationship Id="rId82" Type="http://schemas.openxmlformats.org/officeDocument/2006/relationships/hyperlink" Target="https://www.persee.fr/cg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ToS Corpus &amp; Rights Registry — T2-05</dc:title>
  <dc:subject>Грузинская монастырская переводная республика</dc:subject>
  <dc:creator>ToS Research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