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zno819yyamp" w:id="0"/>
      <w:bookmarkEnd w:id="0"/>
      <w:r w:rsidDel="00000000" w:rsidR="00000000" w:rsidRPr="00000000">
        <w:rPr>
          <w:b w:val="1"/>
          <w:bCs w:val="1"/>
          <w:sz w:val="46"/>
          <w:szCs w:val="46"/>
          <w:rtl w:val="0"/>
        </w:rPr>
        <w:t xml:space="preserve">Stage 4 — Final Analysis + AI Prompt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Scenario 2: Pharma Exporter — €8,000,000 Receivable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bbh54px8i8v" w:id="1"/>
      <w:bookmarkEnd w:id="1"/>
      <w:r w:rsidDel="00000000" w:rsidR="00000000" w:rsidRPr="00000000">
        <w:rPr>
          <w:b w:val="1"/>
          <w:bCs w:val="1"/>
          <w:sz w:val="34"/>
          <w:szCs w:val="34"/>
          <w:rtl w:val="0"/>
        </w:rPr>
        <w:t xml:space="preserve">A. Exposure Summary</w:t>
      </w:r>
    </w:p>
    <w:p w:rsidR="00000000" w:rsidDel="00000000" w:rsidP="00000000" w:rsidRDefault="00000000" w:rsidRPr="00000000" w14:paraId="00000005">
      <w:pPr>
        <w:spacing w:after="240" w:before="240" w:lineRule="auto"/>
        <w:rPr/>
      </w:pPr>
      <w:r w:rsidDel="00000000" w:rsidR="00000000" w:rsidRPr="00000000">
        <w:rPr>
          <w:rtl w:val="0"/>
        </w:rPr>
        <w:t xml:space="preserve">Our firm expects to receive </w:t>
      </w:r>
      <w:r w:rsidDel="00000000" w:rsidR="00000000" w:rsidRPr="00000000">
        <w:rPr>
          <w:b w:val="1"/>
          <w:bCs w:val="1"/>
          <w:rtl w:val="0"/>
        </w:rPr>
        <w:t xml:space="preserve">€8,000,000 in one year</w:t>
      </w:r>
      <w:r w:rsidDel="00000000" w:rsidR="00000000" w:rsidRPr="00000000">
        <w:rPr>
          <w:rtl w:val="0"/>
        </w:rPr>
        <w:t xml:space="preserve"> from European pharmaceutical sales. Because our reporting currency is USD, the EURUSD exchange rate at settlement determines the final USD value of this receivable. Any depreciation of the euro directly reduces our revenue, operating margin, and cash‑flow predictability.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market inputs (from Stage 2 model):</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Spot (S₀): 1.1725 USD/EUR</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Forward (F₀): 1.0890 USD/EUR</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USD 1‑yr rate: 3.68%</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EUR 1‑yr rate: 2.87%</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Put/Call strikes: 1.0890</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Premiums: $0.020 per EUR</w:t>
      </w:r>
    </w:p>
    <w:p w:rsidR="00000000" w:rsidDel="00000000" w:rsidP="00000000" w:rsidRDefault="00000000" w:rsidRPr="00000000" w14:paraId="0000000D">
      <w:pPr>
        <w:spacing w:after="240" w:before="240" w:lineRule="auto"/>
        <w:rPr/>
      </w:pPr>
      <w:r w:rsidDel="00000000" w:rsidR="00000000" w:rsidRPr="00000000">
        <w:rPr>
          <w:rtl w:val="0"/>
        </w:rPr>
        <w:t xml:space="preserve">The core business risk is </w:t>
      </w:r>
      <w:r w:rsidDel="00000000" w:rsidR="00000000" w:rsidRPr="00000000">
        <w:rPr>
          <w:b w:val="1"/>
          <w:bCs w:val="1"/>
          <w:rtl w:val="0"/>
        </w:rPr>
        <w:t xml:space="preserve">EUR depreciation</w:t>
      </w:r>
      <w:r w:rsidDel="00000000" w:rsidR="00000000" w:rsidRPr="00000000">
        <w:rPr>
          <w:rtl w:val="0"/>
        </w:rPr>
        <w:t xml:space="preserve">. Without a hedge, our USD proceeds fluctuate with the market, creating uncertainty for budgeting and earnings. The purpose of this analysis is to compare hedging strategies and recommend the approach that best balances certainty, cost, and upside potential.</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pPr>
      <w:bookmarkStart w:colFirst="0" w:colLast="0" w:name="_u8zj1qawfeag" w:id="2"/>
      <w:bookmarkEnd w:id="2"/>
      <w:r w:rsidDel="00000000" w:rsidR="00000000" w:rsidRPr="00000000">
        <w:rPr>
          <w:b w:val="1"/>
          <w:bCs w:val="1"/>
          <w:sz w:val="34"/>
          <w:szCs w:val="34"/>
          <w:rtl w:val="0"/>
        </w:rPr>
        <w:t xml:space="preserve">B. Hedge Outcomes Table (Base Case)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8.133971291866"/>
        <w:gridCol w:w="2811.4832535885166"/>
        <w:gridCol w:w="4080.3827751196172"/>
        <w:tblGridChange w:id="0">
          <w:tblGrid>
            <w:gridCol w:w="2468.133971291866"/>
            <w:gridCol w:w="2811.4832535885166"/>
            <w:gridCol w:w="4080.38277511961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USD Proceeds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No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$9,380,000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Full upside and full downside exposure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Forward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$8,712,000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Guaranteed outcome; no upside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Money Market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$8,700,110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Nearly identical to forward; parity holds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Put Option (Net)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b w:val="1"/>
                <w:bCs w:val="1"/>
                <w:rtl w:val="0"/>
              </w:rPr>
              <w:t xml:space="preserve">≈ $8.84M – premium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Downside protection + upside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Call Option (Net)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Not relevant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Calls hedge payables, not receivables</w:t>
            </w:r>
          </w:p>
        </w:tc>
      </w:tr>
    </w:tbl>
    <w:p w:rsidR="00000000" w:rsidDel="00000000" w:rsidP="00000000" w:rsidRDefault="00000000" w:rsidRPr="00000000" w14:paraId="00000022">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Forward and MM hedges cluster tightly around </w:t>
      </w:r>
      <w:r w:rsidDel="00000000" w:rsidR="00000000" w:rsidRPr="00000000">
        <w:rPr>
          <w:b w:val="1"/>
          <w:bCs w:val="1"/>
          <w:rtl w:val="0"/>
        </w:rPr>
        <w:t xml:space="preserve">$8.7M</w:t>
      </w:r>
      <w:r w:rsidDel="00000000" w:rsidR="00000000" w:rsidRPr="00000000">
        <w:rPr>
          <w:rtl w:val="0"/>
        </w:rPr>
        <w:t xml:space="preserve">, confirming interest‑rate parity.</w:t>
        <w:br w:type="textWrapping"/>
        <w:t xml:space="preserve">The put hedge protects the downside while preserving upside, but at a premium cost of </w:t>
      </w:r>
      <w:r w:rsidDel="00000000" w:rsidR="00000000" w:rsidRPr="00000000">
        <w:rPr>
          <w:b w:val="1"/>
          <w:bCs w:val="1"/>
          <w:rtl w:val="0"/>
        </w:rPr>
        <w:t xml:space="preserve">$160,000</w:t>
      </w:r>
      <w:r w:rsidDel="00000000" w:rsidR="00000000" w:rsidRPr="00000000">
        <w:rPr>
          <w:rtl w:val="0"/>
        </w:rPr>
        <w:t xml:space="preserve"> (8M × $0.02).</w:t>
        <w:br w:type="textWrapping"/>
        <w:t xml:space="preserve">No hedge offers the highest potential upside but exposes the firm to the full downside.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za7k2xalomk0" w:id="3"/>
      <w:bookmarkEnd w:id="3"/>
      <w:r w:rsidDel="00000000" w:rsidR="00000000" w:rsidRPr="00000000">
        <w:rPr>
          <w:b w:val="1"/>
          <w:bCs w:val="1"/>
          <w:sz w:val="34"/>
          <w:szCs w:val="34"/>
          <w:rtl w:val="0"/>
        </w:rPr>
        <w:t xml:space="preserve">C. Sensitivity Interpretation (±5% Spot Movement)</w:t>
      </w:r>
    </w:p>
    <w:p w:rsidR="00000000" w:rsidDel="00000000" w:rsidP="00000000" w:rsidRDefault="00000000" w:rsidRPr="00000000" w14:paraId="00000025">
      <w:pPr>
        <w:spacing w:after="240" w:before="240" w:lineRule="auto"/>
        <w:rPr/>
      </w:pPr>
      <w:r w:rsidDel="00000000" w:rsidR="00000000" w:rsidRPr="00000000">
        <w:rPr>
          <w:rtl w:val="0"/>
        </w:rPr>
        <w:t xml:space="preserve">EURUSD moves from </w:t>
      </w:r>
      <w:r w:rsidDel="00000000" w:rsidR="00000000" w:rsidRPr="00000000">
        <w:rPr>
          <w:b w:val="1"/>
          <w:bCs w:val="1"/>
          <w:rtl w:val="0"/>
        </w:rPr>
        <w:t xml:space="preserve">0.95×S₀ to 1.05×S₀</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rdrur87fdrw" w:id="4"/>
      <w:bookmarkEnd w:id="4"/>
      <w:r w:rsidDel="00000000" w:rsidR="00000000" w:rsidRPr="00000000">
        <w:rPr>
          <w:b w:val="1"/>
          <w:bCs w:val="1"/>
          <w:color w:val="000000"/>
          <w:sz w:val="26"/>
          <w:szCs w:val="26"/>
          <w:rtl w:val="0"/>
        </w:rPr>
        <w:t xml:space="preserve">If EUR depreciates (Sₜ &lt; 1.1725):</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No Hedge</w:t>
      </w:r>
      <w:r w:rsidDel="00000000" w:rsidR="00000000" w:rsidRPr="00000000">
        <w:rPr>
          <w:rtl w:val="0"/>
        </w:rPr>
        <w:t xml:space="preserve"> declines sharply (as low as ~$8.9M).</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Forward/MM</w:t>
      </w:r>
      <w:r w:rsidDel="00000000" w:rsidR="00000000" w:rsidRPr="00000000">
        <w:rPr>
          <w:rtl w:val="0"/>
        </w:rPr>
        <w:t xml:space="preserve"> remain constant at ~$8.7M.</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Put Option</w:t>
      </w:r>
      <w:r w:rsidDel="00000000" w:rsidR="00000000" w:rsidRPr="00000000">
        <w:rPr>
          <w:rtl w:val="0"/>
        </w:rPr>
        <w:t xml:space="preserve"> outperforms No Hedge because the strike protects the floor.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s7k2wnvsnz94" w:id="5"/>
      <w:bookmarkEnd w:id="5"/>
      <w:r w:rsidDel="00000000" w:rsidR="00000000" w:rsidRPr="00000000">
        <w:rPr>
          <w:b w:val="1"/>
          <w:bCs w:val="1"/>
          <w:color w:val="000000"/>
          <w:sz w:val="26"/>
          <w:szCs w:val="26"/>
          <w:rtl w:val="0"/>
        </w:rPr>
        <w:t xml:space="preserve">If EUR appreciates (Sₜ &gt; 1.1725):</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b w:val="1"/>
          <w:bCs w:val="1"/>
          <w:rtl w:val="0"/>
        </w:rPr>
        <w:t xml:space="preserve">No Hedge</w:t>
      </w:r>
      <w:r w:rsidDel="00000000" w:rsidR="00000000" w:rsidRPr="00000000">
        <w:rPr>
          <w:rtl w:val="0"/>
        </w:rPr>
        <w:t xml:space="preserve"> becomes the best performer (up to ~$9.84M).</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b w:val="1"/>
          <w:bCs w:val="1"/>
          <w:rtl w:val="0"/>
        </w:rPr>
        <w:t xml:space="preserve">Forward/MM</w:t>
      </w:r>
      <w:r w:rsidDel="00000000" w:rsidR="00000000" w:rsidRPr="00000000">
        <w:rPr>
          <w:rtl w:val="0"/>
        </w:rPr>
        <w:t xml:space="preserve"> lose all upside.</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b w:val="1"/>
          <w:bCs w:val="1"/>
          <w:rtl w:val="0"/>
        </w:rPr>
        <w:t xml:space="preserve">Put Option</w:t>
      </w:r>
      <w:r w:rsidDel="00000000" w:rsidR="00000000" w:rsidRPr="00000000">
        <w:rPr>
          <w:rtl w:val="0"/>
        </w:rPr>
        <w:t xml:space="preserve"> participates in upside but is reduced by the premium.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4ekqrababin" w:id="6"/>
      <w:bookmarkEnd w:id="6"/>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2F">
      <w:pPr>
        <w:spacing w:after="240" w:before="240" w:lineRule="auto"/>
        <w:rPr/>
      </w:pPr>
      <w:r w:rsidDel="00000000" w:rsidR="00000000" w:rsidRPr="00000000">
        <w:rPr>
          <w:rtl w:val="0"/>
        </w:rPr>
        <w:t xml:space="preserve">The put hedge provides </w:t>
      </w:r>
      <w:r w:rsidDel="00000000" w:rsidR="00000000" w:rsidRPr="00000000">
        <w:rPr>
          <w:b w:val="1"/>
          <w:bCs w:val="1"/>
          <w:rtl w:val="0"/>
        </w:rPr>
        <w:t xml:space="preserve">convexity</w:t>
      </w:r>
      <w:r w:rsidDel="00000000" w:rsidR="00000000" w:rsidRPr="00000000">
        <w:rPr>
          <w:rtl w:val="0"/>
        </w:rPr>
        <w:t xml:space="preserve"> — limited cost, protected downside, and preserved upside.</w:t>
        <w:br w:type="textWrapping"/>
        <w:t xml:space="preserve">Forward/MM provide </w:t>
      </w:r>
      <w:r w:rsidDel="00000000" w:rsidR="00000000" w:rsidRPr="00000000">
        <w:rPr>
          <w:b w:val="1"/>
          <w:bCs w:val="1"/>
          <w:rtl w:val="0"/>
        </w:rPr>
        <w:t xml:space="preserve">certainty</w:t>
      </w:r>
      <w:r w:rsidDel="00000000" w:rsidR="00000000" w:rsidRPr="00000000">
        <w:rPr>
          <w:rtl w:val="0"/>
        </w:rPr>
        <w:t xml:space="preserve"> but eliminate upside.</w:t>
        <w:br w:type="textWrapping"/>
        <w:t xml:space="preserve">No hedge is a </w:t>
      </w:r>
      <w:r w:rsidDel="00000000" w:rsidR="00000000" w:rsidRPr="00000000">
        <w:rPr>
          <w:b w:val="1"/>
          <w:bCs w:val="1"/>
          <w:rtl w:val="0"/>
        </w:rPr>
        <w:t xml:space="preserve">high‑volatility</w:t>
      </w:r>
      <w:r w:rsidDel="00000000" w:rsidR="00000000" w:rsidRPr="00000000">
        <w:rPr>
          <w:rtl w:val="0"/>
        </w:rPr>
        <w:t xml:space="preserve"> choice.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2o7njmdnt9yt" w:id="7"/>
      <w:bookmarkEnd w:id="7"/>
      <w:r w:rsidDel="00000000" w:rsidR="00000000" w:rsidRPr="00000000">
        <w:rPr>
          <w:b w:val="1"/>
          <w:bCs w:val="1"/>
          <w:sz w:val="34"/>
          <w:szCs w:val="34"/>
          <w:rtl w:val="0"/>
        </w:rPr>
        <w:t xml:space="preserve">D. Strategic Recommendation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28hgqajsixx" w:id="8"/>
      <w:bookmarkEnd w:id="8"/>
      <w:r w:rsidDel="00000000" w:rsidR="00000000" w:rsidRPr="00000000">
        <w:rPr>
          <w:b w:val="1"/>
          <w:bCs w:val="1"/>
          <w:color w:val="000000"/>
          <w:sz w:val="26"/>
          <w:szCs w:val="26"/>
          <w:rtl w:val="0"/>
        </w:rPr>
        <w:t xml:space="preserve">Recommended Strategy: 50% Forward + 50% Put Option Hedge</w:t>
      </w:r>
    </w:p>
    <w:p w:rsidR="00000000" w:rsidDel="00000000" w:rsidP="00000000" w:rsidRDefault="00000000" w:rsidRPr="00000000" w14:paraId="00000033">
      <w:pPr>
        <w:spacing w:after="240" w:before="240" w:lineRule="auto"/>
        <w:rPr/>
      </w:pPr>
      <w:r w:rsidDel="00000000" w:rsidR="00000000" w:rsidRPr="00000000">
        <w:rPr>
          <w:rtl w:val="0"/>
        </w:rPr>
        <w:t xml:space="preserve">This blended hedge balances certainty and upside:</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q2bep84sryfn" w:id="9"/>
      <w:bookmarkEnd w:id="9"/>
      <w:r w:rsidDel="00000000" w:rsidR="00000000" w:rsidRPr="00000000">
        <w:rPr>
          <w:b w:val="1"/>
          <w:bCs w:val="1"/>
          <w:color w:val="000000"/>
          <w:sz w:val="22"/>
          <w:szCs w:val="22"/>
          <w:rtl w:val="0"/>
        </w:rPr>
        <w:t xml:space="preserve">1. Forward Hedge (50% of €8M = €4M)</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Locks in </w:t>
      </w:r>
      <w:r w:rsidDel="00000000" w:rsidR="00000000" w:rsidRPr="00000000">
        <w:rPr>
          <w:b w:val="1"/>
          <w:bCs w:val="1"/>
          <w:rtl w:val="0"/>
        </w:rPr>
        <w:t xml:space="preserve">$4.356M</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Guarantees minimum liquidity</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Eliminates half the FX risk</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dv7tull2zy8i" w:id="10"/>
      <w:bookmarkEnd w:id="10"/>
      <w:r w:rsidDel="00000000" w:rsidR="00000000" w:rsidRPr="00000000">
        <w:rPr>
          <w:b w:val="1"/>
          <w:bCs w:val="1"/>
          <w:color w:val="000000"/>
          <w:sz w:val="22"/>
          <w:szCs w:val="22"/>
          <w:rtl w:val="0"/>
        </w:rPr>
        <w:t xml:space="preserve">2. Put Option Hedge (50% of €8M = €4M)</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Protects against severe EUR depreciation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Preserves upside if EUR strengthens</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Premium cost is manageable (~$80,000)</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tzqmsrk4j1m" w:id="11"/>
      <w:bookmarkEnd w:id="11"/>
      <w:r w:rsidDel="00000000" w:rsidR="00000000" w:rsidRPr="00000000">
        <w:rPr>
          <w:b w:val="1"/>
          <w:bCs w:val="1"/>
          <w:color w:val="000000"/>
          <w:sz w:val="26"/>
          <w:szCs w:val="26"/>
          <w:rtl w:val="0"/>
        </w:rPr>
        <w:t xml:space="preserve">Why this mix is optimal</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Provides </w:t>
      </w:r>
      <w:r w:rsidDel="00000000" w:rsidR="00000000" w:rsidRPr="00000000">
        <w:rPr>
          <w:b w:val="1"/>
          <w:bCs w:val="1"/>
          <w:rtl w:val="0"/>
        </w:rPr>
        <w:t xml:space="preserve">budget certainty</w:t>
      </w:r>
      <w:r w:rsidDel="00000000" w:rsidR="00000000" w:rsidRPr="00000000">
        <w:rPr>
          <w:rtl w:val="0"/>
        </w:rPr>
        <w:t xml:space="preserve"> for operating needs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Preserves </w:t>
      </w:r>
      <w:r w:rsidDel="00000000" w:rsidR="00000000" w:rsidRPr="00000000">
        <w:rPr>
          <w:b w:val="1"/>
          <w:bCs w:val="1"/>
          <w:rtl w:val="0"/>
        </w:rPr>
        <w:t xml:space="preserve">strategic flexibility</w:t>
      </w:r>
      <w:r w:rsidDel="00000000" w:rsidR="00000000" w:rsidRPr="00000000">
        <w:rPr>
          <w:rtl w:val="0"/>
        </w:rPr>
        <w:t xml:space="preserve"> and upside participation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Reduces volatility without paying for 100% optionality</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Aligns with treasury best practices for firms with predictable cash needs but meaningful upside potential</w:t>
      </w:r>
    </w:p>
    <w:p w:rsidR="00000000" w:rsidDel="00000000" w:rsidP="00000000" w:rsidRDefault="00000000" w:rsidRPr="00000000" w14:paraId="00000041">
      <w:pPr>
        <w:spacing w:after="240" w:before="240" w:lineRule="auto"/>
        <w:rPr/>
      </w:pPr>
      <w:r w:rsidDel="00000000" w:rsidR="00000000" w:rsidRPr="00000000">
        <w:rPr>
          <w:rtl w:val="0"/>
        </w:rPr>
        <w:t xml:space="preserve">This combination is the most balanced, cost‑effective, and CFO‑aligned hedge structure.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f6e0l4ggqwa" w:id="12"/>
      <w:bookmarkEnd w:id="12"/>
      <w:r w:rsidDel="00000000" w:rsidR="00000000" w:rsidRPr="00000000">
        <w:rPr>
          <w:b w:val="1"/>
          <w:bCs w:val="1"/>
          <w:sz w:val="34"/>
          <w:szCs w:val="34"/>
          <w:rtl w:val="0"/>
        </w:rPr>
        <w:t xml:space="preserve">E. Executive Justification</w:t>
      </w:r>
    </w:p>
    <w:p w:rsidR="00000000" w:rsidDel="00000000" w:rsidP="00000000" w:rsidRDefault="00000000" w:rsidRPr="00000000" w14:paraId="00000044">
      <w:pPr>
        <w:spacing w:after="240" w:before="240" w:lineRule="auto"/>
        <w:rPr/>
      </w:pPr>
      <w:r w:rsidDel="00000000" w:rsidR="00000000" w:rsidRPr="00000000">
        <w:rPr>
          <w:rtl w:val="0"/>
        </w:rPr>
        <w:t xml:space="preserve">This recommendation supports the CFO’s priorities:</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b w:val="1"/>
          <w:bCs w:val="1"/>
          <w:rtl w:val="0"/>
        </w:rPr>
        <w:t xml:space="preserve">Cash Flow Stability:</w:t>
      </w:r>
      <w:r w:rsidDel="00000000" w:rsidR="00000000" w:rsidRPr="00000000">
        <w:rPr>
          <w:rtl w:val="0"/>
        </w:rPr>
        <w:t xml:space="preserve"> Forward hedge secures a known minimum USD inflow.</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Upside Preservation:</w:t>
      </w:r>
      <w:r w:rsidDel="00000000" w:rsidR="00000000" w:rsidRPr="00000000">
        <w:rPr>
          <w:rtl w:val="0"/>
        </w:rPr>
        <w:t xml:space="preserve"> Put hedge allows participation in EUR appreciation.</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Cost Management:</w:t>
      </w:r>
      <w:r w:rsidDel="00000000" w:rsidR="00000000" w:rsidRPr="00000000">
        <w:rPr>
          <w:rtl w:val="0"/>
        </w:rPr>
        <w:t xml:space="preserve"> Option premium is limited and applied to only half the exposure.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Accounting Simplicity:</w:t>
      </w:r>
      <w:r w:rsidDel="00000000" w:rsidR="00000000" w:rsidRPr="00000000">
        <w:rPr>
          <w:rtl w:val="0"/>
        </w:rPr>
        <w:t xml:space="preserve"> Forward portion is straightforward; option portion is cleanly documented.</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Risk Governance:</w:t>
      </w:r>
      <w:r w:rsidDel="00000000" w:rsidR="00000000" w:rsidRPr="00000000">
        <w:rPr>
          <w:rtl w:val="0"/>
        </w:rPr>
        <w:t xml:space="preserve"> The blended hedge reduces tail risk without overpaying for optionality.</w:t>
      </w:r>
    </w:p>
    <w:p w:rsidR="00000000" w:rsidDel="00000000" w:rsidP="00000000" w:rsidRDefault="00000000" w:rsidRPr="00000000" w14:paraId="0000004A">
      <w:pPr>
        <w:spacing w:after="240" w:before="240" w:lineRule="auto"/>
        <w:rPr/>
      </w:pPr>
      <w:r w:rsidDel="00000000" w:rsidR="00000000" w:rsidRPr="00000000">
        <w:rPr>
          <w:rtl w:val="0"/>
        </w:rPr>
        <w:t xml:space="preserve">The result is a </w:t>
      </w:r>
      <w:r w:rsidDel="00000000" w:rsidR="00000000" w:rsidRPr="00000000">
        <w:rPr>
          <w:b w:val="1"/>
          <w:bCs w:val="1"/>
          <w:rtl w:val="0"/>
        </w:rPr>
        <w:t xml:space="preserve">defensible, balanced, and executive‑ready hedge strategy</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k3nuf4cyow7k" w:id="13"/>
      <w:bookmarkEnd w:id="13"/>
      <w:r w:rsidDel="00000000" w:rsidR="00000000" w:rsidRPr="00000000">
        <w:rPr>
          <w:b w:val="1"/>
          <w:bCs w:val="1"/>
          <w:sz w:val="46"/>
          <w:szCs w:val="46"/>
          <w:rtl w:val="0"/>
        </w:rPr>
        <w:t xml:space="preserve">F. AI Prompt (Required)</w:t>
      </w:r>
    </w:p>
    <w:p w:rsidR="00000000" w:rsidDel="00000000" w:rsidP="00000000" w:rsidRDefault="00000000" w:rsidRPr="00000000" w14:paraId="0000004D">
      <w:pPr>
        <w:rPr/>
      </w:pPr>
      <w:r w:rsidDel="00000000" w:rsidR="00000000" w:rsidRPr="00000000">
        <w:rPr>
          <w:rtl w:val="0"/>
        </w:rPr>
        <w:t xml:space="preserve"># GOAL</w:t>
      </w:r>
    </w:p>
    <w:p w:rsidR="00000000" w:rsidDel="00000000" w:rsidP="00000000" w:rsidRDefault="00000000" w:rsidRPr="00000000" w14:paraId="0000004E">
      <w:pPr>
        <w:rPr/>
      </w:pPr>
      <w:r w:rsidDel="00000000" w:rsidR="00000000" w:rsidRPr="00000000">
        <w:rPr>
          <w:rtl w:val="0"/>
        </w:rPr>
        <w:t xml:space="preserve">Rebuild a complete FX hedge model for Scenario 2 (Pharma Exporter) using the inputs,</w:t>
      </w:r>
    </w:p>
    <w:p w:rsidR="00000000" w:rsidDel="00000000" w:rsidP="00000000" w:rsidRDefault="00000000" w:rsidRPr="00000000" w14:paraId="0000004F">
      <w:pPr>
        <w:rPr/>
      </w:pPr>
      <w:r w:rsidDel="00000000" w:rsidR="00000000" w:rsidRPr="00000000">
        <w:rPr>
          <w:rtl w:val="0"/>
        </w:rPr>
        <w:t xml:space="preserve">named ranges, logic, and outputs described below. Follow the color coding:</w:t>
      </w:r>
    </w:p>
    <w:p w:rsidR="00000000" w:rsidDel="00000000" w:rsidP="00000000" w:rsidRDefault="00000000" w:rsidRPr="00000000" w14:paraId="00000050">
      <w:pPr>
        <w:rPr/>
      </w:pPr>
      <w:r w:rsidDel="00000000" w:rsidR="00000000" w:rsidRPr="00000000">
        <w:rPr>
          <w:rtl w:val="0"/>
        </w:rPr>
        <w:t xml:space="preserve">Yellow = Inputs, Blue = Assumptions, Green = Formulas, Gray = Outputs.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INPUTS (Named Ranges)</w:t>
      </w:r>
    </w:p>
    <w:p w:rsidR="00000000" w:rsidDel="00000000" w:rsidP="00000000" w:rsidRDefault="00000000" w:rsidRPr="00000000" w14:paraId="00000053">
      <w:pPr>
        <w:rPr/>
      </w:pPr>
      <w:r w:rsidDel="00000000" w:rsidR="00000000" w:rsidRPr="00000000">
        <w:rPr>
          <w:rtl w:val="0"/>
        </w:rPr>
        <w:t xml:space="preserve">FC_AMT = 8000000</w:t>
      </w:r>
    </w:p>
    <w:p w:rsidR="00000000" w:rsidDel="00000000" w:rsidP="00000000" w:rsidRDefault="00000000" w:rsidRPr="00000000" w14:paraId="00000054">
      <w:pPr>
        <w:rPr/>
      </w:pPr>
      <w:r w:rsidDel="00000000" w:rsidR="00000000" w:rsidRPr="00000000">
        <w:rPr>
          <w:rtl w:val="0"/>
        </w:rPr>
        <w:t xml:space="preserve">S0_in = 1.1725</w:t>
      </w:r>
    </w:p>
    <w:p w:rsidR="00000000" w:rsidDel="00000000" w:rsidP="00000000" w:rsidRDefault="00000000" w:rsidRPr="00000000" w14:paraId="00000055">
      <w:pPr>
        <w:rPr/>
      </w:pPr>
      <w:r w:rsidDel="00000000" w:rsidR="00000000" w:rsidRPr="00000000">
        <w:rPr>
          <w:rtl w:val="0"/>
        </w:rPr>
        <w:t xml:space="preserve">F0_in = 1.0890</w:t>
      </w:r>
    </w:p>
    <w:p w:rsidR="00000000" w:rsidDel="00000000" w:rsidP="00000000" w:rsidRDefault="00000000" w:rsidRPr="00000000" w14:paraId="00000056">
      <w:pPr>
        <w:rPr/>
      </w:pPr>
      <w:r w:rsidDel="00000000" w:rsidR="00000000" w:rsidRPr="00000000">
        <w:rPr>
          <w:rtl w:val="0"/>
        </w:rPr>
        <w:t xml:space="preserve">R_USD = 0.0368</w:t>
      </w:r>
    </w:p>
    <w:p w:rsidR="00000000" w:rsidDel="00000000" w:rsidP="00000000" w:rsidRDefault="00000000" w:rsidRPr="00000000" w14:paraId="00000057">
      <w:pPr>
        <w:rPr/>
      </w:pPr>
      <w:r w:rsidDel="00000000" w:rsidR="00000000" w:rsidRPr="00000000">
        <w:rPr>
          <w:rtl w:val="0"/>
        </w:rPr>
        <w:t xml:space="preserve">R_FC = 0.0287</w:t>
      </w:r>
    </w:p>
    <w:p w:rsidR="00000000" w:rsidDel="00000000" w:rsidP="00000000" w:rsidRDefault="00000000" w:rsidRPr="00000000" w14:paraId="00000058">
      <w:pPr>
        <w:rPr/>
      </w:pPr>
      <w:r w:rsidDel="00000000" w:rsidR="00000000" w:rsidRPr="00000000">
        <w:rPr>
          <w:rtl w:val="0"/>
        </w:rPr>
        <w:t xml:space="preserve">K_PUT = 1.0890</w:t>
      </w:r>
    </w:p>
    <w:p w:rsidR="00000000" w:rsidDel="00000000" w:rsidP="00000000" w:rsidRDefault="00000000" w:rsidRPr="00000000" w14:paraId="00000059">
      <w:pPr>
        <w:rPr/>
      </w:pPr>
      <w:r w:rsidDel="00000000" w:rsidR="00000000" w:rsidRPr="00000000">
        <w:rPr>
          <w:rtl w:val="0"/>
        </w:rPr>
        <w:t xml:space="preserve">PREM_PUT = 0.0200</w:t>
      </w:r>
    </w:p>
    <w:p w:rsidR="00000000" w:rsidDel="00000000" w:rsidP="00000000" w:rsidRDefault="00000000" w:rsidRPr="00000000" w14:paraId="0000005A">
      <w:pPr>
        <w:rPr/>
      </w:pPr>
      <w:r w:rsidDel="00000000" w:rsidR="00000000" w:rsidRPr="00000000">
        <w:rPr>
          <w:rtl w:val="0"/>
        </w:rPr>
        <w:t xml:space="preserve">K_CALL = 1.0890</w:t>
      </w:r>
    </w:p>
    <w:p w:rsidR="00000000" w:rsidDel="00000000" w:rsidP="00000000" w:rsidRDefault="00000000" w:rsidRPr="00000000" w14:paraId="0000005B">
      <w:pPr>
        <w:rPr/>
      </w:pPr>
      <w:r w:rsidDel="00000000" w:rsidR="00000000" w:rsidRPr="00000000">
        <w:rPr>
          <w:rtl w:val="0"/>
        </w:rPr>
        <w:t xml:space="preserve">PREM_CALL = 0.0200</w:t>
      </w:r>
    </w:p>
    <w:p w:rsidR="00000000" w:rsidDel="00000000" w:rsidP="00000000" w:rsidRDefault="00000000" w:rsidRPr="00000000" w14:paraId="0000005C">
      <w:pPr>
        <w:rPr/>
      </w:pPr>
      <w:r w:rsidDel="00000000" w:rsidR="00000000" w:rsidRPr="00000000">
        <w:rPr>
          <w:rtl w:val="0"/>
        </w:rPr>
        <w:t xml:space="preserve">T_DAYS = 365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LOGIC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1. Time Conversion</w:t>
      </w:r>
    </w:p>
    <w:p w:rsidR="00000000" w:rsidDel="00000000" w:rsidP="00000000" w:rsidRDefault="00000000" w:rsidRPr="00000000" w14:paraId="00000061">
      <w:pPr>
        <w:rPr/>
      </w:pPr>
      <w:r w:rsidDel="00000000" w:rsidR="00000000" w:rsidRPr="00000000">
        <w:rPr>
          <w:rtl w:val="0"/>
        </w:rPr>
        <w:t xml:space="preserve">T_yrs = T_DAYS / 365</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2. Forward Hedge</w:t>
      </w:r>
    </w:p>
    <w:p w:rsidR="00000000" w:rsidDel="00000000" w:rsidP="00000000" w:rsidRDefault="00000000" w:rsidRPr="00000000" w14:paraId="00000064">
      <w:pPr>
        <w:rPr/>
      </w:pPr>
      <w:r w:rsidDel="00000000" w:rsidR="00000000" w:rsidRPr="00000000">
        <w:rPr>
          <w:rtl w:val="0"/>
        </w:rPr>
        <w:t xml:space="preserve">Forward_USD = FC_AMT * F0_in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3. Money Market Hedge</w:t>
      </w:r>
    </w:p>
    <w:p w:rsidR="00000000" w:rsidDel="00000000" w:rsidP="00000000" w:rsidRDefault="00000000" w:rsidRPr="00000000" w14:paraId="00000067">
      <w:pPr>
        <w:rPr/>
      </w:pPr>
      <w:r w:rsidDel="00000000" w:rsidR="00000000" w:rsidRPr="00000000">
        <w:rPr>
          <w:rtl w:val="0"/>
        </w:rPr>
        <w:t xml:space="preserve">PV_FC = FC_AMT / (1 + R_FC * T_yrs)</w:t>
      </w:r>
    </w:p>
    <w:p w:rsidR="00000000" w:rsidDel="00000000" w:rsidP="00000000" w:rsidRDefault="00000000" w:rsidRPr="00000000" w14:paraId="00000068">
      <w:pPr>
        <w:rPr/>
      </w:pPr>
      <w:r w:rsidDel="00000000" w:rsidR="00000000" w:rsidRPr="00000000">
        <w:rPr>
          <w:rtl w:val="0"/>
        </w:rPr>
        <w:t xml:space="preserve">USD_now = PV_FC * S0_in</w:t>
      </w:r>
    </w:p>
    <w:p w:rsidR="00000000" w:rsidDel="00000000" w:rsidP="00000000" w:rsidRDefault="00000000" w:rsidRPr="00000000" w14:paraId="00000069">
      <w:pPr>
        <w:rPr/>
      </w:pPr>
      <w:r w:rsidDel="00000000" w:rsidR="00000000" w:rsidRPr="00000000">
        <w:rPr>
          <w:rtl w:val="0"/>
        </w:rPr>
        <w:t xml:space="preserve">USD_mm_proceeds = USD_now * (1 + R_USD * T_yrs)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4. Options</w:t>
      </w:r>
    </w:p>
    <w:p w:rsidR="00000000" w:rsidDel="00000000" w:rsidP="00000000" w:rsidRDefault="00000000" w:rsidRPr="00000000" w14:paraId="0000006C">
      <w:pPr>
        <w:rPr/>
      </w:pPr>
      <w:r w:rsidDel="00000000" w:rsidR="00000000" w:rsidRPr="00000000">
        <w:rPr>
          <w:rtl w:val="0"/>
        </w:rPr>
        <w:t xml:space="preserve">PutPayoff = MAX(K_PUT - S_T, 0) * FC_AMT</w:t>
      </w:r>
    </w:p>
    <w:p w:rsidR="00000000" w:rsidDel="00000000" w:rsidP="00000000" w:rsidRDefault="00000000" w:rsidRPr="00000000" w14:paraId="0000006D">
      <w:pPr>
        <w:rPr/>
      </w:pPr>
      <w:r w:rsidDel="00000000" w:rsidR="00000000" w:rsidRPr="00000000">
        <w:rPr>
          <w:rtl w:val="0"/>
        </w:rPr>
        <w:t xml:space="preserve">PutNet = (S_T * FC_AMT) + PutPayoff - (PREM_PUT * FC_AMT)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CallPayoff = MAX(S_T - K_CALL, 0) * FC_AMT</w:t>
      </w:r>
    </w:p>
    <w:p w:rsidR="00000000" w:rsidDel="00000000" w:rsidP="00000000" w:rsidRDefault="00000000" w:rsidRPr="00000000" w14:paraId="00000070">
      <w:pPr>
        <w:rPr/>
      </w:pPr>
      <w:r w:rsidDel="00000000" w:rsidR="00000000" w:rsidRPr="00000000">
        <w:rPr>
          <w:rtl w:val="0"/>
        </w:rPr>
        <w:t xml:space="preserve">CallNet = (S_T * FC_AMT) - (PREM_CALL * FC_AMT) - CallPayoff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5. No Hedge</w:t>
      </w:r>
    </w:p>
    <w:p w:rsidR="00000000" w:rsidDel="00000000" w:rsidP="00000000" w:rsidRDefault="00000000" w:rsidRPr="00000000" w14:paraId="00000073">
      <w:pPr>
        <w:rPr/>
      </w:pPr>
      <w:r w:rsidDel="00000000" w:rsidR="00000000" w:rsidRPr="00000000">
        <w:rPr>
          <w:rtl w:val="0"/>
        </w:rPr>
        <w:t xml:space="preserve">NoHedge = S_T * FC_AMT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SENSITIVITY TABLE</w:t>
      </w:r>
    </w:p>
    <w:p w:rsidR="00000000" w:rsidDel="00000000" w:rsidP="00000000" w:rsidRDefault="00000000" w:rsidRPr="00000000" w14:paraId="00000076">
      <w:pPr>
        <w:rPr/>
      </w:pPr>
      <w:r w:rsidDel="00000000" w:rsidR="00000000" w:rsidRPr="00000000">
        <w:rPr>
          <w:rtl w:val="0"/>
        </w:rPr>
        <w:t xml:space="preserve">Generate S_T from 0.95 * S0_in to 1.05 * S0_in in 1% increments.</w:t>
      </w:r>
    </w:p>
    <w:p w:rsidR="00000000" w:rsidDel="00000000" w:rsidP="00000000" w:rsidRDefault="00000000" w:rsidRPr="00000000" w14:paraId="00000077">
      <w:pPr>
        <w:rPr/>
      </w:pPr>
      <w:r w:rsidDel="00000000" w:rsidR="00000000" w:rsidRPr="00000000">
        <w:rPr>
          <w:rtl w:val="0"/>
        </w:rPr>
        <w:t xml:space="preserve">Columns: S_T, NoHedge, Forward, MoneyMarket, PutNet, CallNet.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VERIFY</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Forward ≈ Money Market (parity check)</w:t>
      </w:r>
    </w:p>
    <w:p w:rsidR="00000000" w:rsidDel="00000000" w:rsidP="00000000" w:rsidRDefault="00000000" w:rsidRPr="00000000" w14:paraId="0000007B">
      <w:pPr>
        <w:rPr/>
      </w:pPr>
      <w:r w:rsidDel="00000000" w:rsidR="00000000" w:rsidRPr="00000000">
        <w:rPr>
          <w:rtl w:val="0"/>
        </w:rPr>
        <w:t xml:space="preserve">- All named ranges used exactly as listed</w:t>
      </w:r>
    </w:p>
    <w:p w:rsidR="00000000" w:rsidDel="00000000" w:rsidP="00000000" w:rsidRDefault="00000000" w:rsidRPr="00000000" w14:paraId="0000007C">
      <w:pPr>
        <w:rPr/>
      </w:pPr>
      <w:r w:rsidDel="00000000" w:rsidR="00000000" w:rsidRPr="00000000">
        <w:rPr>
          <w:rtl w:val="0"/>
        </w:rPr>
        <w:t xml:space="preserve">- Color coding applied correctly</w:t>
      </w:r>
    </w:p>
    <w:p w:rsidR="00000000" w:rsidDel="00000000" w:rsidP="00000000" w:rsidRDefault="00000000" w:rsidRPr="00000000" w14:paraId="0000007D">
      <w:pPr>
        <w:rPr/>
      </w:pPr>
      <w:r w:rsidDel="00000000" w:rsidR="00000000" w:rsidRPr="00000000">
        <w:rPr>
          <w:rtl w:val="0"/>
        </w:rPr>
        <w:t xml:space="preserve">- Sensitivity chart included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