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6D773" w14:textId="77777777" w:rsidR="002B6619" w:rsidRPr="004D18C7" w:rsidRDefault="00000000">
      <w:pPr>
        <w:spacing w:after="80"/>
        <w:rPr>
          <w:rFonts w:asciiTheme="minorHAnsi" w:hAnsiTheme="minorHAnsi" w:cstheme="minorHAnsi"/>
          <w:lang w:val="ru-RU"/>
        </w:rPr>
      </w:pPr>
      <w:r w:rsidRPr="004D18C7">
        <w:rPr>
          <w:rFonts w:asciiTheme="minorHAnsi" w:hAnsiTheme="minorHAnsi" w:cstheme="minorHAnsi"/>
          <w:b/>
          <w:color w:val="000000"/>
          <w:sz w:val="30"/>
          <w:lang w:val="ru-RU"/>
        </w:rPr>
        <w:t>Доработка действующих АРМ</w:t>
      </w:r>
    </w:p>
    <w:p w14:paraId="6A241ABC" w14:textId="6DC9B129" w:rsidR="002B6619" w:rsidRPr="004D18C7" w:rsidRDefault="004D18C7">
      <w:pPr>
        <w:spacing w:after="80"/>
        <w:rPr>
          <w:rFonts w:asciiTheme="minorHAnsi" w:hAnsiTheme="minorHAnsi" w:cstheme="minorHAnsi"/>
          <w:lang w:val="ru-RU"/>
        </w:rPr>
      </w:pPr>
      <w:r w:rsidRPr="004D18C7">
        <w:rPr>
          <w:rFonts w:asciiTheme="minorHAnsi" w:hAnsiTheme="minorHAnsi" w:cstheme="minorHAnsi"/>
          <w:color w:val="000000"/>
          <w:sz w:val="22"/>
          <w:lang w:val="ru-RU"/>
        </w:rPr>
        <w:t>Примеры</w:t>
      </w:r>
      <w:r w:rsidR="00000000" w:rsidRPr="004D18C7">
        <w:rPr>
          <w:rFonts w:asciiTheme="minorHAnsi" w:hAnsiTheme="minorHAnsi" w:cstheme="minorHAnsi"/>
          <w:color w:val="000000"/>
          <w:sz w:val="22"/>
          <w:lang w:val="ru-RU"/>
        </w:rPr>
        <w:t xml:space="preserve"> для обсуждения и предварительной оценки. Это не полный перечень доработок и не задание на замену действующих АРМ. Перед оценкой нужно сверить требования с работой текущих форм эксперта и инспектора.</w:t>
      </w:r>
    </w:p>
    <w:p w14:paraId="062294D6" w14:textId="77777777" w:rsidR="002B6619" w:rsidRPr="004D18C7" w:rsidRDefault="00000000">
      <w:pPr>
        <w:spacing w:after="80"/>
        <w:rPr>
          <w:rFonts w:asciiTheme="minorHAnsi" w:hAnsiTheme="minorHAnsi" w:cstheme="minorHAnsi"/>
        </w:rPr>
      </w:pPr>
      <w:proofErr w:type="spellStart"/>
      <w:r w:rsidRPr="004D18C7">
        <w:rPr>
          <w:rFonts w:asciiTheme="minorHAnsi" w:hAnsiTheme="minorHAnsi" w:cstheme="minorHAnsi"/>
          <w:b/>
          <w:color w:val="000000"/>
          <w:sz w:val="24"/>
        </w:rPr>
        <w:t>Сверка</w:t>
      </w:r>
      <w:proofErr w:type="spellEnd"/>
      <w:r w:rsidRPr="004D18C7">
        <w:rPr>
          <w:rFonts w:asciiTheme="minorHAnsi" w:hAnsiTheme="minorHAnsi" w:cstheme="minorHAnsi"/>
          <w:b/>
          <w:color w:val="000000"/>
          <w:sz w:val="24"/>
        </w:rPr>
        <w:t xml:space="preserve"> </w:t>
      </w:r>
      <w:proofErr w:type="spellStart"/>
      <w:r w:rsidRPr="004D18C7">
        <w:rPr>
          <w:rFonts w:asciiTheme="minorHAnsi" w:hAnsiTheme="minorHAnsi" w:cstheme="minorHAnsi"/>
          <w:b/>
          <w:color w:val="000000"/>
          <w:sz w:val="24"/>
        </w:rPr>
        <w:t>требований</w:t>
      </w:r>
      <w:proofErr w:type="spellEnd"/>
      <w:r w:rsidRPr="004D18C7">
        <w:rPr>
          <w:rFonts w:asciiTheme="minorHAnsi" w:hAnsiTheme="minorHAnsi" w:cstheme="minorHAnsi"/>
          <w:b/>
          <w:color w:val="000000"/>
          <w:sz w:val="24"/>
        </w:rPr>
        <w:t xml:space="preserve"> ТЗ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2B6619" w:rsidRPr="004D18C7" w14:paraId="4950AE99" w14:textId="77777777">
        <w:trPr>
          <w:cantSplit/>
        </w:trPr>
        <w:tc>
          <w:tcPr>
            <w:tcW w:w="4857" w:type="dxa"/>
          </w:tcPr>
          <w:p w14:paraId="77B496DA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r w:rsidRPr="004D18C7">
              <w:rPr>
                <w:rFonts w:asciiTheme="minorHAnsi" w:hAnsiTheme="minorHAnsi" w:cstheme="minorHAnsi"/>
                <w:b/>
                <w:color w:val="000000"/>
                <w:sz w:val="19"/>
              </w:rPr>
              <w:t>Требование</w:t>
            </w:r>
          </w:p>
        </w:tc>
        <w:tc>
          <w:tcPr>
            <w:tcW w:w="4857" w:type="dxa"/>
          </w:tcPr>
          <w:p w14:paraId="660C237A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r w:rsidRPr="004D18C7">
              <w:rPr>
                <w:rFonts w:asciiTheme="minorHAnsi" w:hAnsiTheme="minorHAnsi" w:cstheme="minorHAnsi"/>
                <w:b/>
                <w:color w:val="000000"/>
                <w:sz w:val="19"/>
              </w:rPr>
              <w:t>Что отражено в документе</w:t>
            </w:r>
          </w:p>
        </w:tc>
        <w:tc>
          <w:tcPr>
            <w:tcW w:w="4857" w:type="dxa"/>
          </w:tcPr>
          <w:p w14:paraId="7AB9E9F1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r w:rsidRPr="004D18C7">
              <w:rPr>
                <w:rFonts w:asciiTheme="minorHAnsi" w:hAnsiTheme="minorHAnsi" w:cstheme="minorHAnsi"/>
                <w:b/>
                <w:color w:val="000000"/>
                <w:sz w:val="19"/>
              </w:rPr>
              <w:t>Что проверить</w:t>
            </w:r>
          </w:p>
        </w:tc>
      </w:tr>
      <w:tr w:rsidR="002B6619" w:rsidRPr="004D18C7" w14:paraId="59D54769" w14:textId="77777777">
        <w:trPr>
          <w:cantSplit/>
        </w:trPr>
        <w:tc>
          <w:tcPr>
            <w:tcW w:w="4857" w:type="dxa"/>
          </w:tcPr>
          <w:p w14:paraId="3746FAB9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Документы при принятии решения</w:t>
            </w:r>
          </w:p>
        </w:tc>
        <w:tc>
          <w:tcPr>
            <w:tcW w:w="4857" w:type="dxa"/>
          </w:tcPr>
          <w:p w14:paraId="390D6E90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Показан выбор документа из списка и ввод отсутствующего значения в карточке инспектора.</w:t>
            </w:r>
          </w:p>
        </w:tc>
        <w:tc>
          <w:tcPr>
            <w:tcW w:w="4857" w:type="dxa"/>
          </w:tcPr>
          <w:p w14:paraId="53575E9B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Применимость в форме эксперта и при групповой обработке; возможности действующих форм.</w:t>
            </w:r>
          </w:p>
        </w:tc>
      </w:tr>
      <w:tr w:rsidR="002B6619" w:rsidRPr="004D18C7" w14:paraId="3EC2FA09" w14:textId="77777777">
        <w:trPr>
          <w:cantSplit/>
        </w:trPr>
        <w:tc>
          <w:tcPr>
            <w:tcW w:w="4857" w:type="dxa"/>
          </w:tcPr>
          <w:p w14:paraId="66215E95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Нарушенные НПА и обязательные требования</w:t>
            </w:r>
          </w:p>
        </w:tc>
        <w:tc>
          <w:tcPr>
            <w:tcW w:w="4857" w:type="dxa"/>
          </w:tcPr>
          <w:p w14:paraId="2936795C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Показан выбор для моделей, которые могут формировать факты ЦИ.</w:t>
            </w:r>
          </w:p>
        </w:tc>
        <w:tc>
          <w:tcPr>
            <w:tcW w:w="4857" w:type="dxa"/>
          </w:tcPr>
          <w:p w14:paraId="29DA823C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Состав соответствующих моделей и использование в формах эксперта и инспектора.</w:t>
            </w:r>
          </w:p>
        </w:tc>
      </w:tr>
      <w:tr w:rsidR="002B6619" w:rsidRPr="004D18C7" w14:paraId="7FA54889" w14:textId="77777777">
        <w:trPr>
          <w:cantSplit/>
        </w:trPr>
        <w:tc>
          <w:tcPr>
            <w:tcW w:w="4857" w:type="dxa"/>
          </w:tcPr>
          <w:p w14:paraId="58FEF4A0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Связанные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операции</w:t>
            </w:r>
            <w:proofErr w:type="spellEnd"/>
          </w:p>
        </w:tc>
        <w:tc>
          <w:tcPr>
            <w:tcW w:w="4857" w:type="dxa"/>
          </w:tcPr>
          <w:p w14:paraId="47FB714C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Показано указание основной операции при групповой обработке инспектора.</w:t>
            </w:r>
          </w:p>
        </w:tc>
        <w:tc>
          <w:tcPr>
            <w:tcW w:w="4857" w:type="dxa"/>
          </w:tcPr>
          <w:p w14:paraId="14363BEA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Указание основной операции при одиночной обработке и в формах эксперта.</w:t>
            </w:r>
          </w:p>
        </w:tc>
      </w:tr>
      <w:tr w:rsidR="002B6619" w:rsidRPr="004D18C7" w14:paraId="503D2283" w14:textId="77777777">
        <w:trPr>
          <w:cantSplit/>
        </w:trPr>
        <w:tc>
          <w:tcPr>
            <w:tcW w:w="4857" w:type="dxa"/>
          </w:tcPr>
          <w:p w14:paraId="02DCA962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Подтверждение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принятых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мер</w:t>
            </w:r>
            <w:proofErr w:type="spellEnd"/>
          </w:p>
        </w:tc>
        <w:tc>
          <w:tcPr>
            <w:tcW w:w="4857" w:type="dxa"/>
          </w:tcPr>
          <w:p w14:paraId="665AC095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Отдельно не показано.</w:t>
            </w:r>
          </w:p>
        </w:tc>
        <w:tc>
          <w:tcPr>
            <w:tcW w:w="4857" w:type="dxa"/>
          </w:tcPr>
          <w:p w14:paraId="429B05DF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Есть ли в АРМ инспектора возможность подтверждать принятые меры.</w:t>
            </w:r>
          </w:p>
        </w:tc>
      </w:tr>
      <w:tr w:rsidR="002B6619" w:rsidRPr="004D18C7" w14:paraId="2E6C0909" w14:textId="77777777">
        <w:trPr>
          <w:cantSplit/>
        </w:trPr>
        <w:tc>
          <w:tcPr>
            <w:tcW w:w="4857" w:type="dxa"/>
          </w:tcPr>
          <w:p w14:paraId="5461E803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Причина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отклонения</w:t>
            </w:r>
            <w:proofErr w:type="spellEnd"/>
          </w:p>
        </w:tc>
        <w:tc>
          <w:tcPr>
            <w:tcW w:w="4857" w:type="dxa"/>
          </w:tcPr>
          <w:p w14:paraId="4B0E8E8F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Поля статуса и причины видны на форме инспектора.</w:t>
            </w:r>
          </w:p>
        </w:tc>
        <w:tc>
          <w:tcPr>
            <w:tcW w:w="4857" w:type="dxa"/>
          </w:tcPr>
          <w:p w14:paraId="087FEB21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Выбор причины из справочника при неподтвержденном нарушении, включая групповую обработку и АРМ эксперта.</w:t>
            </w:r>
          </w:p>
        </w:tc>
      </w:tr>
      <w:tr w:rsidR="002B6619" w:rsidRPr="004D18C7" w14:paraId="030331FA" w14:textId="77777777">
        <w:trPr>
          <w:cantSplit/>
        </w:trPr>
        <w:tc>
          <w:tcPr>
            <w:tcW w:w="4857" w:type="dxa"/>
          </w:tcPr>
          <w:p w14:paraId="01A37304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Описание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расчета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модели</w:t>
            </w:r>
            <w:proofErr w:type="spellEnd"/>
          </w:p>
        </w:tc>
        <w:tc>
          <w:tcPr>
            <w:tcW w:w="4857" w:type="dxa"/>
          </w:tcPr>
          <w:p w14:paraId="768024A3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Комментарий модели виден на форме инспектора.</w:t>
            </w:r>
          </w:p>
        </w:tc>
        <w:tc>
          <w:tcPr>
            <w:tcW w:w="4857" w:type="dxa"/>
          </w:tcPr>
          <w:p w14:paraId="2D0A664C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Достаточно ли текущего отображения для расчетов и дополнительных сведений после модернизации моделей.</w:t>
            </w:r>
          </w:p>
        </w:tc>
      </w:tr>
      <w:tr w:rsidR="002B6619" w:rsidRPr="004D18C7" w14:paraId="0F149B6D" w14:textId="77777777">
        <w:trPr>
          <w:cantSplit/>
        </w:trPr>
        <w:tc>
          <w:tcPr>
            <w:tcW w:w="4857" w:type="dxa"/>
          </w:tcPr>
          <w:p w14:paraId="2CA0F86C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Принадлежность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к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фактам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ЦИ</w:t>
            </w:r>
          </w:p>
        </w:tc>
        <w:tc>
          <w:tcPr>
            <w:tcW w:w="4857" w:type="dxa"/>
          </w:tcPr>
          <w:p w14:paraId="36670E58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Выбор трех вариантов отдельно не показан.</w:t>
            </w:r>
          </w:p>
        </w:tc>
        <w:tc>
          <w:tcPr>
            <w:tcW w:w="4857" w:type="dxa"/>
          </w:tcPr>
          <w:p w14:paraId="2A9E1EE9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Как показывать варианты и сохранять выбор для моделей, которые могут формировать факты ЦИ.</w:t>
            </w:r>
          </w:p>
        </w:tc>
      </w:tr>
      <w:tr w:rsidR="002B6619" w:rsidRPr="004D18C7" w14:paraId="3A0248D7" w14:textId="77777777">
        <w:trPr>
          <w:cantSplit/>
        </w:trPr>
        <w:tc>
          <w:tcPr>
            <w:tcW w:w="4857" w:type="dxa"/>
          </w:tcPr>
          <w:p w14:paraId="249B62B7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Предполагаемые меры при срабатывании ЦИ</w:t>
            </w:r>
          </w:p>
        </w:tc>
        <w:tc>
          <w:tcPr>
            <w:tcW w:w="4857" w:type="dxa"/>
          </w:tcPr>
          <w:p w14:paraId="7826D035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</w:rPr>
            </w:pP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Отдельно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не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 xml:space="preserve"> </w:t>
            </w:r>
            <w:proofErr w:type="spellStart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показано</w:t>
            </w:r>
            <w:proofErr w:type="spellEnd"/>
            <w:r w:rsidRPr="004D18C7">
              <w:rPr>
                <w:rFonts w:asciiTheme="minorHAnsi" w:hAnsiTheme="minorHAnsi" w:cstheme="minorHAnsi"/>
                <w:color w:val="000000"/>
                <w:sz w:val="19"/>
              </w:rPr>
              <w:t>.</w:t>
            </w:r>
          </w:p>
        </w:tc>
        <w:tc>
          <w:tcPr>
            <w:tcW w:w="4857" w:type="dxa"/>
          </w:tcPr>
          <w:p w14:paraId="040E7745" w14:textId="77777777" w:rsidR="002B6619" w:rsidRPr="004D18C7" w:rsidRDefault="00000000">
            <w:pPr>
              <w:spacing w:before="20" w:after="20"/>
              <w:rPr>
                <w:rFonts w:asciiTheme="minorHAnsi" w:hAnsiTheme="minorHAnsi" w:cstheme="minorHAnsi"/>
                <w:lang w:val="ru-RU"/>
              </w:rPr>
            </w:pPr>
            <w:r w:rsidRPr="004D18C7">
              <w:rPr>
                <w:rFonts w:asciiTheme="minorHAnsi" w:hAnsiTheme="minorHAnsi" w:cstheme="minorHAnsi"/>
                <w:color w:val="000000"/>
                <w:sz w:val="19"/>
                <w:lang w:val="ru-RU"/>
              </w:rPr>
              <w:t>Есть ли выбор предполагаемых мер для соответствующих моделей; в каких формах он нужен.</w:t>
            </w:r>
          </w:p>
        </w:tc>
      </w:tr>
    </w:tbl>
    <w:p w14:paraId="04B1317B" w14:textId="77777777" w:rsidR="002B6619" w:rsidRPr="004D18C7" w:rsidRDefault="00000000">
      <w:pPr>
        <w:spacing w:after="80"/>
        <w:rPr>
          <w:rFonts w:asciiTheme="minorHAnsi" w:hAnsiTheme="minorHAnsi" w:cstheme="minorHAnsi"/>
          <w:lang w:val="ru-RU"/>
        </w:rPr>
      </w:pPr>
      <w:r w:rsidRPr="004D18C7">
        <w:rPr>
          <w:rFonts w:asciiTheme="minorHAnsi" w:hAnsiTheme="minorHAnsi" w:cstheme="minorHAnsi"/>
          <w:color w:val="000000"/>
          <w:lang w:val="ru-RU"/>
        </w:rPr>
        <w:t>Основание: ТЗ, приложение 2, раздел 2.3 «Интерфейсы работы со сценарными ИИ-моделями». Видимость полей и особенности реализации определяются при проектировании. Интерфейсы работы с цифровыми индикаторами рассматриваются отдельно.</w:t>
      </w:r>
    </w:p>
    <w:p w14:paraId="1CC3F934" w14:textId="77777777" w:rsidR="002B6619" w:rsidRPr="004D18C7" w:rsidRDefault="00000000">
      <w:pPr>
        <w:rPr>
          <w:rFonts w:asciiTheme="minorHAnsi" w:hAnsiTheme="minorHAnsi" w:cstheme="minorHAnsi"/>
          <w:lang w:val="ru-RU"/>
        </w:rPr>
      </w:pPr>
      <w:r w:rsidRPr="004D18C7">
        <w:rPr>
          <w:rFonts w:asciiTheme="minorHAnsi" w:hAnsiTheme="minorHAnsi" w:cstheme="minorHAnsi"/>
          <w:lang w:val="ru-RU"/>
        </w:rPr>
        <w:br w:type="page"/>
      </w:r>
    </w:p>
    <w:p w14:paraId="253BF83D" w14:textId="77777777" w:rsidR="004B3B0B" w:rsidRPr="004D18C7" w:rsidRDefault="004B3B0B" w:rsidP="004B3B0B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4D18C7">
        <w:rPr>
          <w:rFonts w:asciiTheme="minorHAnsi" w:hAnsiTheme="minorHAnsi" w:cstheme="minorHAnsi"/>
          <w:sz w:val="24"/>
          <w:szCs w:val="24"/>
        </w:rPr>
        <w:lastRenderedPageBreak/>
        <w:t>Одиночная</w:t>
      </w:r>
      <w:proofErr w:type="spellEnd"/>
      <w:r w:rsidRPr="004D18C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proofErr w:type="gramStart"/>
      <w:r w:rsidRPr="004D18C7">
        <w:rPr>
          <w:rFonts w:asciiTheme="minorHAnsi" w:hAnsiTheme="minorHAnsi" w:cstheme="minorHAnsi"/>
          <w:sz w:val="24"/>
          <w:szCs w:val="24"/>
        </w:rPr>
        <w:t>обработка</w:t>
      </w:r>
      <w:proofErr w:type="spellEnd"/>
      <w:r w:rsidRPr="004D18C7">
        <w:rPr>
          <w:rFonts w:asciiTheme="minorHAnsi" w:hAnsiTheme="minorHAnsi" w:cstheme="minorHAnsi"/>
          <w:sz w:val="24"/>
          <w:szCs w:val="24"/>
        </w:rPr>
        <w:t xml:space="preserve">  </w:t>
      </w:r>
      <w:proofErr w:type="spellStart"/>
      <w:r w:rsidRPr="004D18C7">
        <w:rPr>
          <w:rFonts w:asciiTheme="minorHAnsi" w:hAnsiTheme="minorHAnsi" w:cstheme="minorHAnsi"/>
          <w:sz w:val="24"/>
          <w:szCs w:val="24"/>
        </w:rPr>
        <w:t>Выбор</w:t>
      </w:r>
      <w:proofErr w:type="spellEnd"/>
      <w:proofErr w:type="gramEnd"/>
      <w:r w:rsidRPr="004D18C7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D18C7">
        <w:rPr>
          <w:rFonts w:asciiTheme="minorHAnsi" w:hAnsiTheme="minorHAnsi" w:cstheme="minorHAnsi"/>
          <w:sz w:val="24"/>
          <w:szCs w:val="24"/>
        </w:rPr>
        <w:t>документов</w:t>
      </w:r>
      <w:proofErr w:type="spellEnd"/>
    </w:p>
    <w:p w14:paraId="08AF066B" w14:textId="77777777" w:rsidR="004B3B0B" w:rsidRPr="004D18C7" w:rsidRDefault="004B3B0B">
      <w:pPr>
        <w:rPr>
          <w:rFonts w:asciiTheme="minorHAnsi" w:hAnsiTheme="minorHAnsi" w:cstheme="minorHAnsi"/>
          <w:lang w:val="ru-RU"/>
        </w:rPr>
      </w:pPr>
      <w:r w:rsidRPr="004D18C7">
        <w:rPr>
          <w:rFonts w:asciiTheme="minorHAnsi" w:hAnsiTheme="minorHAnsi" w:cstheme="minorHAnsi"/>
          <w:noProof/>
        </w:rPr>
        <w:drawing>
          <wp:inline distT="0" distB="0" distL="0" distR="0" wp14:anchorId="1791239A" wp14:editId="7C906B35">
            <wp:extent cx="7810500" cy="5533725"/>
            <wp:effectExtent l="0" t="0" r="0" b="0"/>
            <wp:docPr id="96235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5376" cy="55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EA92" w14:textId="77777777" w:rsidR="004B3B0B" w:rsidRPr="004D18C7" w:rsidRDefault="004B3B0B">
      <w:pPr>
        <w:rPr>
          <w:rFonts w:asciiTheme="minorHAnsi" w:hAnsiTheme="minorHAnsi" w:cstheme="minorHAnsi"/>
          <w:sz w:val="24"/>
          <w:szCs w:val="24"/>
          <w:lang w:val="ru-RU"/>
        </w:rPr>
      </w:pPr>
      <w:r w:rsidRPr="004D18C7">
        <w:rPr>
          <w:rFonts w:asciiTheme="minorHAnsi" w:hAnsiTheme="minorHAnsi" w:cstheme="minorHAnsi"/>
          <w:sz w:val="24"/>
          <w:szCs w:val="24"/>
          <w:lang w:val="ru-RU"/>
        </w:rPr>
        <w:lastRenderedPageBreak/>
        <w:t>Групповая обработка  Отбор записей</w:t>
      </w:r>
    </w:p>
    <w:p w14:paraId="3B54C99E" w14:textId="77777777" w:rsidR="004B3B0B" w:rsidRPr="004D18C7" w:rsidRDefault="004B3B0B">
      <w:pPr>
        <w:rPr>
          <w:rFonts w:asciiTheme="minorHAnsi" w:hAnsiTheme="minorHAnsi" w:cstheme="minorHAnsi"/>
          <w:lang w:val="ru-RU"/>
        </w:rPr>
      </w:pPr>
    </w:p>
    <w:p w14:paraId="3EC77F6D" w14:textId="77777777" w:rsidR="004B3B0B" w:rsidRPr="004B3B0B" w:rsidRDefault="004B3B0B">
      <w:pPr>
        <w:rPr>
          <w:lang w:val="ru-RU"/>
        </w:rPr>
      </w:pPr>
      <w:r w:rsidRPr="004D18C7">
        <w:rPr>
          <w:rFonts w:asciiTheme="minorHAnsi" w:hAnsiTheme="minorHAnsi" w:cstheme="minorHAnsi"/>
          <w:noProof/>
          <w:lang w:val="ru-RU"/>
        </w:rPr>
        <w:drawing>
          <wp:inline distT="0" distB="0" distL="0" distR="0" wp14:anchorId="700C1404" wp14:editId="3F7DA687">
            <wp:extent cx="9251950" cy="4422140"/>
            <wp:effectExtent l="0" t="0" r="6350" b="0"/>
            <wp:docPr id="1834028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2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3B0B" w:rsidRPr="004B3B0B" w:rsidSect="004B3B0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0B"/>
    <w:rsid w:val="00096437"/>
    <w:rsid w:val="002B6619"/>
    <w:rsid w:val="004B3B0B"/>
    <w:rsid w:val="004D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5EFCB"/>
  <w15:chartTrackingRefBased/>
  <w15:docId w15:val="{D2DD4478-5928-4214-9B40-EFAFCA66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B0B"/>
    <w:pPr>
      <w:spacing w:after="120" w:line="269" w:lineRule="auto"/>
    </w:pPr>
    <w:rPr>
      <w:rFonts w:ascii="Aptos" w:eastAsiaTheme="minorEastAsia" w:hAnsi="Aptos"/>
      <w:color w:val="1A2B26"/>
      <w:kern w:val="0"/>
      <w:sz w:val="20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3B0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B0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B0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B0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B0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B0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B0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B0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B0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B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B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B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B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B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B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B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B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B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B0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B3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B0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B3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B0B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B3B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B0B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4B3B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B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B3B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B3B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2026-10-27T19:31:00Z</dcterms:created>
  <dcterms:modified xsi:type="dcterms:W3CDTF">2026-10-27T20:36:00Z</dcterms:modified>
</cp:coreProperties>
</file>