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header10.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embeddings/oleObject1.bin" ContentType="application/vnd.openxmlformats-officedocument.oleObject"/>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media/image1.emf" ContentType="image/x-emf"/>
  <Override PartName="/word/numbering.xml" ContentType="application/vnd.openxmlformats-officedocument.wordprocessingml.numbering+xml"/>
  <Override PartName="/word/footer9.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atTitle"/>
        <w:spacing w:before="0" w:after="80"/>
        <w:ind w:hanging="0" w:start="0" w:end="0"/>
        <w:jc w:val="start"/>
        <w:rPr>
          <w:rFonts w:ascii="Arial" w:hAnsi="Arial"/>
          <w:b/>
          <w:bCs/>
          <w:i w:val="false"/>
          <w:color w:val="18384E"/>
          <w:sz w:val="40"/>
          <w:szCs w:val="40"/>
        </w:rPr>
      </w:pPr>
      <w:r>
        <w:rPr>
          <w:b/>
          <w:bCs/>
          <w:i w:val="false"/>
          <w:color w:val="18384E"/>
          <w:sz w:val="40"/>
          <w:szCs w:val="40"/>
        </w:rPr>
        <w:t>Вопросы для согласования с заказчиком</w:t>
      </w:r>
    </w:p>
    <w:p>
      <w:pPr>
        <w:pStyle w:val="MatBody"/>
        <w:spacing w:before="0" w:after="80"/>
        <w:ind w:hanging="0" w:start="0" w:end="0"/>
        <w:rPr>
          <w:color w:val="647687"/>
        </w:rPr>
      </w:pPr>
      <w:r>
        <w:rPr>
          <w:i w:val="false"/>
          <w:color w:val="647687"/>
        </w:rPr>
        <w:t>РСХН «Цифровой надзор»  ·  Редакция от 07.10.2026</w:t>
      </w:r>
    </w:p>
    <w:p>
      <w:pPr>
        <w:pStyle w:val="MatBody"/>
        <w:spacing w:before="346" w:after="86"/>
        <w:ind w:hanging="0" w:start="0" w:end="0"/>
        <w:rPr>
          <w:i w:val="false"/>
        </w:rPr>
      </w:pPr>
      <w:r>
        <w:rPr>
          <w:i w:val="false"/>
        </w:rPr>
        <w:t xml:space="preserve">Настоящий документ подготовлен для уточнения деталей проекта по ТЗ «развитие Аналитической системы Россельхознадзора» (сервис «Цифровой надзор») и корректной оценки трудозатрат командой Modus BI. Ряд формулировок ТЗ допускает различное толкование объёма работ, условий испытаний и границ ответственности. </w:t>
      </w:r>
    </w:p>
    <w:p>
      <w:pPr>
        <w:pStyle w:val="MatBody"/>
        <w:spacing w:before="230" w:after="86"/>
        <w:ind w:hanging="0" w:start="0" w:end="0"/>
        <w:rPr>
          <w:i w:val="false"/>
        </w:rPr>
      </w:pPr>
      <w:r>
        <w:rPr>
          <w:i w:val="false"/>
        </w:rPr>
        <w:t>Просим подтвердить верно ли мы видим сценарий работы системы с точки зрения пользователя:</w:t>
      </w:r>
    </w:p>
    <w:p>
      <w:pPr>
        <w:pStyle w:val="BodyText"/>
        <w:numPr>
          <w:ilvl w:val="0"/>
          <w:numId w:val="66"/>
        </w:numPr>
        <w:tabs>
          <w:tab w:val="clear" w:pos="708"/>
          <w:tab w:val="left" w:pos="0" w:leader="none"/>
        </w:tabs>
        <w:spacing w:lineRule="auto" w:line="228" w:before="0" w:after="80"/>
        <w:ind w:hanging="283" w:start="709"/>
        <w:rPr>
          <w:rFonts w:ascii="Arial" w:hAnsi="Arial" w:cs="Arial"/>
          <w:sz w:val="20"/>
        </w:rPr>
      </w:pPr>
      <w:r>
        <w:rPr>
          <w:rStyle w:val="Strong"/>
          <w:rFonts w:cs="Arial" w:ascii="Arial" w:hAnsi="Arial"/>
          <w:sz w:val="20"/>
        </w:rPr>
        <w:t>Формирование отслеживаемых фактов.</w:t>
      </w:r>
      <w:r>
        <w:rPr>
          <w:rFonts w:cs="Arial" w:ascii="Arial" w:hAnsi="Arial"/>
          <w:sz w:val="20"/>
        </w:rPr>
        <w:t xml:space="preserve"> Сценарные ИИ-модели выявляют подозрительные операции. Инспектор проверяет их в АРМ, подтверждает или отклоняет нарушение, при необходимости указывает НПА/обязательные требования и относит подтверждённое нарушение к одной из категорий использования в цифровом надзоре. Инспектор также может вручную добавить отслеживаемый факт.</w:t>
      </w:r>
    </w:p>
    <w:p>
      <w:pPr>
        <w:pStyle w:val="BodyText"/>
        <w:numPr>
          <w:ilvl w:val="0"/>
          <w:numId w:val="66"/>
        </w:numPr>
        <w:tabs>
          <w:tab w:val="clear" w:pos="708"/>
          <w:tab w:val="left" w:pos="0" w:leader="none"/>
        </w:tabs>
        <w:spacing w:lineRule="auto" w:line="228" w:before="0" w:after="80"/>
        <w:ind w:hanging="283" w:start="709"/>
        <w:rPr>
          <w:rFonts w:ascii="Arial" w:hAnsi="Arial" w:cs="Arial"/>
          <w:sz w:val="20"/>
        </w:rPr>
      </w:pPr>
      <w:r>
        <w:rPr>
          <w:rStyle w:val="Strong"/>
          <w:rFonts w:cs="Arial" w:ascii="Arial" w:hAnsi="Arial"/>
          <w:sz w:val="20"/>
        </w:rPr>
        <w:t>Срабатывание цифрового индикатора.</w:t>
      </w:r>
      <w:r>
        <w:rPr>
          <w:rFonts w:cs="Arial" w:ascii="Arial" w:hAnsi="Arial"/>
          <w:sz w:val="20"/>
        </w:rPr>
        <w:t xml:space="preserve"> Система объединяет отслеживаемые факты из ИИ-моделей, ручного ввода и собственных расчётов цифрового индикатора. При выполнении нормативных условий формируется электронная карточка сработавшего индикатора, доступная Инспектору.</w:t>
      </w:r>
    </w:p>
    <w:p>
      <w:pPr>
        <w:pStyle w:val="BodyText"/>
        <w:numPr>
          <w:ilvl w:val="0"/>
          <w:numId w:val="66"/>
        </w:numPr>
        <w:tabs>
          <w:tab w:val="clear" w:pos="708"/>
          <w:tab w:val="left" w:pos="0" w:leader="none"/>
        </w:tabs>
        <w:spacing w:lineRule="auto" w:line="228" w:before="0" w:after="80"/>
        <w:ind w:hanging="283" w:start="709"/>
        <w:rPr>
          <w:rFonts w:ascii="Arial" w:hAnsi="Arial" w:cs="Arial"/>
          <w:sz w:val="20"/>
        </w:rPr>
      </w:pPr>
      <w:r>
        <w:rPr>
          <w:rStyle w:val="Strong"/>
          <w:rFonts w:cs="Arial" w:ascii="Arial" w:hAnsi="Arial"/>
          <w:sz w:val="20"/>
        </w:rPr>
        <w:t>Проверка карточки.</w:t>
      </w:r>
      <w:r>
        <w:rPr>
          <w:rFonts w:cs="Arial" w:ascii="Arial" w:hAnsi="Arial"/>
          <w:sz w:val="20"/>
        </w:rPr>
        <w:t xml:space="preserve"> Инспектор открывает карточку, изучает данные по субъекту/объекту, срабатыванию, отслеживаемым фактам и нормативным основаниям. Каждый отдельный факт можно признать неподтверждённым с указанием причины.</w:t>
      </w:r>
    </w:p>
    <w:p>
      <w:pPr>
        <w:pStyle w:val="BodyText"/>
        <w:numPr>
          <w:ilvl w:val="1"/>
          <w:numId w:val="67"/>
        </w:numPr>
        <w:spacing w:lineRule="auto" w:line="228" w:before="0" w:after="80"/>
        <w:rPr/>
      </w:pPr>
      <w:r>
        <w:rPr>
          <w:rStyle w:val="Strong"/>
          <w:rFonts w:cs="Arial" w:ascii="Arial" w:hAnsi="Arial"/>
          <w:sz w:val="20"/>
        </w:rPr>
        <w:t>Пересчёт при необходимости.</w:t>
      </w:r>
      <w:r>
        <w:rPr>
          <w:rFonts w:cs="Arial" w:ascii="Arial" w:hAnsi="Arial"/>
          <w:sz w:val="20"/>
        </w:rPr>
        <w:t xml:space="preserve"> Если Инспектор отклонил один или несколько отслеживаемых фактов, Система требует пересчёта индикатора. Инспектор может инициировать его вручную. Если после пересчёта условия срабатывания больше не выполняются, карточка автоматически исключается из дальнейшей обработки.</w:t>
      </w:r>
    </w:p>
    <w:p>
      <w:pPr>
        <w:pStyle w:val="BodyText"/>
        <w:numPr>
          <w:ilvl w:val="0"/>
          <w:numId w:val="66"/>
        </w:numPr>
        <w:tabs>
          <w:tab w:val="clear" w:pos="708"/>
          <w:tab w:val="left" w:pos="0" w:leader="none"/>
        </w:tabs>
        <w:spacing w:lineRule="auto" w:line="228" w:before="0" w:after="80"/>
        <w:ind w:hanging="283" w:start="709"/>
        <w:rPr>
          <w:rFonts w:ascii="Arial" w:hAnsi="Arial" w:cs="Arial"/>
          <w:sz w:val="20"/>
        </w:rPr>
      </w:pPr>
      <w:r>
        <w:rPr>
          <w:rStyle w:val="Strong"/>
          <w:rFonts w:cs="Arial" w:ascii="Arial" w:hAnsi="Arial"/>
          <w:sz w:val="20"/>
        </w:rPr>
        <w:t>Решение и доказательная база.</w:t>
      </w:r>
      <w:r>
        <w:rPr>
          <w:rFonts w:cs="Arial" w:ascii="Arial" w:hAnsi="Arial"/>
          <w:sz w:val="20"/>
        </w:rPr>
        <w:t xml:space="preserve"> Для подтверждённого срабатывания Инспектор фиксирует статус рассмотрения и свою позицию, включая соответствующие пункты НПА, и запускает сбор доказательной базы. Система проверяет актуальность исходных сведений и формирует сведения по субъекту/объекту и операциям, PDF-материалы и структурированную доказательную базу. При выявленных расхождениях отправка индикатора блокируется.</w:t>
      </w:r>
    </w:p>
    <w:p>
      <w:pPr>
        <w:pStyle w:val="BodyText"/>
        <w:numPr>
          <w:ilvl w:val="0"/>
          <w:numId w:val="66"/>
        </w:numPr>
        <w:tabs>
          <w:tab w:val="clear" w:pos="708"/>
          <w:tab w:val="left" w:pos="0" w:leader="none"/>
        </w:tabs>
        <w:spacing w:lineRule="auto" w:line="228" w:before="0" w:after="80"/>
        <w:ind w:hanging="283" w:start="709"/>
        <w:rPr>
          <w:rFonts w:ascii="Arial" w:hAnsi="Arial" w:cs="Arial"/>
          <w:sz w:val="20"/>
        </w:rPr>
      </w:pPr>
      <w:r>
        <w:rPr>
          <w:rStyle w:val="Strong"/>
          <w:rFonts w:cs="Arial" w:ascii="Arial" w:hAnsi="Arial"/>
          <w:sz w:val="20"/>
        </w:rPr>
        <w:t>Отправка сведений.</w:t>
      </w:r>
      <w:r>
        <w:rPr>
          <w:rFonts w:cs="Arial" w:ascii="Arial" w:hAnsi="Arial"/>
          <w:sz w:val="20"/>
        </w:rPr>
        <w:t xml:space="preserve"> После завершения проверки и сбора доказательной базы Инспектор инициирует отправку сведений о сработавшем цифровом индикаторе. Система формирует требуемые данные и передаёт их через ведомственный интеграционный шлюз с использованием СМЭВ 3. После отправки изменение фактов и повторный пересчёт индикатора блокируются.</w:t>
      </w:r>
    </w:p>
    <w:p>
      <w:pPr>
        <w:pStyle w:val="BodyText"/>
        <w:numPr>
          <w:ilvl w:val="0"/>
          <w:numId w:val="66"/>
        </w:numPr>
        <w:tabs>
          <w:tab w:val="clear" w:pos="708"/>
          <w:tab w:val="left" w:pos="0" w:leader="none"/>
        </w:tabs>
        <w:spacing w:lineRule="auto" w:line="228" w:before="0" w:after="80"/>
        <w:ind w:hanging="283" w:start="709"/>
        <w:rPr>
          <w:rFonts w:ascii="Arial" w:hAnsi="Arial" w:cs="Arial"/>
          <w:sz w:val="20"/>
        </w:rPr>
      </w:pPr>
      <w:r>
        <w:rPr>
          <w:rStyle w:val="Strong"/>
          <w:rFonts w:cs="Arial" w:ascii="Arial" w:hAnsi="Arial"/>
          <w:sz w:val="20"/>
        </w:rPr>
        <w:t>Контроль результата.</w:t>
      </w:r>
      <w:r>
        <w:rPr>
          <w:rFonts w:cs="Arial" w:ascii="Arial" w:hAnsi="Arial"/>
          <w:sz w:val="20"/>
        </w:rPr>
        <w:t xml:space="preserve"> АС получает и сохраняет результаты внутренних и внешних запросов, статусы и ошибки обмена и отображает их пользователю; действия Инспектора и вызовы сервисов сохраняются в истории карточки.</w:t>
      </w:r>
    </w:p>
    <w:p>
      <w:pPr>
        <w:pStyle w:val="BodyText"/>
        <w:widowControl w:val="false"/>
        <w:suppressAutoHyphens w:val="true"/>
        <w:bidi w:val="0"/>
        <w:spacing w:lineRule="auto" w:line="228" w:before="0" w:after="80"/>
        <w:ind w:firstLine="269" w:start="0" w:end="0"/>
        <w:jc w:val="both"/>
        <w:rPr/>
      </w:pPr>
      <w:r>
        <w:rPr>
          <w:rFonts w:cs="Arial" w:ascii="Arial" w:hAnsi="Arial"/>
          <w:sz w:val="20"/>
        </w:rPr>
        <w:t>Просим подтвердить или скорректировать ожидаемый верхнеуровневый сценарий взаимодействия с системой с точки зрения пользователя.</w:t>
      </w:r>
    </w:p>
    <w:p>
      <w:pPr>
        <w:pStyle w:val="MatBody"/>
        <w:spacing w:before="288" w:after="86"/>
        <w:ind w:hanging="0" w:start="0" w:end="0"/>
        <w:rPr/>
      </w:pPr>
      <w:r>
        <w:rPr>
          <w:b/>
          <w:bCs/>
          <w:i w:val="false"/>
          <w:color w:val="0B1220"/>
          <w:sz w:val="21"/>
          <w:szCs w:val="21"/>
        </w:rPr>
        <w:t xml:space="preserve">Ниже приведены семь вопросов, ответы на которые необходимы для корректной оценки наших трудозатрат; </w:t>
      </w:r>
    </w:p>
    <w:p>
      <w:pPr>
        <w:pStyle w:val="MatBody"/>
        <w:spacing w:before="115" w:after="86"/>
        <w:ind w:hanging="0" w:start="0" w:end="0"/>
        <w:rPr/>
      </w:pPr>
      <w:r>
        <w:rPr>
          <w:b w:val="false"/>
          <w:bCs w:val="false"/>
          <w:i w:val="false"/>
          <w:color w:val="0B1220"/>
          <w:sz w:val="20"/>
          <w:szCs w:val="20"/>
        </w:rPr>
        <w:t xml:space="preserve">Ссылки даны на разделы и пункты оригинального ТЗ (текст ТЗ приведён в </w:t>
      </w:r>
      <w:hyperlink w:anchor="Приложение_1._Текст_оригинального_ТЗ">
        <w:r>
          <w:rPr>
            <w:rStyle w:val="Hyperlink"/>
            <w:b w:val="false"/>
            <w:bCs w:val="false"/>
            <w:i w:val="false"/>
            <w:color w:val="0B1220"/>
            <w:sz w:val="20"/>
            <w:szCs w:val="20"/>
            <w:u w:val="single"/>
          </w:rPr>
          <w:t>Приложении 1</w:t>
        </w:r>
      </w:hyperlink>
      <w:r>
        <w:rPr>
          <w:b w:val="false"/>
          <w:bCs w:val="false"/>
          <w:i w:val="false"/>
          <w:color w:val="0B1220"/>
          <w:sz w:val="20"/>
          <w:szCs w:val="20"/>
        </w:rPr>
        <w:t xml:space="preserve">). </w:t>
      </w:r>
    </w:p>
    <w:p>
      <w:pPr>
        <w:pStyle w:val="MatBody"/>
        <w:spacing w:before="160" w:after="80"/>
        <w:ind w:hanging="0" w:start="0" w:end="0"/>
        <w:rPr/>
      </w:pPr>
      <w:r>
        <w:rPr>
          <w:b/>
        </w:rPr>
        <w:t xml:space="preserve">1) </w:t>
      </w:r>
      <w:r>
        <w:rPr>
          <w:rStyle w:val="Strong"/>
          <w:rFonts w:cs="Arial"/>
          <w:b/>
          <w:bCs/>
          <w:sz w:val="20"/>
        </w:rPr>
        <w:t>Остаётся ли в целевом сценарии, обсуждаемый ранее, сценарий генеративной LLM</w:t>
      </w:r>
      <w:r>
        <w:rPr>
          <w:b/>
        </w:rPr>
        <w:t>?</w:t>
      </w:r>
    </w:p>
    <w:p>
      <w:pPr>
        <w:pStyle w:val="MatBody"/>
        <w:spacing w:before="0" w:after="80"/>
        <w:ind w:hanging="0" w:start="360" w:end="0"/>
        <w:rPr/>
      </w:pPr>
      <w:r>
        <w:rPr>
          <w:rStyle w:val="Strong"/>
          <w:rFonts w:cs="Arial"/>
          <w:b w:val="false"/>
          <w:bCs w:val="false"/>
          <w:i w:val="false"/>
          <w:sz w:val="20"/>
        </w:rPr>
        <w:t>Обсуждаемый ранее, сценарий генеративной LLM с получением редактируемого документа, скачиванием/загрузкой итоговой редакции, оценкой качества LLM и отправкой пары «до/после» отсутствует в текущем ТЗ, а под ИИ-моделями понимаются сценарные модели выявления подозрительных операций</w:t>
      </w:r>
      <w:r>
        <w:rPr>
          <w:b w:val="false"/>
          <w:bCs w:val="false"/>
          <w:i w:val="false"/>
        </w:rPr>
        <w:t>. Хочется понять остаётся ли он в целевом виде системы.</w:t>
      </w:r>
    </w:p>
    <w:p>
      <w:pPr>
        <w:pStyle w:val="MatBody"/>
        <w:spacing w:before="160" w:after="80"/>
        <w:ind w:hanging="0" w:start="0" w:end="0"/>
        <w:rPr/>
      </w:pPr>
      <w:r>
        <w:rPr>
          <w:b/>
        </w:rPr>
        <w:t>2) Какой именно объём модернизации существующих АРМ Эксперта и Инспектора ожидается?</w:t>
      </w:r>
    </w:p>
    <w:p>
      <w:pPr>
        <w:pStyle w:val="MatBody"/>
        <w:spacing w:before="0" w:after="80"/>
        <w:ind w:hanging="0" w:start="360" w:end="0"/>
        <w:rPr/>
      </w:pPr>
      <w:r>
        <w:rPr>
          <w:i w:val="false"/>
        </w:rPr>
        <w:t>Формулировки в текущем ТЗ позволяют предположить, что в рамках проекта планируется доработка уже реализованной функциональности АРМ. Нужно однозначно определить целевой вариант: дорабатываются существующие АРМ; создаётся новый интерфейс для новых сценариев; либо существующая функциональность заменяется новым решением.</w:t>
      </w:r>
    </w:p>
    <w:p>
      <w:pPr>
        <w:pStyle w:val="MatBody"/>
        <w:spacing w:before="0" w:after="80"/>
        <w:ind w:hanging="0" w:start="360" w:end="0"/>
        <w:rPr/>
      </w:pPr>
      <w:r>
        <w:rPr>
          <w:i w:val="false"/>
        </w:rPr>
        <w:t>Дополнительно: если предполагается перенос/замена, требуется ли перенос существующих карточек, незавершённых процессов, статусов, комментариев, документов и истории действий?</w:t>
      </w:r>
    </w:p>
    <w:p>
      <w:pPr>
        <w:pStyle w:val="MatBody"/>
        <w:keepNext w:val="false"/>
        <w:keepLines/>
        <w:pageBreakBefore w:val="false"/>
        <w:spacing w:lineRule="auto" w:line="240" w:before="0" w:after="24"/>
        <w:ind w:hanging="0" w:start="144" w:end="0"/>
        <w:jc w:val="start"/>
        <w:rPr/>
      </w:pPr>
      <w:r>
        <w:rPr>
          <w:rFonts w:eastAsia="Arial" w:cs="Arial"/>
          <w:b/>
          <w:i w:val="false"/>
          <w:color w:val="647687"/>
          <w:sz w:val="17"/>
          <w:szCs w:val="20"/>
          <w:lang w:val="ru-RU"/>
        </w:rPr>
        <w:t xml:space="preserve">ТЗ: </w:t>
      </w:r>
      <w:hyperlink w:anchor="TZ_B0331">
        <w:r>
          <w:rPr>
            <w:rStyle w:val="Style"/>
            <w:rFonts w:eastAsia="Arial" w:cs="Arial"/>
            <w:i w:val="false"/>
            <w:color w:val="2A6F8F"/>
            <w:sz w:val="18"/>
            <w:szCs w:val="18"/>
            <w:u w:val="single"/>
            <w:lang w:val="ru-RU"/>
          </w:rPr>
          <w:t>Прил. 2, п. 2.3.1</w:t>
        </w:r>
      </w:hyperlink>
      <w:r>
        <w:rPr>
          <w:rFonts w:eastAsia="Arial" w:cs="Arial"/>
          <w:b w:val="false"/>
          <w:i w:val="false"/>
          <w:color w:val="647687"/>
          <w:sz w:val="17"/>
          <w:szCs w:val="20"/>
          <w:lang w:val="ru-RU"/>
        </w:rPr>
        <w:t xml:space="preserve">; </w:t>
      </w:r>
      <w:hyperlink w:anchor="TZ_B0345">
        <w:r>
          <w:rPr>
            <w:rStyle w:val="Style"/>
            <w:rFonts w:eastAsia="Arial" w:cs="Arial"/>
            <w:i w:val="false"/>
            <w:color w:val="2A6F8F"/>
            <w:sz w:val="18"/>
            <w:szCs w:val="18"/>
            <w:u w:val="single"/>
            <w:lang w:val="ru-RU"/>
          </w:rPr>
          <w:t>п. 2.3.2</w:t>
        </w:r>
      </w:hyperlink>
      <w:r>
        <w:rPr>
          <w:rFonts w:eastAsia="Arial" w:cs="Arial"/>
          <w:b w:val="false"/>
          <w:i w:val="false"/>
          <w:color w:val="647687"/>
          <w:sz w:val="17"/>
          <w:szCs w:val="20"/>
          <w:lang w:val="ru-RU"/>
        </w:rPr>
        <w:t>.</w:t>
      </w:r>
    </w:p>
    <w:p>
      <w:pPr>
        <w:pStyle w:val="MatBody"/>
        <w:spacing w:before="160" w:after="80"/>
        <w:ind w:hanging="0" w:start="0" w:end="0"/>
        <w:rPr/>
      </w:pPr>
      <w:r>
        <w:rPr>
          <w:b/>
        </w:rPr>
        <w:t>3) Подтвердите целевую схему категорирования риска и объём работ Аналитической системы.</w:t>
      </w:r>
    </w:p>
    <w:p>
      <w:pPr>
        <w:pStyle w:val="MatBody"/>
        <w:spacing w:before="0" w:after="80"/>
        <w:ind w:hanging="0" w:start="360" w:end="0"/>
        <w:rPr/>
      </w:pPr>
      <w:r>
        <w:rPr>
          <w:i w:val="false"/>
        </w:rPr>
        <w:t xml:space="preserve">Нужно подтвердить, что принимается за </w:t>
      </w:r>
      <w:r>
        <w:rPr>
          <w:i/>
          <w:iCs/>
        </w:rPr>
        <w:t>целевой вариант</w:t>
      </w:r>
      <w:r>
        <w:rPr>
          <w:i w:val="false"/>
        </w:rPr>
        <w:t>: расчёт категории выполняется во ФГИС ПГС, а Аналитическая система только готовит/передаёт данные и отображает результат, либо какая-то часть расчётной логики, подготовка справочников, обработка неполных факторов, ручное подтверждение и UI должны быть реализованы непосредственно в АС.</w:t>
      </w:r>
    </w:p>
    <w:p>
      <w:pPr>
        <w:pStyle w:val="MatBody"/>
        <w:spacing w:before="0" w:after="80"/>
        <w:ind w:hanging="0" w:start="360" w:end="0"/>
        <w:rPr/>
      </w:pPr>
      <w:r>
        <w:rPr>
          <w:i w:val="false"/>
        </w:rPr>
        <w:t xml:space="preserve">Дополнительно: Есть опасения, что </w:t>
      </w:r>
      <w:r>
        <w:rPr>
          <w:b/>
          <w:bCs/>
          <w:i w:val="false"/>
        </w:rPr>
        <w:t>при</w:t>
      </w:r>
      <w:r>
        <w:rPr>
          <w:rStyle w:val="Strong"/>
        </w:rPr>
        <w:t xml:space="preserve"> текущих исходных данных точный автоматический расчёт категории невозможен:</w:t>
      </w:r>
      <w:r>
        <w:rPr/>
        <w:t xml:space="preserve"> для него требуются дополнительные актуализируемые данные/справочники и бизнес-процесс их ведения. Необходимо определить владельца расчёта и порядок предоставления необходимых исходных данных.</w:t>
      </w:r>
    </w:p>
    <w:p>
      <w:pPr>
        <w:pStyle w:val="MatBody"/>
        <w:keepNext w:val="false"/>
        <w:keepLines/>
        <w:pageBreakBefore w:val="false"/>
        <w:spacing w:lineRule="auto" w:line="240" w:before="0" w:after="24"/>
        <w:ind w:hanging="0" w:start="144" w:end="0"/>
        <w:jc w:val="start"/>
        <w:rPr/>
      </w:pPr>
      <w:r>
        <w:rPr>
          <w:rFonts w:eastAsia="Arial" w:cs="Arial"/>
          <w:b/>
          <w:i w:val="false"/>
          <w:color w:val="647687"/>
          <w:sz w:val="17"/>
          <w:lang w:val="ru-RU"/>
        </w:rPr>
        <w:t xml:space="preserve">ТЗ: </w:t>
      </w:r>
      <w:hyperlink w:anchor="TZ_B0371">
        <w:r>
          <w:rPr>
            <w:rStyle w:val="Style"/>
            <w:rFonts w:eastAsia="Arial" w:cs="Arial"/>
            <w:i w:val="false"/>
            <w:color w:val="2A6F8F"/>
            <w:sz w:val="18"/>
            <w:szCs w:val="18"/>
            <w:u w:val="single"/>
            <w:lang w:val="ru-RU"/>
          </w:rPr>
          <w:t>Прил. 2, разд. 4</w:t>
        </w:r>
      </w:hyperlink>
      <w:r>
        <w:rPr>
          <w:rFonts w:eastAsia="Arial" w:cs="Arial"/>
          <w:b w:val="false"/>
          <w:i w:val="false"/>
          <w:color w:val="647687"/>
          <w:sz w:val="17"/>
          <w:lang w:val="ru-RU"/>
        </w:rPr>
        <w:t>.</w:t>
      </w:r>
    </w:p>
    <w:p>
      <w:pPr>
        <w:pStyle w:val="MatBody"/>
        <w:spacing w:before="160" w:after="80"/>
        <w:ind w:hanging="0" w:start="0" w:end="0"/>
        <w:rPr/>
      </w:pPr>
      <w:r>
        <w:rPr>
          <w:b/>
        </w:rPr>
        <w:t>4) Уточните условия проверки нефункциональных требований и область их применения.</w:t>
      </w:r>
    </w:p>
    <w:p>
      <w:pPr>
        <w:pStyle w:val="MatBody"/>
        <w:spacing w:before="0" w:after="80"/>
        <w:ind w:hanging="0" w:start="360" w:end="0"/>
        <w:rPr/>
      </w:pPr>
      <w:r>
        <w:rPr>
          <w:i w:val="false"/>
        </w:rPr>
        <w:t>На каком объёме данных и профиле нагрузки будут проверяться показатели ТЗ: не менее 300 одновременных пользователей, отклик UI не более 30 секунд, анализ данных не более 12 часов, расчёт ЦИ не более 4 часов и ETL не более 24 часов?</w:t>
      </w:r>
    </w:p>
    <w:p>
      <w:pPr>
        <w:pStyle w:val="MatBody"/>
        <w:spacing w:before="0" w:after="80"/>
        <w:ind w:hanging="0" w:start="360" w:end="0"/>
        <w:rPr/>
      </w:pPr>
      <w:r>
        <w:rPr>
          <w:i w:val="false"/>
        </w:rPr>
        <w:t>Отдельно необходимо подтвердить: требования 300 пользователей / 30 секунд распространяются на существующие АРМ и существующие компоненты АС или только на создаваемую/модернизируемую в рамках проекта функциональность?</w:t>
      </w:r>
    </w:p>
    <w:p>
      <w:pPr>
        <w:pStyle w:val="MatBody"/>
        <w:keepNext w:val="false"/>
        <w:keepLines/>
        <w:pageBreakBefore w:val="false"/>
        <w:spacing w:lineRule="auto" w:line="240" w:before="0" w:after="24"/>
        <w:ind w:hanging="0" w:start="144" w:end="0"/>
        <w:jc w:val="start"/>
        <w:rPr/>
      </w:pPr>
      <w:r>
        <w:rPr>
          <w:rFonts w:eastAsia="Arial" w:cs="Arial"/>
          <w:b/>
          <w:i w:val="false"/>
          <w:color w:val="647687"/>
          <w:sz w:val="17"/>
          <w:lang w:val="ru-RU"/>
        </w:rPr>
        <w:t xml:space="preserve">ТЗ: </w:t>
      </w:r>
      <w:hyperlink w:anchor="TZ_B0245">
        <w:r>
          <w:rPr>
            <w:rStyle w:val="Style"/>
            <w:rFonts w:eastAsia="Arial" w:cs="Arial"/>
            <w:i w:val="false"/>
            <w:color w:val="2A6F8F"/>
            <w:sz w:val="18"/>
            <w:szCs w:val="18"/>
            <w:u w:val="single"/>
            <w:lang w:val="ru-RU"/>
          </w:rPr>
          <w:t>Прил. 2, разд. 1 — показатели производительности</w:t>
        </w:r>
      </w:hyperlink>
      <w:r>
        <w:rPr>
          <w:rFonts w:eastAsia="Arial" w:cs="Arial"/>
          <w:b w:val="false"/>
          <w:i w:val="false"/>
          <w:color w:val="647687"/>
          <w:sz w:val="17"/>
          <w:lang w:val="ru-RU"/>
        </w:rPr>
        <w:t xml:space="preserve">; </w:t>
      </w:r>
      <w:hyperlink w:anchor="TZ_B0246">
        <w:r>
          <w:rPr>
            <w:rStyle w:val="Style"/>
            <w:rFonts w:eastAsia="Arial" w:cs="Arial"/>
            <w:i w:val="false"/>
            <w:color w:val="2A6F8F"/>
            <w:sz w:val="18"/>
            <w:szCs w:val="18"/>
            <w:u w:val="single"/>
            <w:lang w:val="ru-RU"/>
          </w:rPr>
          <w:t>нагрузочное тестирование</w:t>
        </w:r>
      </w:hyperlink>
      <w:r>
        <w:rPr>
          <w:rFonts w:eastAsia="Arial" w:cs="Arial"/>
          <w:b w:val="false"/>
          <w:i w:val="false"/>
          <w:color w:val="647687"/>
          <w:sz w:val="17"/>
          <w:lang w:val="ru-RU"/>
        </w:rPr>
        <w:t>.</w:t>
      </w:r>
    </w:p>
    <w:p>
      <w:pPr>
        <w:pStyle w:val="MatBody"/>
        <w:spacing w:before="160" w:after="80"/>
        <w:ind w:hanging="0" w:start="0" w:end="0"/>
        <w:rPr/>
      </w:pPr>
      <w:r>
        <w:rPr>
          <w:b/>
        </w:rPr>
        <w:t>5) Уточните конкретный объём требований информационной безопасности и критерии приёмки по ИБ.</w:t>
      </w:r>
    </w:p>
    <w:p>
      <w:pPr>
        <w:pStyle w:val="MatBody"/>
        <w:spacing w:before="0" w:after="80"/>
        <w:ind w:hanging="0" w:start="360" w:end="0"/>
        <w:rPr>
          <w:i w:val="false"/>
        </w:rPr>
      </w:pPr>
      <w:r>
        <w:rPr>
          <w:i w:val="false"/>
        </w:rPr>
        <w:t>Разрабатываемая нашей командой часть функционала работает в закрытом контуре системы. Взаимодействие с другими частями системы осуществляется через ИВИС, который берёт на себя основную часть межсистемного взаимодействия, криптографическую защиту и т.д. Нужно определить, какие требования ИБ из ТЗ должны выполняться непосредственно нашей командой в рамках закрытого контура, а какие закрываются ИВИС и существующей инфраструктурой.</w:t>
      </w:r>
    </w:p>
    <w:p>
      <w:pPr>
        <w:pStyle w:val="MatBody"/>
        <w:spacing w:before="0" w:after="80"/>
        <w:ind w:hanging="0" w:start="360" w:end="0"/>
        <w:rPr>
          <w:i w:val="false"/>
        </w:rPr>
      </w:pPr>
      <w:r>
        <w:rPr>
          <w:i w:val="false"/>
        </w:rPr>
        <w:t>Дополнительно: какие требования ИБ и какие классы/уровни уязвимостей будут блокировать приёмку нашей части работ, и где проходит граница между исправлением нашего ЗПО и проблемами существующей инфраструктуры, СЗИ и шлюза?</w:t>
      </w:r>
    </w:p>
    <w:p>
      <w:pPr>
        <w:pStyle w:val="MatBody"/>
        <w:keepNext w:val="false"/>
        <w:keepLines/>
        <w:pageBreakBefore w:val="false"/>
        <w:spacing w:lineRule="auto" w:line="240" w:before="0" w:after="24"/>
        <w:ind w:hanging="0" w:start="144" w:end="0"/>
        <w:jc w:val="start"/>
        <w:rPr/>
      </w:pPr>
      <w:r>
        <w:rPr>
          <w:rFonts w:eastAsia="Arial" w:cs="Arial"/>
          <w:b/>
          <w:i w:val="false"/>
          <w:color w:val="647687"/>
          <w:sz w:val="17"/>
          <w:lang w:val="ru-RU"/>
        </w:rPr>
        <w:t xml:space="preserve">ТЗ: </w:t>
      </w:r>
      <w:hyperlink w:anchor="Q_TZ_4_4">
        <w:r>
          <w:rPr>
            <w:rStyle w:val="Style"/>
            <w:rFonts w:eastAsia="Arial" w:cs="Arial"/>
            <w:i w:val="false"/>
            <w:color w:val="2A6F8F"/>
            <w:sz w:val="18"/>
            <w:szCs w:val="18"/>
            <w:u w:val="single"/>
            <w:lang w:val="ru-RU"/>
          </w:rPr>
          <w:t>п. 4.4</w:t>
        </w:r>
      </w:hyperlink>
      <w:r>
        <w:rPr>
          <w:rFonts w:eastAsia="Arial" w:cs="Arial"/>
          <w:b w:val="false"/>
          <w:i w:val="false"/>
          <w:color w:val="647687"/>
          <w:sz w:val="17"/>
          <w:lang w:val="ru-RU"/>
        </w:rPr>
        <w:t xml:space="preserve">; </w:t>
      </w:r>
      <w:hyperlink w:anchor="Q_TZ_4_4_1">
        <w:r>
          <w:rPr>
            <w:rStyle w:val="Style"/>
            <w:rFonts w:eastAsia="Arial" w:cs="Arial"/>
            <w:i w:val="false"/>
            <w:color w:val="2A6F8F"/>
            <w:sz w:val="18"/>
            <w:szCs w:val="18"/>
            <w:u w:val="single"/>
            <w:lang w:val="ru-RU"/>
          </w:rPr>
          <w:t>п. 4.4.1</w:t>
        </w:r>
      </w:hyperlink>
      <w:r>
        <w:rPr>
          <w:rFonts w:eastAsia="Arial" w:cs="Arial"/>
          <w:b w:val="false"/>
          <w:i w:val="false"/>
          <w:color w:val="647687"/>
          <w:sz w:val="17"/>
          <w:lang w:val="ru-RU"/>
        </w:rPr>
        <w:t>.</w:t>
      </w:r>
    </w:p>
    <w:p>
      <w:pPr>
        <w:pStyle w:val="MatBody"/>
        <w:spacing w:before="160" w:after="80"/>
        <w:ind w:hanging="0" w:start="0" w:end="0"/>
        <w:rPr/>
      </w:pPr>
      <w:r>
        <w:rPr>
          <w:b/>
        </w:rPr>
        <w:t>6) Зафиксируйте порядок изменения объёма работ после оценки.</w:t>
      </w:r>
    </w:p>
    <w:p>
      <w:pPr>
        <w:pStyle w:val="MatBody"/>
        <w:spacing w:before="0" w:after="80"/>
        <w:ind w:hanging="0" w:start="360" w:end="0"/>
        <w:rPr/>
      </w:pPr>
      <w:r>
        <w:rPr>
          <w:i w:val="false"/>
        </w:rPr>
        <w:t>Как трактуется требование п. 2.1.1 о выполнении требований ТЗ «но не ограничиваясь ими при необходимости»: если при техническом проектировании, согласовании с заказчиком либо из-за изменения нормативной базы появляются дополнительные требования, оформляются ли они как изменение объёма с отдельной переоценкой сроков и трудозатрат? Аналогично — как учитывается переработка алгоритмов при изменении актуальных редакций приказа № 732 или Положения № 1097 между оценкой, проектированием и испытаниями?</w:t>
      </w:r>
    </w:p>
    <w:p>
      <w:pPr>
        <w:pStyle w:val="MatBody"/>
        <w:keepNext w:val="false"/>
        <w:keepLines/>
        <w:pageBreakBefore w:val="false"/>
        <w:spacing w:lineRule="auto" w:line="240" w:before="0" w:after="24"/>
        <w:ind w:hanging="0" w:start="144" w:end="0"/>
        <w:jc w:val="start"/>
        <w:rPr/>
      </w:pPr>
      <w:r>
        <w:rPr>
          <w:rFonts w:eastAsia="Arial" w:cs="Arial"/>
          <w:b/>
          <w:i w:val="false"/>
          <w:color w:val="647687"/>
          <w:sz w:val="17"/>
          <w:lang w:val="ru-RU"/>
        </w:rPr>
        <w:t xml:space="preserve">ТЗ: </w:t>
      </w:r>
      <w:hyperlink w:anchor="Q_TZ_2_1_1">
        <w:r>
          <w:rPr>
            <w:rStyle w:val="Style"/>
            <w:rFonts w:eastAsia="Arial" w:cs="Arial"/>
            <w:i w:val="false"/>
            <w:color w:val="2A6F8F"/>
            <w:sz w:val="18"/>
            <w:szCs w:val="18"/>
            <w:u w:val="single"/>
            <w:lang w:val="ru-RU"/>
          </w:rPr>
          <w:t>п. 2.1.1</w:t>
        </w:r>
      </w:hyperlink>
      <w:r>
        <w:rPr>
          <w:rFonts w:eastAsia="Arial" w:cs="Arial"/>
          <w:b w:val="false"/>
          <w:i w:val="false"/>
          <w:color w:val="647687"/>
          <w:sz w:val="17"/>
          <w:lang w:val="ru-RU"/>
        </w:rPr>
        <w:t xml:space="preserve">; </w:t>
      </w:r>
      <w:hyperlink w:anchor="Q_TZ_732_CURRENT">
        <w:r>
          <w:rPr>
            <w:rStyle w:val="Style"/>
            <w:rFonts w:eastAsia="Arial" w:cs="Arial"/>
            <w:i w:val="false"/>
            <w:color w:val="2A6F8F"/>
            <w:sz w:val="18"/>
            <w:szCs w:val="18"/>
            <w:u w:val="single"/>
            <w:lang w:val="ru-RU"/>
          </w:rPr>
          <w:t>Прил. 2 — актуальная редакция приказа № 732</w:t>
        </w:r>
      </w:hyperlink>
      <w:r>
        <w:rPr>
          <w:rFonts w:eastAsia="Arial" w:cs="Arial"/>
          <w:b w:val="false"/>
          <w:i w:val="false"/>
          <w:color w:val="647687"/>
          <w:sz w:val="17"/>
          <w:lang w:val="ru-RU"/>
        </w:rPr>
        <w:t xml:space="preserve">; </w:t>
      </w:r>
      <w:hyperlink w:anchor="Q_TZ_1097_CURRENT">
        <w:r>
          <w:rPr>
            <w:rStyle w:val="Style"/>
            <w:rFonts w:eastAsia="Arial" w:cs="Arial"/>
            <w:i w:val="false"/>
            <w:color w:val="2A6F8F"/>
            <w:sz w:val="18"/>
            <w:szCs w:val="18"/>
            <w:u w:val="single"/>
            <w:lang w:val="ru-RU"/>
          </w:rPr>
          <w:t>Прил. 2, разд. 4 — актуальная редакция Положения № 1097</w:t>
        </w:r>
      </w:hyperlink>
      <w:r>
        <w:rPr>
          <w:rFonts w:eastAsia="Arial" w:cs="Arial"/>
          <w:b w:val="false"/>
          <w:i w:val="false"/>
          <w:color w:val="647687"/>
          <w:sz w:val="17"/>
          <w:lang w:val="ru-RU"/>
        </w:rPr>
        <w:t>.</w:t>
      </w:r>
    </w:p>
    <w:p>
      <w:pPr>
        <w:pStyle w:val="MatBody"/>
        <w:spacing w:before="160" w:after="80"/>
        <w:ind w:hanging="0" w:start="0" w:end="0"/>
        <w:rPr/>
      </w:pPr>
      <w:r>
        <w:rPr>
          <w:b/>
        </w:rPr>
        <w:t>7) Подтвердите матрицу ответственности и границы наших задач.</w:t>
      </w:r>
    </w:p>
    <w:p>
      <w:pPr>
        <w:pStyle w:val="MatBody"/>
        <w:spacing w:before="0" w:after="80"/>
        <w:ind w:hanging="0" w:start="360" w:end="0"/>
        <w:rPr/>
      </w:pPr>
      <w:r>
        <w:rPr>
          <w:i w:val="false"/>
        </w:rPr>
        <w:t>Просим подтвердить приложенную ниже матрицу распределения работ между Modus BI / Сбербанк / ИВИС / Генподрядчиком. Подтверждение должно означать, что в оценку Modus BI не требуется включать работы, отнесённые в матрице к другим участникам.</w:t>
      </w:r>
    </w:p>
    <w:p>
      <w:pPr>
        <w:pStyle w:val="MatBody"/>
        <w:spacing w:before="0" w:after="80"/>
        <w:ind w:hanging="0" w:start="360" w:end="0"/>
        <w:rPr/>
      </w:pPr>
      <w:r>
        <w:rPr>
          <w:i w:val="false"/>
        </w:rPr>
        <w:t>Позиции со статусом «Неопределено» требуют отдельного решения заказчика: по ним необходимо назначить исполнителя до окончательной оценки.</w:t>
      </w:r>
    </w:p>
    <w:p>
      <w:pPr>
        <w:pStyle w:val="MatBody"/>
        <w:spacing w:before="160" w:after="80"/>
        <w:ind w:hanging="0" w:start="0" w:end="0"/>
        <w:rPr>
          <w:i/>
        </w:rPr>
        <w:sectPr>
          <w:type w:val="nextPage"/>
          <w:pgSz w:w="11906" w:h="16838"/>
          <w:pgMar w:left="1134" w:right="1134" w:gutter="0" w:header="0" w:top="1134" w:footer="0" w:bottom="1134"/>
          <w:pgNumType w:fmt="decimal"/>
          <w:formProt w:val="false"/>
          <w:textDirection w:val="lrTb"/>
          <w:docGrid w:type="default" w:linePitch="100" w:charSpace="0"/>
        </w:sectPr>
      </w:pPr>
      <w:r>
        <w:rPr>
          <w:i/>
        </w:rPr>
        <w:t>Ответы на вопросы 1–6 определяют состав и границы работ, а вопрос 7 фиксирует их распределение между участниками. Матрица ответственности приведена ниже.</w:t>
      </w:r>
    </w:p>
    <w:p>
      <w:pPr>
        <w:pStyle w:val="MatTitle"/>
        <w:keepNext w:val="false"/>
        <w:keepLines/>
        <w:spacing w:lineRule="auto" w:line="228" w:before="0" w:after="95"/>
        <w:ind w:hanging="0" w:start="0" w:end="0"/>
        <w:jc w:val="start"/>
        <w:rPr/>
      </w:pPr>
      <w:bookmarkStart w:id="0" w:name="Matrix_Start"/>
      <w:bookmarkStart w:id="1" w:name="Матрица_ответственности"/>
      <w:r>
        <w:rPr>
          <w:rFonts w:eastAsia="Arial" w:cs="Arial"/>
          <w:b/>
          <w:color w:val="18384E"/>
          <w:sz w:val="40"/>
          <w:szCs w:val="40"/>
          <w:lang w:val="ru-RU"/>
        </w:rPr>
        <w:t>Матрица ответственности</w:t>
      </w:r>
      <w:bookmarkEnd w:id="0"/>
      <w:bookmarkEnd w:id="1"/>
    </w:p>
    <w:p>
      <w:pPr>
        <w:pStyle w:val="MatBody"/>
        <w:keepNext w:val="false"/>
        <w:keepLines/>
        <w:spacing w:lineRule="auto" w:line="228" w:before="0" w:after="115"/>
        <w:ind w:hanging="0" w:start="0" w:end="0"/>
        <w:jc w:val="start"/>
        <w:rPr>
          <w:color w:val="000000"/>
        </w:rPr>
      </w:pPr>
      <w:r>
        <w:rPr>
          <w:rFonts w:eastAsia="Arial" w:cs="Arial"/>
          <w:color w:val="000000"/>
          <w:sz w:val="23"/>
          <w:szCs w:val="23"/>
          <w:lang w:val="ru-RU"/>
        </w:rPr>
        <w:t>РСХН «Цифровой надзор»  ·  Редакция от 07.10.2026</w:t>
      </w:r>
    </w:p>
    <w:p>
      <w:pPr>
        <w:pStyle w:val="MatBody"/>
        <w:keepNext w:val="false"/>
        <w:keepLines/>
        <w:spacing w:lineRule="auto" w:line="228" w:before="0" w:after="100"/>
        <w:ind w:hanging="0" w:start="0" w:end="0"/>
        <w:jc w:val="start"/>
        <w:rPr/>
      </w:pPr>
      <w:r>
        <w:rPr>
          <w:rFonts w:eastAsia="Arial" w:cs="Arial"/>
          <w:color w:val="647687"/>
          <w:sz w:val="18"/>
          <w:szCs w:val="18"/>
          <w:lang w:val="ru-RU"/>
        </w:rPr>
        <w:t>«—» - отдельная работа не выделена. «Неопределено» — назначение исполнителя или решение ещё требуется. Ссылки ведут к требованиям из оригинального ТЗ; «Прил. 2» в ссылках означает приложение внутри исходного ТЗ.</w:t>
      </w:r>
      <w:r>
        <w:rPr/>
        <w:br/>
      </w:r>
      <w:r>
        <w:rPr>
          <w:b/>
          <w:color w:val="2F7D4A"/>
          <w:sz w:val="18"/>
        </w:rPr>
        <w:t xml:space="preserve">Зелёным выделен основной ответственный за этап; </w:t>
      </w:r>
      <w:r>
        <w:rPr>
          <w:b/>
          <w:color w:val="B36B00"/>
          <w:sz w:val="18"/>
        </w:rPr>
        <w:t>оранжевым — этап, где основной исполнитель пока не назначен.</w:t>
      </w:r>
    </w:p>
    <w:tbl>
      <w:tblPr>
        <w:tblW w:w="15340" w:type="dxa"/>
        <w:jc w:val="center"/>
        <w:tblInd w:w="0" w:type="dxa"/>
        <w:tblLayout w:type="fixed"/>
        <w:tblCellMar>
          <w:top w:w="80" w:type="dxa"/>
          <w:start w:w="110" w:type="dxa"/>
          <w:bottom w:w="80" w:type="dxa"/>
          <w:end w:w="110" w:type="dxa"/>
        </w:tblCellMar>
      </w:tblPr>
      <w:tblGrid>
        <w:gridCol w:w="2589"/>
        <w:gridCol w:w="2979"/>
        <w:gridCol w:w="2511"/>
        <w:gridCol w:w="1700"/>
        <w:gridCol w:w="2770"/>
        <w:gridCol w:w="2791"/>
      </w:tblGrid>
      <w:tr>
        <w:trPr>
          <w:tblHeader w:val="true"/>
          <w:cantSplit/>
        </w:trPr>
        <w:tc>
          <w:tcPr>
            <w:tcW w:w="2589"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Next w:val="false"/>
              <w:keepLines/>
              <w:spacing w:lineRule="auto" w:line="228" w:before="0" w:after="0"/>
              <w:ind w:hanging="0" w:start="0" w:end="0"/>
              <w:jc w:val="start"/>
              <w:rPr/>
            </w:pPr>
            <w:r>
              <w:rPr>
                <w:rFonts w:eastAsia="Arial" w:cs="Arial"/>
                <w:b/>
                <w:color w:val="FFFFFF"/>
                <w:sz w:val="20"/>
                <w:szCs w:val="20"/>
                <w:lang w:val="ru-RU"/>
              </w:rPr>
              <w:t>Блок ТЗ</w:t>
            </w:r>
          </w:p>
        </w:tc>
        <w:tc>
          <w:tcPr>
            <w:tcW w:w="2979"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Next w:val="false"/>
              <w:keepLines/>
              <w:spacing w:lineRule="auto" w:line="228" w:before="0" w:after="0"/>
              <w:ind w:hanging="0" w:start="0" w:end="0"/>
              <w:jc w:val="start"/>
              <w:rPr/>
            </w:pPr>
            <w:r>
              <w:rPr>
                <w:rFonts w:eastAsia="Arial" w:cs="Arial"/>
                <w:b/>
                <w:color w:val="FFFFFF"/>
                <w:sz w:val="20"/>
                <w:szCs w:val="20"/>
                <w:lang w:val="ru-RU"/>
              </w:rPr>
              <w:t>Команда Modus BI</w:t>
            </w:r>
          </w:p>
        </w:tc>
        <w:tc>
          <w:tcPr>
            <w:tcW w:w="2511"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Next w:val="false"/>
              <w:keepLines/>
              <w:spacing w:lineRule="auto" w:line="228" w:before="0" w:after="0"/>
              <w:ind w:hanging="0" w:start="0" w:end="0"/>
              <w:jc w:val="start"/>
              <w:rPr/>
            </w:pPr>
            <w:r>
              <w:rPr>
                <w:rFonts w:eastAsia="Arial" w:cs="Arial"/>
                <w:b/>
                <w:color w:val="FFFFFF"/>
                <w:sz w:val="20"/>
                <w:szCs w:val="20"/>
                <w:lang w:val="ru-RU"/>
              </w:rPr>
              <w:t>Команда Сбербанк</w:t>
            </w:r>
          </w:p>
        </w:tc>
        <w:tc>
          <w:tcPr>
            <w:tcW w:w="1700"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Next w:val="false"/>
              <w:keepLines/>
              <w:spacing w:lineRule="auto" w:line="228" w:before="0" w:after="0"/>
              <w:ind w:hanging="0" w:start="0" w:end="0"/>
              <w:jc w:val="start"/>
              <w:rPr/>
            </w:pPr>
            <w:r>
              <w:rPr>
                <w:rFonts w:eastAsia="Arial" w:cs="Arial"/>
                <w:b/>
                <w:color w:val="FFFFFF"/>
                <w:sz w:val="20"/>
                <w:szCs w:val="20"/>
                <w:lang w:val="ru-RU"/>
              </w:rPr>
              <w:t>ИВИС</w:t>
            </w:r>
          </w:p>
        </w:tc>
        <w:tc>
          <w:tcPr>
            <w:tcW w:w="2770"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Next w:val="false"/>
              <w:keepLines/>
              <w:spacing w:lineRule="auto" w:line="228" w:before="0" w:after="0"/>
              <w:ind w:hanging="0" w:start="0" w:end="0"/>
              <w:jc w:val="start"/>
              <w:rPr/>
            </w:pPr>
            <w:r>
              <w:rPr>
                <w:rFonts w:eastAsia="Arial" w:cs="Arial"/>
                <w:b/>
                <w:color w:val="FFFFFF"/>
                <w:sz w:val="20"/>
                <w:szCs w:val="20"/>
                <w:lang w:val="ru-RU"/>
              </w:rPr>
              <w:t>Генподрядчик</w:t>
            </w:r>
          </w:p>
        </w:tc>
        <w:tc>
          <w:tcPr>
            <w:tcW w:w="2791"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Next w:val="false"/>
              <w:keepLines/>
              <w:spacing w:lineRule="auto" w:line="228" w:before="0" w:after="0"/>
              <w:ind w:hanging="0" w:start="0" w:end="0"/>
              <w:jc w:val="start"/>
              <w:rPr/>
            </w:pPr>
            <w:r>
              <w:rPr>
                <w:rFonts w:eastAsia="Arial" w:cs="Arial"/>
                <w:b/>
                <w:color w:val="FFFFFF"/>
                <w:sz w:val="20"/>
                <w:szCs w:val="20"/>
                <w:lang w:val="ru-RU"/>
              </w:rPr>
              <w:t>Неопределено</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 Управление проектом и исполнение ТЗ</w:t>
            </w:r>
          </w:p>
          <w:p>
            <w:pPr>
              <w:pStyle w:val="MatBody"/>
              <w:keepNext w:val="false"/>
              <w:keepLines/>
              <w:spacing w:lineRule="auto" w:line="228" w:before="0" w:after="20"/>
              <w:ind w:hanging="0" w:start="0" w:end="0"/>
              <w:jc w:val="start"/>
              <w:rPr/>
            </w:pPr>
            <w:hyperlink w:anchor="TZ_B0058">
              <w:r>
                <w:rPr>
                  <w:rStyle w:val="Style"/>
                  <w:rFonts w:eastAsia="Arial" w:cs="Arial"/>
                  <w:color w:val="176B91"/>
                  <w:sz w:val="18"/>
                  <w:szCs w:val="18"/>
                  <w:u w:val="single"/>
                  <w:lang w:val="ru-RU"/>
                </w:rPr>
                <w:t>ТЗ, пп. 1.4,</w:t>
              </w:r>
            </w:hyperlink>
            <w:hyperlink w:anchor="2.1">
              <w:r>
                <w:rPr>
                  <w:rStyle w:val="Hyperlink"/>
                  <w:rFonts w:eastAsia="Arial" w:cs="Arial"/>
                  <w:color w:val="176B91"/>
                  <w:sz w:val="18"/>
                  <w:szCs w:val="18"/>
                  <w:u w:val="single"/>
                  <w:lang w:val="ru-RU"/>
                </w:rPr>
                <w:t xml:space="preserve"> 2.1</w:t>
              </w:r>
            </w:hyperlink>
          </w:p>
          <w:p>
            <w:pPr>
              <w:pStyle w:val="MatBody"/>
              <w:keepNext w:val="false"/>
              <w:keepLines/>
              <w:spacing w:lineRule="auto" w:line="228" w:before="0" w:after="20"/>
              <w:ind w:hanging="0" w:start="0" w:end="0"/>
              <w:jc w:val="start"/>
              <w:rPr/>
            </w:pPr>
            <w:hyperlink w:anchor="TZ_B0082">
              <w:r>
                <w:rPr>
                  <w:rStyle w:val="Style"/>
                  <w:rFonts w:eastAsia="Arial" w:cs="Arial"/>
                  <w:color w:val="176B91"/>
                  <w:sz w:val="18"/>
                  <w:szCs w:val="18"/>
                  <w:u w:val="single"/>
                  <w:lang w:val="ru-RU"/>
                </w:rPr>
                <w:t>Общие обязательства</w:t>
              </w:r>
            </w:hyperlink>
          </w:p>
          <w:p>
            <w:pPr>
              <w:pStyle w:val="MatBody"/>
              <w:keepNext w:val="false"/>
              <w:keepLines/>
              <w:spacing w:lineRule="auto" w:line="228" w:before="0" w:after="20"/>
              <w:ind w:hanging="0" w:start="0" w:end="0"/>
              <w:jc w:val="start"/>
              <w:rPr/>
            </w:pPr>
            <w:hyperlink w:anchor="TZ_B0142">
              <w:r>
                <w:rPr>
                  <w:rStyle w:val="Style"/>
                  <w:rFonts w:eastAsia="Arial" w:cs="Arial"/>
                  <w:color w:val="176B91"/>
                  <w:sz w:val="18"/>
                  <w:szCs w:val="18"/>
                  <w:u w:val="single"/>
                  <w:lang w:val="ru-RU"/>
                </w:rPr>
                <w:t>Сдача результатов</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Выполнить согласованный объём работ; обозначить сроки и зависимости своей части.</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Реализовать согласованный объём моделей и сервисов; обеспечить готовность к совместной работе.</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Подтвердить доступность шлюза и интерфейсов обмена.</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Сквозной результат перед заказчиком; проектный офис, общий план, распределение работ, изменения объёма и сдача. Лицензионная чистота и конфиденциальность.</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Организация-генподрядчик; оформление ответственности участников и изменений сроков/стоимости.</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2. Обследование, ЧТЗ и проектирование</w:t>
            </w:r>
          </w:p>
          <w:p>
            <w:pPr>
              <w:pStyle w:val="MatBody"/>
              <w:keepNext w:val="false"/>
              <w:keepLines/>
              <w:spacing w:lineRule="auto" w:line="228" w:before="0" w:after="20"/>
              <w:ind w:hanging="0" w:start="0" w:end="0"/>
              <w:jc w:val="start"/>
              <w:rPr/>
            </w:pPr>
            <w:hyperlink w:anchor="TZ_B0101">
              <w:r>
                <w:rPr>
                  <w:rStyle w:val="Style"/>
                  <w:rFonts w:eastAsia="Arial" w:cs="Arial"/>
                  <w:color w:val="176B91"/>
                  <w:sz w:val="17"/>
                  <w:szCs w:val="17"/>
                  <w:u w:val="single"/>
                  <w:lang w:val="ru-RU"/>
                </w:rPr>
                <w:t>ТЗ, пп. 2.2–2.4</w:t>
              </w:r>
            </w:hyperlink>
          </w:p>
          <w:p>
            <w:pPr>
              <w:pStyle w:val="MatBody"/>
              <w:keepNext w:val="false"/>
              <w:keepLines/>
              <w:spacing w:lineRule="auto" w:line="228" w:before="0" w:after="20"/>
              <w:ind w:hanging="0" w:start="0" w:end="0"/>
              <w:jc w:val="start"/>
              <w:rPr/>
            </w:pPr>
            <w:hyperlink w:anchor="TZ_B0235">
              <w:r>
                <w:rPr>
                  <w:rStyle w:val="Style"/>
                  <w:rFonts w:eastAsia="Arial" w:cs="Arial"/>
                  <w:color w:val="176B91"/>
                  <w:sz w:val="17"/>
                  <w:szCs w:val="17"/>
                  <w:u w:val="single"/>
                  <w:lang w:val="ru-RU"/>
                </w:rPr>
                <w:t>Архитектура: прил. 2, разд. 1</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Описать процессы, данные, интерфейсы, права и интеграции своего контура, включая изменения существующих АРМ, при необходимости.</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Описать алгоритмы, данные и архитектуру ИИ, доказательной базы и НДС.</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Описать интерфейс шлюза, виды сведений и ограничения обмена.</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Организовать единые ЧТЗ и технический проект, согласование архитектуры и границ компонентов; назначить владельцев общих работ.</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Технический владелец архитектуры; совмещение с параллельными изменениями АС; необходимость переноса данных и процессов.</w:t>
            </w:r>
          </w:p>
        </w:tc>
      </w:tr>
      <w:tr>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3. Модернизация 10 ИИ-моделей</w:t>
            </w:r>
          </w:p>
          <w:p>
            <w:pPr>
              <w:pStyle w:val="MatBody"/>
              <w:keepNext w:val="false"/>
              <w:keepLines/>
              <w:spacing w:lineRule="auto" w:line="228" w:before="0" w:after="20"/>
              <w:ind w:hanging="0" w:start="0" w:end="0"/>
              <w:jc w:val="start"/>
              <w:rPr/>
            </w:pPr>
            <w:hyperlink w:anchor="TZ_B0270">
              <w:r>
                <w:rPr>
                  <w:rStyle w:val="Style"/>
                  <w:rFonts w:eastAsia="Arial" w:cs="Arial"/>
                  <w:color w:val="176B91"/>
                  <w:sz w:val="17"/>
                  <w:szCs w:val="17"/>
                  <w:u w:val="single"/>
                  <w:lang w:val="ru-RU"/>
                </w:rPr>
                <w:t>Прил. 2, п. 2.2.1</w:t>
              </w:r>
            </w:hyperlink>
          </w:p>
          <w:p>
            <w:pPr>
              <w:pStyle w:val="MatBody"/>
              <w:keepNext w:val="false"/>
              <w:keepLines/>
              <w:spacing w:lineRule="auto" w:line="228" w:before="0" w:after="20"/>
              <w:ind w:hanging="0" w:start="0" w:end="0"/>
              <w:jc w:val="start"/>
              <w:rPr/>
            </w:pPr>
            <w:hyperlink w:anchor="TZ_B0284">
              <w:r>
                <w:rPr>
                  <w:rStyle w:val="Style"/>
                  <w:rFonts w:eastAsia="Arial" w:cs="Arial"/>
                  <w:color w:val="176B91"/>
                  <w:sz w:val="17"/>
                  <w:szCs w:val="17"/>
                  <w:u w:val="single"/>
                  <w:lang w:val="ru-RU"/>
                </w:rPr>
                <w:t>Перечень и количество</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Принимать и отображать результаты, идентификаторы, пояснения, статусы и ошибки; связывать с карточками и решениями.</w:t>
            </w:r>
          </w:p>
        </w:tc>
        <w:tc>
          <w:tcPr>
            <w:tcW w:w="2511"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Модернизировать 10 согласованных моделей; использовать разметку, расширить атрибуты, сохранять служебные данные и расчёты.</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перечень моделей, критерии результата и доступ к разметке.</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 xml:space="preserve">Окончательный перечень, форматы результатов и сроки готовности. </w:t>
            </w:r>
            <w:hyperlink w:anchor="Matrix_p.12">
              <w:r>
                <w:rPr>
                  <w:rStyle w:val="Hyperlink"/>
                  <w:rFonts w:eastAsia="Arial" w:cs="Arial"/>
                  <w:color w:val="263445"/>
                  <w:sz w:val="20"/>
                  <w:szCs w:val="20"/>
                  <w:lang w:val="ru-RU"/>
                </w:rPr>
                <w:t>ETL распределяется отдельно</w:t>
              </w:r>
            </w:hyperlink>
            <w:r>
              <w:rPr>
                <w:rFonts w:eastAsia="Arial" w:cs="Arial"/>
                <w:color w:val="263445"/>
                <w:sz w:val="20"/>
                <w:szCs w:val="20"/>
                <w:lang w:val="ru-RU"/>
              </w:rPr>
              <w:t>.</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4. Факты, расчёт и пересчёт ЦИ</w:t>
            </w:r>
          </w:p>
          <w:p>
            <w:pPr>
              <w:pStyle w:val="MatBody"/>
              <w:keepNext w:val="false"/>
              <w:keepLines/>
              <w:spacing w:lineRule="auto" w:line="228" w:before="0" w:after="20"/>
              <w:ind w:hanging="0" w:start="0" w:end="0"/>
              <w:jc w:val="start"/>
              <w:rPr/>
            </w:pPr>
            <w:hyperlink w:anchor="TZ_B0249">
              <w:r>
                <w:rPr>
                  <w:rStyle w:val="Style"/>
                  <w:rFonts w:eastAsia="Arial" w:cs="Arial"/>
                  <w:color w:val="176B91"/>
                  <w:sz w:val="17"/>
                  <w:szCs w:val="17"/>
                  <w:u w:val="single"/>
                  <w:lang w:val="ru-RU"/>
                </w:rPr>
                <w:t>Прил. 2, п. 2.1</w:t>
              </w:r>
            </w:hyperlink>
          </w:p>
          <w:p>
            <w:pPr>
              <w:pStyle w:val="MatBody"/>
              <w:keepNext w:val="false"/>
              <w:keepLines/>
              <w:spacing w:lineRule="auto" w:line="228" w:before="0" w:after="20"/>
              <w:ind w:hanging="0" w:start="0" w:end="0"/>
              <w:jc w:val="start"/>
              <w:rPr/>
            </w:pPr>
            <w:hyperlink w:anchor="TZ_B0294">
              <w:r>
                <w:rPr>
                  <w:rStyle w:val="Style"/>
                  <w:rFonts w:eastAsia="Arial" w:cs="Arial"/>
                  <w:color w:val="176B91"/>
                  <w:sz w:val="17"/>
                  <w:szCs w:val="17"/>
                  <w:u w:val="single"/>
                  <w:lang w:val="ru-RU"/>
                </w:rPr>
                <w:t>Расчёт: п. 2.2.2</w:t>
              </w:r>
            </w:hyperlink>
          </w:p>
          <w:p>
            <w:pPr>
              <w:pStyle w:val="MatBody"/>
              <w:keepNext w:val="false"/>
              <w:keepLines/>
              <w:spacing w:lineRule="auto" w:line="228" w:before="0" w:after="20"/>
              <w:ind w:hanging="0" w:start="0" w:end="0"/>
              <w:jc w:val="start"/>
              <w:rPr/>
            </w:pPr>
            <w:hyperlink w:anchor="TZ_B0301">
              <w:r>
                <w:rPr>
                  <w:rStyle w:val="Style"/>
                  <w:rFonts w:eastAsia="Arial" w:cs="Arial"/>
                  <w:color w:val="176B91"/>
                  <w:sz w:val="17"/>
                  <w:szCs w:val="17"/>
                  <w:u w:val="single"/>
                  <w:lang w:val="ru-RU"/>
                </w:rPr>
                <w:t>Качество расчётов</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Ручной ввод/подтверждение фактов, статусы, вызов пересчёта и приём результата. Собственный расчёт ЦИ не закреплён.</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Передавать результаты ИИ-моделей и данные для учёта фактов.</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Назначить исполнителя расчёта; согласовать алгоритмы, пороги и периодичность. Обеспечить качество не ниже исходного на выборке ≥1000 записей.</w:t>
            </w:r>
          </w:p>
        </w:tc>
        <w:tc>
          <w:tcPr>
            <w:tcW w:w="2791" w:type="dxa"/>
            <w:tcBorders>
              <w:top w:val="single" w:sz="4" w:space="0" w:color="D5DEE6"/>
              <w:start w:val="single" w:sz="4" w:space="0" w:color="D5DEE6"/>
              <w:bottom w:val="single" w:sz="4" w:space="0" w:color="D5DEE6"/>
              <w:end w:val="single" w:sz="4" w:space="0" w:color="D5DEE6"/>
            </w:tcBorders>
            <w:shd w:color="auto" w:fill="F9E3B4" w:val="clear"/>
          </w:tcPr>
          <w:p>
            <w:pPr>
              <w:pStyle w:val="MatBody"/>
              <w:keepNext w:val="false"/>
              <w:keepLines/>
              <w:spacing w:lineRule="auto" w:line="228" w:before="0" w:after="0"/>
              <w:ind w:hanging="0" w:start="0" w:end="0"/>
              <w:jc w:val="start"/>
              <w:rPr/>
            </w:pPr>
            <w:r>
              <w:rPr>
                <w:rFonts w:eastAsia="Arial" w:cs="Arial"/>
                <w:color w:val="7A4A00"/>
                <w:sz w:val="20"/>
                <w:szCs w:val="20"/>
                <w:lang w:val="ru-RU"/>
              </w:rPr>
              <w:t>Выявление фактов самими ЦИ, агрегация, расчёт срабатывания и пересчёт; правила повторного использования фактов.</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5. АРМ и карточки срабатываний</w:t>
            </w:r>
          </w:p>
          <w:p>
            <w:pPr>
              <w:pStyle w:val="MatBody"/>
              <w:keepNext w:val="false"/>
              <w:keepLines/>
              <w:spacing w:lineRule="auto" w:line="228" w:before="0" w:after="20"/>
              <w:ind w:hanging="0" w:start="0" w:end="0"/>
              <w:jc w:val="start"/>
              <w:rPr/>
            </w:pPr>
            <w:hyperlink w:anchor="TZ_B0331">
              <w:r>
                <w:rPr>
                  <w:rStyle w:val="Style"/>
                  <w:rFonts w:eastAsia="Arial" w:cs="Arial"/>
                  <w:color w:val="176B91"/>
                  <w:sz w:val="17"/>
                  <w:szCs w:val="17"/>
                  <w:u w:val="single"/>
                  <w:lang w:val="ru-RU"/>
                </w:rPr>
                <w:t>Прил. 2, п. 2.3.1</w:t>
              </w:r>
            </w:hyperlink>
          </w:p>
          <w:p>
            <w:pPr>
              <w:pStyle w:val="MatBody"/>
              <w:keepNext w:val="false"/>
              <w:keepLines/>
              <w:spacing w:lineRule="auto" w:line="228" w:before="0" w:after="20"/>
              <w:ind w:hanging="0" w:start="0" w:end="0"/>
              <w:jc w:val="start"/>
              <w:rPr/>
            </w:pPr>
            <w:hyperlink w:anchor="TZ_B0345">
              <w:r>
                <w:rPr>
                  <w:rStyle w:val="Style"/>
                  <w:rFonts w:eastAsia="Arial" w:cs="Arial"/>
                  <w:color w:val="176B91"/>
                  <w:sz w:val="17"/>
                  <w:szCs w:val="17"/>
                  <w:u w:val="single"/>
                  <w:lang w:val="ru-RU"/>
                </w:rPr>
                <w:t>Интерфейсы ЦИ: п. 2.3.2</w:t>
              </w:r>
            </w:hyperlink>
          </w:p>
        </w:tc>
        <w:tc>
          <w:tcPr>
            <w:tcW w:w="2979"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Доработать АРМ Эксперта/Инспектора: одиночная и групповая обработка, списки, карточки, нормативные основания, решения, история. Вызовы сервисов; предупреждения и запреты отправки/пересчёта по ТЗ.</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Возвращать результаты, ошибки и расхождения для отображения и блокировок.</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Возвращать статусы внешних обменов.</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сценарии, роли, макеты и статусы; обеспечить целостный пользовательский процесс.</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Точный состав изменений форм и модель статусов, включая «автоматически удалённую» карточку.</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6. Общие технические и нормативные справочники</w:t>
            </w:r>
          </w:p>
          <w:p>
            <w:pPr>
              <w:pStyle w:val="MatBody"/>
              <w:keepNext w:val="false"/>
              <w:keepLines/>
              <w:spacing w:lineRule="auto" w:line="228" w:before="0" w:after="20"/>
              <w:ind w:hanging="0" w:start="0" w:end="0"/>
              <w:jc w:val="start"/>
              <w:rPr/>
            </w:pPr>
            <w:hyperlink w:anchor="TZ_B0323">
              <w:r>
                <w:rPr>
                  <w:rStyle w:val="Style"/>
                  <w:rFonts w:eastAsia="Arial" w:cs="Arial"/>
                  <w:color w:val="176B91"/>
                  <w:sz w:val="17"/>
                  <w:szCs w:val="17"/>
                  <w:u w:val="single"/>
                  <w:lang w:val="ru-RU"/>
                </w:rPr>
                <w:t>Прил. 2, п. 2.2.3</w:t>
              </w:r>
            </w:hyperlink>
          </w:p>
          <w:p>
            <w:pPr>
              <w:pStyle w:val="MatBody"/>
              <w:keepNext w:val="false"/>
              <w:keepLines/>
              <w:spacing w:lineRule="auto" w:line="228" w:before="0" w:after="20"/>
              <w:ind w:hanging="0" w:start="0" w:end="0"/>
              <w:jc w:val="start"/>
              <w:rPr/>
            </w:pPr>
            <w:hyperlink w:anchor="TZ_B0337">
              <w:r>
                <w:rPr>
                  <w:rStyle w:val="Style"/>
                  <w:rFonts w:eastAsia="Arial" w:cs="Arial"/>
                  <w:color w:val="176B91"/>
                  <w:sz w:val="17"/>
                  <w:szCs w:val="17"/>
                  <w:u w:val="single"/>
                  <w:lang w:val="ru-RU"/>
                </w:rPr>
                <w:t>Документы в решении инспектора</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Использовать справочники в формах. Дать ручной ввод отсутствующего документа при принятии решения, как требует ТЗ.</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Использовать согласованные значения в моделях и сервисах.</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Предоставить требования видов сведений к кодам.</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состав, владельцев и правила наполнения/актуализации справочников.</w:t>
            </w:r>
          </w:p>
        </w:tc>
        <w:tc>
          <w:tcPr>
            <w:tcW w:w="2791" w:type="dxa"/>
            <w:tcBorders>
              <w:top w:val="single" w:sz="4" w:space="0" w:color="D5DEE6"/>
              <w:start w:val="single" w:sz="4" w:space="0" w:color="D5DEE6"/>
              <w:bottom w:val="single" w:sz="4" w:space="0" w:color="D5DEE6"/>
              <w:end w:val="single" w:sz="4" w:space="0" w:color="D5DEE6"/>
            </w:tcBorders>
            <w:shd w:color="auto" w:fill="F9E3B4" w:val="clear"/>
          </w:tcPr>
          <w:p>
            <w:pPr>
              <w:pStyle w:val="MatBody"/>
              <w:keepNext w:val="false"/>
              <w:keepLines/>
              <w:spacing w:lineRule="auto" w:line="228" w:before="0" w:after="0"/>
              <w:ind w:hanging="0" w:start="0" w:end="0"/>
              <w:jc w:val="start"/>
              <w:rPr/>
            </w:pPr>
            <w:r>
              <w:rPr>
                <w:rFonts w:eastAsia="Arial" w:cs="Arial"/>
                <w:color w:val="7A4A00"/>
                <w:sz w:val="20"/>
                <w:szCs w:val="20"/>
                <w:lang w:val="ru-RU"/>
              </w:rPr>
              <w:t>Исполнитель общих справочников, наполнения и сопоставления кодов. Справочники категорирования и НДС — в строках 8 и 10.</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7. Сервис доказательной базы</w:t>
            </w:r>
          </w:p>
          <w:p>
            <w:pPr>
              <w:pStyle w:val="MatBody"/>
              <w:keepNext w:val="false"/>
              <w:keepLines/>
              <w:spacing w:lineRule="auto" w:line="228" w:before="0" w:after="20"/>
              <w:ind w:hanging="0" w:start="0" w:end="0"/>
              <w:jc w:val="start"/>
              <w:rPr/>
            </w:pPr>
            <w:hyperlink w:anchor="TZ_B0359">
              <w:r>
                <w:rPr>
                  <w:rStyle w:val="Style"/>
                  <w:rFonts w:eastAsia="Arial" w:cs="Arial"/>
                  <w:color w:val="176B91"/>
                  <w:sz w:val="17"/>
                  <w:szCs w:val="17"/>
                  <w:u w:val="single"/>
                  <w:lang w:val="ru-RU"/>
                </w:rPr>
                <w:t>Прил. 2, разд. 3</w:t>
              </w:r>
            </w:hyperlink>
          </w:p>
          <w:p>
            <w:pPr>
              <w:pStyle w:val="MatBody"/>
              <w:keepNext w:val="false"/>
              <w:keepLines/>
              <w:spacing w:lineRule="auto" w:line="228" w:before="0" w:after="20"/>
              <w:ind w:hanging="0" w:start="0" w:end="0"/>
              <w:jc w:val="start"/>
              <w:rPr/>
            </w:pPr>
            <w:hyperlink w:anchor="TZ_B0366">
              <w:r>
                <w:rPr>
                  <w:rStyle w:val="Style"/>
                  <w:rFonts w:eastAsia="Arial" w:cs="Arial"/>
                  <w:color w:val="176B91"/>
                  <w:sz w:val="17"/>
                  <w:szCs w:val="17"/>
                  <w:u w:val="single"/>
                  <w:lang w:val="ru-RU"/>
                </w:rPr>
                <w:t>PDF и подпись</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Вызывать сервис, передавать идентификаторы; принимать и отображать материалы и расхождения, связывать с карточкой и решением.</w:t>
            </w:r>
          </w:p>
        </w:tc>
        <w:tc>
          <w:tcPr>
            <w:tcW w:w="2511"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Сбор, проверка актуальности и обогащение доказательств; PDF и JSON/XML. Подключить сервис подписи заказчика; дать включать/отключать обязательное подписание PDF.</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Передать материалы, если они входят в СМЭВ-сообщение.</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состав доказательств и доступ к источникам; организовать предоставление заказчиком сервиса подписи PDF.</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Хранение файлов или ссылок, права и сроки хранения; необходимость ручного прикрепления материалов.</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8. Категорирование риска</w:t>
            </w:r>
          </w:p>
          <w:p>
            <w:pPr>
              <w:pStyle w:val="MatBody"/>
              <w:keepNext w:val="false"/>
              <w:keepLines/>
              <w:spacing w:lineRule="auto" w:line="228" w:before="0" w:after="20"/>
              <w:ind w:hanging="0" w:start="0" w:end="0"/>
              <w:jc w:val="start"/>
              <w:rPr/>
            </w:pPr>
            <w:hyperlink w:anchor="TZ_B0371">
              <w:r>
                <w:rPr>
                  <w:rStyle w:val="Style"/>
                  <w:rFonts w:eastAsia="Arial" w:cs="Arial"/>
                  <w:color w:val="176B91"/>
                  <w:sz w:val="17"/>
                  <w:szCs w:val="17"/>
                  <w:u w:val="single"/>
                  <w:lang w:val="ru-RU"/>
                </w:rPr>
                <w:t>Прил. 2, разд. 4</w:t>
              </w:r>
            </w:hyperlink>
          </w:p>
          <w:p>
            <w:pPr>
              <w:pStyle w:val="MatBody"/>
              <w:keepNext w:val="false"/>
              <w:keepLines/>
              <w:spacing w:lineRule="auto" w:line="228" w:before="0" w:after="20"/>
              <w:ind w:hanging="0" w:start="0" w:end="0"/>
              <w:jc w:val="start"/>
              <w:rPr/>
            </w:pPr>
            <w:hyperlink w:anchor="TZ_B0386">
              <w:r>
                <w:rPr>
                  <w:rStyle w:val="Style"/>
                  <w:rFonts w:eastAsia="Arial" w:cs="Arial"/>
                  <w:color w:val="176B91"/>
                  <w:sz w:val="17"/>
                  <w:szCs w:val="17"/>
                  <w:u w:val="single"/>
                  <w:lang w:val="ru-RU"/>
                </w:rPr>
                <w:t>Ручные факторы и формы</w:t>
              </w:r>
            </w:hyperlink>
          </w:p>
          <w:p>
            <w:pPr>
              <w:pStyle w:val="MatBody"/>
              <w:keepNext w:val="false"/>
              <w:keepLines/>
              <w:spacing w:lineRule="auto" w:line="228" w:before="0" w:after="20"/>
              <w:ind w:hanging="0" w:start="0" w:end="0"/>
              <w:jc w:val="start"/>
              <w:rPr/>
            </w:pPr>
            <w:hyperlink w:anchor="TZ_B0388">
              <w:r>
                <w:rPr>
                  <w:rStyle w:val="Style"/>
                  <w:rFonts w:eastAsia="Arial" w:cs="Arial"/>
                  <w:color w:val="176B91"/>
                  <w:sz w:val="17"/>
                  <w:szCs w:val="17"/>
                  <w:u w:val="single"/>
                  <w:lang w:val="ru-RU"/>
                </w:rPr>
                <w:t>Результаты и обоснования</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Базово: подготовка данных, отображение категории/факторов, статусы и связь с объектом. Расчёт баллов и полный UI — только по отдельному решению.</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Предоставлять имеющиеся данные своих сервисов. Полный сервис категорирования не закреплён.</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Обмен через шлюз в выбранном сценарии.</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архитектуру и покрытие всего раздела 4; назначить исполнителя расчёта и полного пользовательского процесса.</w:t>
            </w:r>
          </w:p>
        </w:tc>
        <w:tc>
          <w:tcPr>
            <w:tcW w:w="2791" w:type="dxa"/>
            <w:tcBorders>
              <w:top w:val="single" w:sz="4" w:space="0" w:color="D5DEE6"/>
              <w:start w:val="single" w:sz="4" w:space="0" w:color="D5DEE6"/>
              <w:bottom w:val="single" w:sz="4" w:space="0" w:color="D5DEE6"/>
              <w:end w:val="single" w:sz="4" w:space="0" w:color="D5DEE6"/>
            </w:tcBorders>
            <w:shd w:color="auto" w:fill="F9E3B4" w:val="clear"/>
          </w:tcPr>
          <w:p>
            <w:pPr>
              <w:pStyle w:val="MatBody"/>
              <w:keepNext w:val="false"/>
              <w:keepLines/>
              <w:spacing w:lineRule="auto" w:line="228" w:before="0" w:after="0"/>
              <w:ind w:hanging="0" w:start="0" w:end="0"/>
              <w:jc w:val="start"/>
              <w:rPr/>
            </w:pPr>
            <w:r>
              <w:rPr>
                <w:rFonts w:eastAsia="Arial" w:cs="Arial"/>
                <w:color w:val="7A4A00"/>
                <w:sz w:val="20"/>
                <w:szCs w:val="20"/>
                <w:lang w:val="ru-RU"/>
              </w:rPr>
              <w:t>Первичный/повторный расчёт, баллы, справочники, неполные факторы, ручное подтверждение и хранение обоснований. ФГИС ПГС — базовый вариант документов 06/10, требующий подтверждения.</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9. Локальный реестр объектов и синхронизация ЕРВК</w:t>
            </w:r>
          </w:p>
          <w:p>
            <w:pPr>
              <w:pStyle w:val="MatBody"/>
              <w:keepNext w:val="false"/>
              <w:keepLines/>
              <w:spacing w:lineRule="auto" w:line="228" w:before="0" w:after="20"/>
              <w:ind w:hanging="0" w:start="0" w:end="0"/>
              <w:jc w:val="start"/>
              <w:rPr/>
            </w:pPr>
            <w:hyperlink w:anchor="TZ_B0375">
              <w:r>
                <w:rPr>
                  <w:rStyle w:val="Style"/>
                  <w:rFonts w:eastAsia="Arial" w:cs="Arial"/>
                  <w:color w:val="176B91"/>
                  <w:sz w:val="17"/>
                  <w:szCs w:val="17"/>
                  <w:u w:val="single"/>
                  <w:lang w:val="ru-RU"/>
                </w:rPr>
                <w:t>Прил. 2, разд. 4: реестр</w:t>
              </w:r>
            </w:hyperlink>
          </w:p>
          <w:p>
            <w:pPr>
              <w:pStyle w:val="MatBody"/>
              <w:keepNext w:val="false"/>
              <w:keepLines/>
              <w:spacing w:lineRule="auto" w:line="228" w:before="0" w:after="20"/>
              <w:ind w:hanging="0" w:start="0" w:end="0"/>
              <w:jc w:val="start"/>
              <w:rPr/>
            </w:pPr>
            <w:hyperlink w:anchor="TZ_B0433">
              <w:r>
                <w:rPr>
                  <w:rStyle w:val="Style"/>
                  <w:rFonts w:eastAsia="Arial" w:cs="Arial"/>
                  <w:color w:val="176B91"/>
                  <w:sz w:val="17"/>
                  <w:szCs w:val="17"/>
                  <w:u w:val="single"/>
                  <w:lang w:val="ru-RU"/>
                </w:rPr>
                <w:t>Разд. 7: наполнение и обмен</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Просмотр для согласованных ролей уровня Администратор/Аналитик, связи с карточками и интеграционная часть АС. Хранение полного реестра — после назначения владельца.</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Использовать согласованные сведения об объектах при необходимости.</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Обеспечить обмен с ЕРВК через существующий шлюз.</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Назначить владельца реестра и синхронизации; согласовать вид сведений, данные и доступы с заказчиком.</w:t>
            </w:r>
          </w:p>
        </w:tc>
        <w:tc>
          <w:tcPr>
            <w:tcW w:w="2791" w:type="dxa"/>
            <w:tcBorders>
              <w:top w:val="single" w:sz="4" w:space="0" w:color="D5DEE6"/>
              <w:start w:val="single" w:sz="4" w:space="0" w:color="D5DEE6"/>
              <w:bottom w:val="single" w:sz="4" w:space="0" w:color="D5DEE6"/>
              <w:end w:val="single" w:sz="4" w:space="0" w:color="D5DEE6"/>
            </w:tcBorders>
            <w:shd w:color="auto" w:fill="F9E3B4" w:val="clear"/>
          </w:tcPr>
          <w:p>
            <w:pPr>
              <w:pStyle w:val="MatBody"/>
              <w:keepNext w:val="false"/>
              <w:keepLines/>
              <w:spacing w:lineRule="auto" w:line="228" w:before="0" w:after="0"/>
              <w:ind w:hanging="0" w:start="0" w:end="0"/>
              <w:jc w:val="start"/>
              <w:rPr/>
            </w:pPr>
            <w:r>
              <w:rPr>
                <w:rFonts w:eastAsia="Arial" w:cs="Arial"/>
                <w:color w:val="7A4A00"/>
                <w:sz w:val="20"/>
                <w:szCs w:val="20"/>
                <w:lang w:val="ru-RU"/>
              </w:rPr>
              <w:t>Первичное наполнение, автоматическая синхронизация и контроль свежести ≤1 дня перед расчётом — обязательны, исполнитель не назначен. ADD/EDIT/DELETE в ЕРВК прямо не требуются.</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10. НДС и объёмы продукции</w:t>
            </w:r>
          </w:p>
          <w:p>
            <w:pPr>
              <w:pStyle w:val="MatBody"/>
              <w:keepNext w:val="false"/>
              <w:keepLines/>
              <w:spacing w:lineRule="auto" w:line="228" w:before="0" w:after="20"/>
              <w:ind w:hanging="0" w:start="0" w:end="0"/>
              <w:jc w:val="start"/>
              <w:rPr/>
            </w:pPr>
            <w:hyperlink w:anchor="TZ_B0390">
              <w:r>
                <w:rPr>
                  <w:rStyle w:val="Style"/>
                  <w:rFonts w:eastAsia="Arial" w:cs="Arial"/>
                  <w:color w:val="176B91"/>
                  <w:sz w:val="17"/>
                  <w:szCs w:val="17"/>
                  <w:u w:val="single"/>
                  <w:lang w:val="ru-RU"/>
                </w:rPr>
                <w:t>Прил. 2, разд. 5</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Получать и отображать результаты, связывать с объектом и решением; обрабатывать статусы и ошибки.</w:t>
            </w:r>
          </w:p>
        </w:tc>
        <w:tc>
          <w:tcPr>
            <w:tcW w:w="2511"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НДС-сервис: справочники продукции/цен, сбор нарушений, расчёт и агрегация объёмов и ущерба, поиск, доступ внешних потребителей.</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Только при согласованном СМЭВ-сценарии.</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источники, потребителей, доступы и критерии приёмки.</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Место и исполнитель пользовательских форм справочников/поиска; сопровождение справочников; протокол, роли и время ответа внешним потребителям.</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11. Десять статистических и технических отчётов</w:t>
            </w:r>
          </w:p>
          <w:p>
            <w:pPr>
              <w:pStyle w:val="MatBody"/>
              <w:keepNext w:val="false"/>
              <w:keepLines/>
              <w:spacing w:lineRule="auto" w:line="228" w:before="0" w:after="20"/>
              <w:ind w:hanging="0" w:start="0" w:end="0"/>
              <w:jc w:val="start"/>
              <w:rPr/>
            </w:pPr>
            <w:hyperlink w:anchor="TZ_B0405">
              <w:r>
                <w:rPr>
                  <w:rStyle w:val="Style"/>
                  <w:rFonts w:eastAsia="Arial" w:cs="Arial"/>
                  <w:color w:val="176B91"/>
                  <w:sz w:val="17"/>
                  <w:szCs w:val="17"/>
                  <w:u w:val="single"/>
                  <w:lang w:val="ru-RU"/>
                </w:rPr>
                <w:t>Прил. 2, разд. 6</w:t>
              </w:r>
            </w:hyperlink>
          </w:p>
        </w:tc>
        <w:tc>
          <w:tcPr>
            <w:tcW w:w="2979"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Реализовать 10 согласованных отчётов в АС: ЦИ, работа инспекторов, КНМ, НДС и статистика вызовов сервисов.</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Предоставить результаты и события сервисов, в том числе данные НДС.</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Предоставить статусы и данные обменов.</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перечень, макеты и источники; обеспечить получение недостающих данных.</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Состав показателей и витрин; источники КНМ и принятых мер. Вынос части отчётов вне АС — отдельное распределение.</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bookmarkStart w:id="2" w:name="Matrix_p.12"/>
            <w:r>
              <w:rPr>
                <w:rFonts w:eastAsia="Arial" w:cs="Arial"/>
                <w:b/>
                <w:color w:val="18384E"/>
                <w:sz w:val="20"/>
                <w:szCs w:val="20"/>
                <w:lang w:val="ru-RU"/>
              </w:rPr>
              <w:t>12. ETL, хранилище и история</w:t>
            </w:r>
            <w:bookmarkEnd w:id="2"/>
          </w:p>
          <w:p>
            <w:pPr>
              <w:pStyle w:val="MatBody"/>
              <w:keepNext w:val="false"/>
              <w:keepLines/>
              <w:spacing w:lineRule="auto" w:line="228" w:before="0" w:after="20"/>
              <w:ind w:hanging="0" w:start="0" w:end="0"/>
              <w:jc w:val="start"/>
              <w:rPr/>
            </w:pPr>
            <w:hyperlink w:anchor="TZ_B0285">
              <w:r>
                <w:rPr>
                  <w:rStyle w:val="Style"/>
                  <w:rFonts w:eastAsia="Arial" w:cs="Arial"/>
                  <w:color w:val="176B91"/>
                  <w:sz w:val="17"/>
                  <w:szCs w:val="17"/>
                  <w:u w:val="single"/>
                  <w:lang w:val="ru-RU"/>
                </w:rPr>
                <w:t>Прил. 2, п. 2.2.1: данные</w:t>
              </w:r>
            </w:hyperlink>
          </w:p>
          <w:p>
            <w:pPr>
              <w:pStyle w:val="MatBody"/>
              <w:keepNext w:val="false"/>
              <w:keepLines/>
              <w:spacing w:lineRule="auto" w:line="228" w:before="0" w:after="20"/>
              <w:ind w:hanging="0" w:start="0" w:end="0"/>
              <w:jc w:val="start"/>
              <w:rPr/>
            </w:pPr>
            <w:hyperlink w:anchor="TZ_B0317">
              <w:r>
                <w:rPr>
                  <w:rStyle w:val="Style"/>
                  <w:rFonts w:eastAsia="Arial" w:cs="Arial"/>
                  <w:color w:val="176B91"/>
                  <w:sz w:val="17"/>
                  <w:szCs w:val="17"/>
                  <w:u w:val="single"/>
                  <w:lang w:val="ru-RU"/>
                </w:rPr>
                <w:t>П. 2.2.2: данные</w:t>
              </w:r>
            </w:hyperlink>
          </w:p>
          <w:p>
            <w:pPr>
              <w:pStyle w:val="MatBody"/>
              <w:keepNext w:val="false"/>
              <w:keepLines/>
              <w:spacing w:lineRule="auto" w:line="228" w:before="0" w:after="20"/>
              <w:ind w:hanging="0" w:start="0" w:end="0"/>
              <w:jc w:val="start"/>
              <w:rPr/>
            </w:pPr>
            <w:hyperlink w:anchor="TZ_B0356">
              <w:r>
                <w:rPr>
                  <w:rStyle w:val="Style"/>
                  <w:rFonts w:eastAsia="Arial" w:cs="Arial"/>
                  <w:color w:val="176B91"/>
                  <w:sz w:val="17"/>
                  <w:szCs w:val="17"/>
                  <w:u w:val="single"/>
                  <w:lang w:val="ru-RU"/>
                </w:rPr>
                <w:t>История действий</w:t>
              </w:r>
            </w:hyperlink>
          </w:p>
          <w:p>
            <w:pPr>
              <w:pStyle w:val="MatBody"/>
              <w:keepNext w:val="false"/>
              <w:keepLines/>
              <w:spacing w:lineRule="auto" w:line="228" w:before="0" w:after="20"/>
              <w:ind w:hanging="0" w:start="0" w:end="0"/>
              <w:jc w:val="start"/>
              <w:rPr/>
            </w:pPr>
            <w:hyperlink w:anchor="TZ_B0441">
              <w:r>
                <w:rPr>
                  <w:rStyle w:val="Style"/>
                  <w:rFonts w:eastAsia="Arial" w:cs="Arial"/>
                  <w:color w:val="176B91"/>
                  <w:sz w:val="17"/>
                  <w:szCs w:val="17"/>
                  <w:u w:val="single"/>
                  <w:lang w:val="ru-RU"/>
                </w:rPr>
                <w:t>Сохранение ответов</w:t>
              </w:r>
            </w:hyperlink>
          </w:p>
        </w:tc>
        <w:tc>
          <w:tcPr>
            <w:tcW w:w="2979" w:type="dxa"/>
            <w:tcBorders>
              <w:top w:val="single" w:sz="4" w:space="0" w:color="D5DEE6"/>
              <w:start w:val="single" w:sz="4" w:space="0" w:color="D5DEE6"/>
              <w:bottom w:val="single" w:sz="4" w:space="0" w:color="D5DEE6"/>
              <w:end w:val="single" w:sz="4" w:space="0" w:color="D5DEE6"/>
            </w:tcBorders>
            <w:shd w:fill="DFF1E4" w:val="clear"/>
          </w:tcPr>
          <w:p>
            <w:pPr>
              <w:pStyle w:val="MatBody"/>
              <w:keepNext w:val="false"/>
              <w:keepLines/>
              <w:spacing w:lineRule="auto" w:line="228" w:before="0" w:after="0"/>
              <w:ind w:hanging="0" w:start="0" w:end="0"/>
              <w:jc w:val="start"/>
              <w:rPr>
                <w:color w:val="263445"/>
              </w:rPr>
            </w:pPr>
            <w:r>
              <w:rPr>
                <w:rFonts w:eastAsia="Arial" w:cs="Arial"/>
                <w:color w:val="263445"/>
                <w:sz w:val="20"/>
                <w:szCs w:val="20"/>
                <w:lang w:val="ru-RU"/>
              </w:rPr>
              <w:t>Исполнител</w:t>
            </w:r>
            <w:r>
              <w:rPr>
                <w:rFonts w:eastAsia="Arial" w:cs="Arial"/>
                <w:color w:val="263445"/>
                <w:sz w:val="20"/>
                <w:szCs w:val="20"/>
                <w:lang w:val="ru-RU"/>
              </w:rPr>
              <w:t>ь</w:t>
            </w:r>
            <w:r>
              <w:rPr>
                <w:rFonts w:eastAsia="Arial" w:cs="Arial"/>
                <w:color w:val="263445"/>
                <w:sz w:val="20"/>
                <w:szCs w:val="20"/>
                <w:lang w:val="ru-RU"/>
              </w:rPr>
              <w:t xml:space="preserve"> ETL, витрин и новых связей. </w:t>
            </w:r>
            <w:r>
              <w:rPr>
                <w:rFonts w:eastAsia="Arial" w:cs="Arial"/>
                <w:color w:val="263445"/>
                <w:sz w:val="20"/>
                <w:szCs w:val="20"/>
                <w:lang w:val="ru-RU"/>
              </w:rPr>
              <w:t>Определ</w:t>
            </w:r>
            <w:r>
              <w:rPr>
                <w:rFonts w:eastAsia="Arial" w:cs="Arial"/>
                <w:color w:val="263445"/>
                <w:sz w:val="20"/>
                <w:szCs w:val="20"/>
                <w:lang w:val="ru-RU"/>
              </w:rPr>
              <w:t>яет</w:t>
            </w:r>
            <w:r>
              <w:rPr>
                <w:rFonts w:eastAsia="Arial" w:cs="Arial"/>
                <w:color w:val="263445"/>
                <w:sz w:val="20"/>
                <w:szCs w:val="20"/>
                <w:lang w:val="ru-RU"/>
              </w:rPr>
              <w:t xml:space="preserve"> потребности форм/отчётов в данных; хранить карточки, решения, статусы, историю и сведения по внутренним/внешним запросам своего контура.</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Обосновать дополнительные данные; хранить расчёты и результаты своих сервисов.</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Возвращать сведения, идентификаторы и статусы обменов.</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w:t>
            </w:r>
            <w:r>
              <w:rPr>
                <w:rFonts w:eastAsia="Arial" w:cs="Arial"/>
                <w:color w:val="263445"/>
                <w:sz w:val="20"/>
                <w:szCs w:val="20"/>
                <w:lang w:val="ru-RU"/>
              </w:rPr>
              <w:t xml:space="preserve">огласовать загрузки. Первичная загрузка дополнительных данных — заказчик </w:t>
            </w:r>
            <w:r>
              <w:rPr>
                <w:rFonts w:eastAsia="Arial" w:cs="Arial"/>
                <w:color w:val="263445"/>
                <w:sz w:val="20"/>
                <w:szCs w:val="20"/>
                <w:lang w:val="ru-RU"/>
              </w:rPr>
              <w:t>(</w:t>
            </w:r>
            <w:r>
              <w:rPr>
                <w:rFonts w:eastAsia="Arial" w:cs="Arial"/>
                <w:color w:val="263445"/>
                <w:sz w:val="20"/>
                <w:szCs w:val="20"/>
                <w:lang w:val="ru-RU"/>
              </w:rPr>
              <w:t>при технической возможности</w:t>
            </w:r>
            <w:r>
              <w:rPr>
                <w:rFonts w:eastAsia="Arial" w:cs="Arial"/>
                <w:color w:val="263445"/>
                <w:sz w:val="20"/>
                <w:szCs w:val="20"/>
                <w:lang w:val="ru-RU"/>
              </w:rPr>
              <w:t>)</w:t>
            </w:r>
            <w:r>
              <w:rPr>
                <w:rFonts w:eastAsia="Arial" w:cs="Arial"/>
                <w:color w:val="263445"/>
                <w:sz w:val="20"/>
                <w:szCs w:val="20"/>
                <w:lang w:val="ru-RU"/>
              </w:rPr>
              <w:t>; преобразования — Исполнитель.</w:t>
            </w:r>
          </w:p>
        </w:tc>
        <w:tc>
          <w:tcPr>
            <w:tcW w:w="2791" w:type="dxa"/>
            <w:tcBorders>
              <w:top w:val="single" w:sz="4" w:space="0" w:color="D5DEE6"/>
              <w:start w:val="single" w:sz="4" w:space="0" w:color="D5DEE6"/>
              <w:bottom w:val="single" w:sz="4" w:space="0" w:color="D5DEE6"/>
              <w:end w:val="single" w:sz="4" w:space="0" w:color="D5DEE6"/>
            </w:tcBorders>
            <w:shd w:color="auto" w:fill="F9E3B4" w:val="clear"/>
          </w:tcPr>
          <w:p>
            <w:pPr>
              <w:pStyle w:val="MatBody"/>
              <w:keepNext w:val="false"/>
              <w:keepLines/>
              <w:spacing w:lineRule="auto" w:line="228" w:before="0" w:after="0"/>
              <w:ind w:hanging="0" w:start="0" w:end="0"/>
              <w:jc w:val="start"/>
              <w:rPr/>
            </w:pPr>
            <w:r>
              <w:rPr>
                <w:rFonts w:eastAsia="Arial" w:cs="Arial"/>
                <w:color w:val="7A4A00"/>
                <w:sz w:val="20"/>
                <w:szCs w:val="20"/>
                <w:lang w:val="ru-RU"/>
              </w:rPr>
              <w:t>Р</w:t>
            </w:r>
            <w:r>
              <w:rPr>
                <w:rFonts w:eastAsia="Arial" w:cs="Arial"/>
                <w:color w:val="7A4A00"/>
                <w:sz w:val="20"/>
                <w:szCs w:val="20"/>
                <w:lang w:val="ru-RU"/>
              </w:rPr>
              <w:t>аспределение резервного копирования, сроки хранения, полный XML и файлы. Реестр ЕРВК — строка 9.</w:t>
            </w:r>
          </w:p>
        </w:tc>
      </w:tr>
      <w:tr>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13. Внутренние интеграции и СМЭВ 3</w:t>
            </w:r>
          </w:p>
          <w:p>
            <w:pPr>
              <w:pStyle w:val="MatBody"/>
              <w:keepNext w:val="false"/>
              <w:keepLines/>
              <w:spacing w:lineRule="auto" w:line="228" w:before="0" w:after="20"/>
              <w:ind w:hanging="0" w:start="0" w:end="0"/>
              <w:jc w:val="start"/>
              <w:rPr/>
            </w:pPr>
            <w:hyperlink w:anchor="TZ_B0421">
              <w:r>
                <w:rPr>
                  <w:rStyle w:val="Style"/>
                  <w:rFonts w:eastAsia="Arial" w:cs="Arial"/>
                  <w:color w:val="176B91"/>
                  <w:sz w:val="17"/>
                  <w:szCs w:val="17"/>
                  <w:u w:val="single"/>
                  <w:lang w:val="ru-RU"/>
                </w:rPr>
                <w:t>Прил. 2, разд. 7: передачи</w:t>
              </w:r>
            </w:hyperlink>
          </w:p>
          <w:p>
            <w:pPr>
              <w:pStyle w:val="MatBody"/>
              <w:keepNext w:val="false"/>
              <w:keepLines/>
              <w:spacing w:lineRule="auto" w:line="228" w:before="0" w:after="20"/>
              <w:ind w:hanging="0" w:start="0" w:end="0"/>
              <w:jc w:val="start"/>
              <w:rPr/>
            </w:pPr>
            <w:hyperlink w:anchor="TZ_B0422">
              <w:r>
                <w:rPr>
                  <w:rStyle w:val="Style"/>
                  <w:rFonts w:eastAsia="Arial" w:cs="Arial"/>
                  <w:color w:val="176B91"/>
                  <w:sz w:val="17"/>
                  <w:szCs w:val="17"/>
                  <w:u w:val="single"/>
                  <w:lang w:val="ru-RU"/>
                </w:rPr>
                <w:t>Категория и баллы</w:t>
              </w:r>
            </w:hyperlink>
          </w:p>
          <w:p>
            <w:pPr>
              <w:pStyle w:val="MatBody"/>
              <w:keepNext w:val="false"/>
              <w:keepLines/>
              <w:spacing w:lineRule="auto" w:line="228" w:before="0" w:after="20"/>
              <w:ind w:hanging="0" w:start="0" w:end="0"/>
              <w:jc w:val="start"/>
              <w:rPr/>
            </w:pPr>
            <w:hyperlink w:anchor="TZ_B0434">
              <w:r>
                <w:rPr>
                  <w:rStyle w:val="Style"/>
                  <w:rFonts w:eastAsia="Arial" w:cs="Arial"/>
                  <w:color w:val="176B91"/>
                  <w:sz w:val="17"/>
                  <w:szCs w:val="17"/>
                  <w:u w:val="single"/>
                  <w:lang w:val="ru-RU"/>
                </w:rPr>
                <w:t>Граница шлюза</w:t>
              </w:r>
            </w:hyperlink>
          </w:p>
          <w:p>
            <w:pPr>
              <w:pStyle w:val="MatBody"/>
              <w:keepNext w:val="false"/>
              <w:keepLines/>
              <w:spacing w:lineRule="auto" w:line="228" w:before="0" w:after="20"/>
              <w:ind w:hanging="0" w:start="0" w:end="0"/>
              <w:jc w:val="start"/>
              <w:rPr/>
            </w:pPr>
            <w:hyperlink w:anchor="TZ_B0435">
              <w:r>
                <w:rPr>
                  <w:rStyle w:val="Style"/>
                  <w:rFonts w:eastAsia="Arial" w:cs="Arial"/>
                  <w:color w:val="176B91"/>
                  <w:sz w:val="17"/>
                  <w:szCs w:val="17"/>
                  <w:u w:val="single"/>
                  <w:lang w:val="ru-RU"/>
                </w:rPr>
                <w:t>Внутренние вызовы и ответы</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Готовить данные по схемам, вызывать сервисы и шлюз; принимать и сохранять сведения по всем внутренним и внешним запросам, обрабатывать статусы/ошибки.</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Своя сторона интерфейсов ИИ, доказательств и НДС: форматы, результаты, ошибки и правила повторной обработки.</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Существующий транспорт СМЭВ и возврат результата. Новый защищённый канал не входит в ТЗ; PROD-доступ получает заказчик.</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виды сведений, контракты и сквозной обмен. Получить адреса шлюза и обеспечить предоставление заказчиком доступов.</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Кто формирует/валидирует XML, маппинг и прикладные повторы; точная граница АС–шлюз, внутренний протокол. Источник баллов категорирования — строка 8.</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14. Информационная безопасность</w:t>
            </w:r>
          </w:p>
          <w:p>
            <w:pPr>
              <w:pStyle w:val="MatBody"/>
              <w:keepNext w:val="false"/>
              <w:keepLines/>
              <w:spacing w:lineRule="auto" w:line="228" w:before="0" w:after="20"/>
              <w:ind w:hanging="0" w:start="0" w:end="0"/>
              <w:jc w:val="start"/>
              <w:rPr/>
            </w:pPr>
            <w:hyperlink w:anchor="TZ_B0200">
              <w:r>
                <w:rPr>
                  <w:rStyle w:val="Style"/>
                  <w:rFonts w:eastAsia="Arial" w:cs="Arial"/>
                  <w:color w:val="176B91"/>
                  <w:sz w:val="17"/>
                  <w:szCs w:val="17"/>
                  <w:u w:val="single"/>
                  <w:lang w:val="ru-RU"/>
                </w:rPr>
                <w:t>ТЗ, п. 4.4: меры</w:t>
              </w:r>
            </w:hyperlink>
          </w:p>
          <w:p>
            <w:pPr>
              <w:pStyle w:val="MatBody"/>
              <w:keepNext w:val="false"/>
              <w:keepLines/>
              <w:spacing w:lineRule="auto" w:line="228" w:before="0" w:after="20"/>
              <w:ind w:hanging="0" w:start="0" w:end="0"/>
              <w:jc w:val="start"/>
              <w:rPr/>
            </w:pPr>
            <w:hyperlink w:anchor="TZ_B0215">
              <w:r>
                <w:rPr>
                  <w:rStyle w:val="Style"/>
                  <w:rFonts w:eastAsia="Arial" w:cs="Arial"/>
                  <w:color w:val="176B91"/>
                  <w:sz w:val="17"/>
                  <w:szCs w:val="17"/>
                  <w:u w:val="single"/>
                  <w:lang w:val="ru-RU"/>
                </w:rPr>
                <w:t>П. 4.4.1: анализ и приёмка</w:t>
              </w:r>
            </w:hyperlink>
          </w:p>
          <w:p>
            <w:pPr>
              <w:pStyle w:val="MatBody"/>
              <w:keepNext w:val="false"/>
              <w:keepLines/>
              <w:spacing w:lineRule="auto" w:line="228" w:before="0" w:after="20"/>
              <w:ind w:hanging="0" w:start="0" w:end="0"/>
              <w:jc w:val="start"/>
              <w:rPr/>
            </w:pPr>
            <w:hyperlink w:anchor="TZ_B0235">
              <w:r>
                <w:rPr>
                  <w:rStyle w:val="Style"/>
                  <w:rFonts w:eastAsia="Arial" w:cs="Arial"/>
                  <w:color w:val="176B91"/>
                  <w:sz w:val="17"/>
                  <w:szCs w:val="17"/>
                  <w:u w:val="single"/>
                  <w:lang w:val="ru-RU"/>
                </w:rPr>
                <w:t>УПД/РСБ: прил. 2, разд. 1</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 своей части: права, события безопасности, защищённое взаимодействие; статический анализ, анализ компонентов/SBOM, ревью, управление конфигурацией/версиями; исправления и материалы отчёта.</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Те же меры по своему ЗПО и заимствованным компонентам; исправления или согласованные компенсации, материалы отчёта.</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Подтвердить параметры защиты существующего обмена и границу ответственности шлюза.</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Организовать анализ, согласовать меры/инструменты, свести отчёт об уязвимостях; обеспечить требования к удалённому доступу и согласовать противоречие приёмки.</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Исполнители общих проверок и механизмов защиты; окончательная граница приёмки¹. Аттестация и отдельные работы по СЗИ — вне этого ТЗ.</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15. Среды, ПО и производительность</w:t>
            </w:r>
          </w:p>
          <w:p>
            <w:pPr>
              <w:pStyle w:val="MatBody"/>
              <w:keepNext w:val="false"/>
              <w:keepLines/>
              <w:spacing w:lineRule="auto" w:line="228" w:before="0" w:after="20"/>
              <w:ind w:hanging="0" w:start="0" w:end="0"/>
              <w:jc w:val="start"/>
              <w:rPr/>
            </w:pPr>
            <w:hyperlink w:anchor="TZ_B0085">
              <w:r>
                <w:rPr>
                  <w:rStyle w:val="Style"/>
                  <w:rFonts w:eastAsia="Arial" w:cs="Arial"/>
                  <w:color w:val="176B91"/>
                  <w:sz w:val="17"/>
                  <w:szCs w:val="17"/>
                  <w:u w:val="single"/>
                  <w:lang w:val="ru-RU"/>
                </w:rPr>
                <w:t>ТЗ, п. 2.1.3</w:t>
              </w:r>
            </w:hyperlink>
          </w:p>
          <w:p>
            <w:pPr>
              <w:pStyle w:val="MatBody"/>
              <w:keepNext w:val="false"/>
              <w:keepLines/>
              <w:spacing w:lineRule="auto" w:line="228" w:before="0" w:after="20"/>
              <w:ind w:hanging="0" w:start="0" w:end="0"/>
              <w:jc w:val="start"/>
              <w:rPr/>
            </w:pPr>
            <w:hyperlink w:anchor="TZ_B0234">
              <w:r>
                <w:rPr>
                  <w:rStyle w:val="Style"/>
                  <w:rFonts w:eastAsia="Arial" w:cs="Arial"/>
                  <w:color w:val="176B91"/>
                  <w:sz w:val="17"/>
                  <w:szCs w:val="17"/>
                  <w:u w:val="single"/>
                  <w:lang w:val="ru-RU"/>
                </w:rPr>
                <w:t>Прил. 2, разд. 1: среда/ПО</w:t>
              </w:r>
            </w:hyperlink>
          </w:p>
          <w:p>
            <w:pPr>
              <w:pStyle w:val="MatBody"/>
              <w:keepNext w:val="false"/>
              <w:keepLines/>
              <w:spacing w:lineRule="auto" w:line="228" w:before="0" w:after="20"/>
              <w:ind w:hanging="0" w:start="0" w:end="0"/>
              <w:jc w:val="start"/>
              <w:rPr/>
            </w:pPr>
            <w:hyperlink w:anchor="TZ_B0245">
              <w:r>
                <w:rPr>
                  <w:rStyle w:val="Style"/>
                  <w:rFonts w:eastAsia="Arial" w:cs="Arial"/>
                  <w:color w:val="176B91"/>
                  <w:sz w:val="17"/>
                  <w:szCs w:val="17"/>
                  <w:u w:val="single"/>
                  <w:lang w:val="ru-RU"/>
                </w:rPr>
                <w:t>Нагрузка и лимиты</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Совместимость и развёртывание своей части; вклад в показатели всей модернизированной АС: ≥300 пользователей и отклик UI ≤30 с.</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Совместимость и показатели своих сервисов. Лимиты расчётов — по согласованному распределению и условиям ТЗ.</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Предоставить характеристики обмена.</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Распределить среды с заказчиком, организовать развёртывание и нагрузочные проверки. Контроль лимитов ТЗ: анализ — 12 ч, ЦИ — 4 ч, ETL — 24 ч с указанными условиями.</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Инфраструктура и её администрирование, лицензии, общая нагрузочная проверка; владельцы показателей существующих компонентов и уточнение формулировки про 12 часов.</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16. Пусконаладка и испытания</w:t>
            </w:r>
          </w:p>
          <w:p>
            <w:pPr>
              <w:pStyle w:val="MatBody"/>
              <w:keepNext w:val="false"/>
              <w:keepLines/>
              <w:spacing w:lineRule="auto" w:line="228" w:before="0" w:after="20"/>
              <w:ind w:hanging="0" w:start="0" w:end="0"/>
              <w:jc w:val="start"/>
              <w:rPr/>
            </w:pPr>
            <w:hyperlink w:anchor="TZ_B0107">
              <w:r>
                <w:rPr>
                  <w:rStyle w:val="Style"/>
                  <w:rFonts w:eastAsia="Arial" w:cs="Arial"/>
                  <w:color w:val="176B91"/>
                  <w:sz w:val="17"/>
                  <w:szCs w:val="17"/>
                  <w:u w:val="single"/>
                  <w:lang w:val="ru-RU"/>
                </w:rPr>
                <w:t>ТЗ, п. 2.5</w:t>
              </w:r>
            </w:hyperlink>
          </w:p>
          <w:p>
            <w:pPr>
              <w:pStyle w:val="MatBody"/>
              <w:keepNext w:val="false"/>
              <w:keepLines/>
              <w:spacing w:lineRule="auto" w:line="228" w:before="0" w:after="20"/>
              <w:ind w:hanging="0" w:start="0" w:end="0"/>
              <w:jc w:val="start"/>
              <w:rPr/>
            </w:pPr>
            <w:hyperlink w:anchor="TZ_B0246">
              <w:r>
                <w:rPr>
                  <w:rStyle w:val="Style"/>
                  <w:rFonts w:eastAsia="Arial" w:cs="Arial"/>
                  <w:color w:val="176B91"/>
                  <w:sz w:val="17"/>
                  <w:szCs w:val="17"/>
                  <w:u w:val="single"/>
                  <w:lang w:val="ru-RU"/>
                </w:rPr>
                <w:t>Нагрузочные испытания</w:t>
              </w:r>
            </w:hyperlink>
          </w:p>
          <w:p>
            <w:pPr>
              <w:pStyle w:val="MatBody"/>
              <w:keepNext w:val="false"/>
              <w:keepLines/>
              <w:spacing w:lineRule="auto" w:line="228" w:before="0" w:after="20"/>
              <w:ind w:hanging="0" w:start="0" w:end="0"/>
              <w:jc w:val="start"/>
              <w:rPr/>
            </w:pPr>
            <w:hyperlink w:anchor="TZ_B0230">
              <w:r>
                <w:rPr>
                  <w:rStyle w:val="Style"/>
                  <w:rFonts w:eastAsia="Arial" w:cs="Arial"/>
                  <w:color w:val="176B91"/>
                  <w:sz w:val="17"/>
                  <w:szCs w:val="17"/>
                  <w:u w:val="single"/>
                  <w:lang w:val="ru-RU"/>
                </w:rPr>
                <w:t>Календарный план, этап 4</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Проверить свою функциональность и интеграции, участвовать в сквозных сценариях, устранять дефекты своей части.</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Проверить модели/сервисы, предоставить тестовые данные и ожидаемые результаты; исправлять дефекты.</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Обеспечить проверку обменов, ответов и ошибок.</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Программы/методики и акты; пусконаладка → предварительные → опытная эксплуатация → приёмочные. Нагрузка — на обоих этапах испытаний.</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Команда общесистемного тестирования, владельцы тестовых наборов, готовность внешних стендов и сроки исправлений.</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17. Документация, исходный код и сдача</w:t>
            </w:r>
          </w:p>
          <w:p>
            <w:pPr>
              <w:pStyle w:val="MatBody"/>
              <w:keepNext w:val="false"/>
              <w:keepLines/>
              <w:spacing w:lineRule="auto" w:line="228" w:before="0" w:after="20"/>
              <w:ind w:hanging="0" w:start="0" w:end="0"/>
              <w:jc w:val="start"/>
              <w:rPr/>
            </w:pPr>
            <w:hyperlink w:anchor="TZ_B0094">
              <w:r>
                <w:rPr>
                  <w:rStyle w:val="Style"/>
                  <w:rFonts w:eastAsia="Arial" w:cs="Arial"/>
                  <w:color w:val="176B91"/>
                  <w:sz w:val="17"/>
                  <w:szCs w:val="17"/>
                  <w:u w:val="single"/>
                  <w:lang w:val="ru-RU"/>
                </w:rPr>
                <w:t>ТЗ, п. 2.1.12</w:t>
              </w:r>
            </w:hyperlink>
          </w:p>
          <w:p>
            <w:pPr>
              <w:pStyle w:val="MatBody"/>
              <w:keepNext w:val="false"/>
              <w:keepLines/>
              <w:spacing w:lineRule="auto" w:line="228" w:before="0" w:after="20"/>
              <w:ind w:hanging="0" w:start="0" w:end="0"/>
              <w:jc w:val="start"/>
              <w:rPr/>
            </w:pPr>
            <w:hyperlink w:anchor="TZ_B0143">
              <w:r>
                <w:rPr>
                  <w:rStyle w:val="Style"/>
                  <w:rFonts w:eastAsia="Arial" w:cs="Arial"/>
                  <w:color w:val="176B91"/>
                  <w:sz w:val="17"/>
                  <w:szCs w:val="17"/>
                  <w:u w:val="single"/>
                  <w:lang w:val="ru-RU"/>
                </w:rPr>
                <w:t>Разд. 3.1–3.2</w:t>
              </w:r>
            </w:hyperlink>
          </w:p>
          <w:p>
            <w:pPr>
              <w:pStyle w:val="MatBody"/>
              <w:keepNext w:val="false"/>
              <w:keepLines/>
              <w:spacing w:lineRule="auto" w:line="228" w:before="0" w:after="20"/>
              <w:ind w:hanging="0" w:start="0" w:end="0"/>
              <w:jc w:val="start"/>
              <w:rPr/>
            </w:pPr>
            <w:hyperlink w:anchor="TZ_B0228">
              <w:r>
                <w:rPr>
                  <w:rStyle w:val="Style"/>
                  <w:rFonts w:eastAsia="Arial" w:cs="Arial"/>
                  <w:color w:val="176B91"/>
                  <w:sz w:val="17"/>
                  <w:szCs w:val="17"/>
                  <w:u w:val="single"/>
                  <w:lang w:val="ru-RU"/>
                </w:rPr>
                <w:t>Календарный план</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Документация и исходный код своих доработок; сведения для установки, эксплуатации, восстановления и проверки безопасности.</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Документация и код своих сервисов, описания расчётов и интеграций.</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Описание интерфейса шлюза, настроек и ошибок.</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Свести и передать полный комплект ЧТЗ, техпроекта, рабочей/эксплуатационной документации, кода и актов. Отдельно — отчёт об анализе уязвимостей (этап 4).</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Авторы и согласующие общесистемных документов; границы обновления документации действующей АС. Отчёт об уязвимостях не входит в 10 отчётов строки 11.</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18. Гарантии и устранение замечаний</w:t>
            </w:r>
          </w:p>
          <w:p>
            <w:pPr>
              <w:pStyle w:val="MatBody"/>
              <w:keepNext w:val="false"/>
              <w:keepLines/>
              <w:spacing w:lineRule="auto" w:line="228" w:before="0" w:after="20"/>
              <w:ind w:hanging="0" w:start="0" w:end="0"/>
              <w:jc w:val="start"/>
              <w:rPr/>
            </w:pPr>
            <w:hyperlink w:anchor="TZ_B0193">
              <w:r>
                <w:rPr>
                  <w:rStyle w:val="Style"/>
                  <w:rFonts w:eastAsia="Arial" w:cs="Arial"/>
                  <w:color w:val="176B91"/>
                  <w:sz w:val="17"/>
                  <w:szCs w:val="17"/>
                  <w:u w:val="single"/>
                  <w:lang w:val="ru-RU"/>
                </w:rPr>
                <w:t>ТЗ, п. 4.2</w:t>
              </w:r>
            </w:hyperlink>
          </w:p>
          <w:p>
            <w:pPr>
              <w:pStyle w:val="MatBody"/>
              <w:keepNext w:val="false"/>
              <w:keepLines/>
              <w:spacing w:lineRule="auto" w:line="228" w:before="0" w:after="20"/>
              <w:ind w:hanging="0" w:start="0" w:end="0"/>
              <w:jc w:val="start"/>
              <w:rPr/>
            </w:pPr>
            <w:hyperlink w:anchor="TZ_B0147">
              <w:r>
                <w:rPr>
                  <w:rStyle w:val="Style"/>
                  <w:rFonts w:eastAsia="Arial" w:cs="Arial"/>
                  <w:color w:val="176B91"/>
                  <w:sz w:val="17"/>
                  <w:szCs w:val="17"/>
                  <w:u w:val="single"/>
                  <w:lang w:val="ru-RU"/>
                </w:rPr>
                <w:t>Замечания: п. 3.1.4</w:t>
              </w:r>
            </w:hyperlink>
          </w:p>
          <w:p>
            <w:pPr>
              <w:pStyle w:val="MatBody"/>
              <w:keepNext w:val="false"/>
              <w:keepLines/>
              <w:spacing w:lineRule="auto" w:line="228" w:before="0" w:after="20"/>
              <w:ind w:hanging="0" w:start="0" w:end="0"/>
              <w:jc w:val="start"/>
              <w:rPr/>
            </w:pPr>
            <w:hyperlink w:anchor="TZ_B0219">
              <w:r>
                <w:rPr>
                  <w:rStyle w:val="Style"/>
                  <w:rFonts w:eastAsia="Arial" w:cs="Arial"/>
                  <w:color w:val="176B91"/>
                  <w:sz w:val="17"/>
                  <w:szCs w:val="17"/>
                  <w:u w:val="single"/>
                  <w:lang w:val="ru-RU"/>
                </w:rPr>
                <w:t>Уязвимости в гарантийный срок</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Устранять дефекты своей части и уязвимости ЗПО, созданного/изменённого в рамках контракта; актуализировать документацию.</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То же по своим моделям и сервисам.</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Разбирать проблемы своей части обмена в согласованном порядке.</w:t>
            </w:r>
          </w:p>
        </w:tc>
        <w:tc>
          <w:tcPr>
            <w:tcW w:w="2770" w:type="dxa"/>
            <w:tcBorders>
              <w:top w:val="single" w:sz="4" w:space="0" w:color="D5DEE6"/>
              <w:start w:val="single" w:sz="4" w:space="0" w:color="D5DEE6"/>
              <w:bottom w:val="single" w:sz="4" w:space="0" w:color="D5DEE6"/>
              <w:end w:val="single" w:sz="4" w:space="0" w:color="D5DEE6"/>
            </w:tcBorders>
            <w:shd w:color="auto" w:fill="DFF1E4"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Единый приём замечаний, назначение исполнителей, контроль устранения и соблюдения гарантийных обязательств.</w:t>
            </w:r>
          </w:p>
        </w:tc>
        <w:tc>
          <w:tcPr>
            <w:tcW w:w="2791" w:type="dxa"/>
            <w:tcBorders>
              <w:top w:val="single" w:sz="4" w:space="0" w:color="D5DEE6"/>
              <w:start w:val="single" w:sz="4" w:space="0" w:color="D5DEE6"/>
              <w:bottom w:val="single" w:sz="4" w:space="0" w:color="D5DEE6"/>
              <w:end w:val="single" w:sz="4" w:space="0" w:color="D5DEE6"/>
            </w:tcBorders>
            <w:shd w:color="auto" w:fill="FFF7E8"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Порядок сопровождения смежных компонентов, сроки реакции/исправления и распределение затрат.</w:t>
            </w:r>
          </w:p>
        </w:tc>
      </w:tr>
    </w:tbl>
    <w:p>
      <w:pPr>
        <w:pStyle w:val="MatBody"/>
        <w:keepNext w:val="true"/>
        <w:keepLines/>
        <w:spacing w:lineRule="auto" w:line="228" w:before="150" w:after="60"/>
        <w:ind w:hanging="0" w:start="0" w:end="0"/>
        <w:jc w:val="start"/>
        <w:rPr>
          <w:rFonts w:eastAsia="Arial" w:cs="Arial"/>
          <w:b/>
          <w:color w:val="18384E"/>
          <w:sz w:val="21"/>
          <w:szCs w:val="21"/>
          <w:lang w:val="ru-RU"/>
        </w:rPr>
      </w:pPr>
      <w:r>
        <w:rPr>
          <w:rFonts w:eastAsia="Arial" w:cs="Arial"/>
          <w:b/>
          <w:color w:val="18384E"/>
          <w:sz w:val="21"/>
          <w:szCs w:val="21"/>
          <w:lang w:val="ru-RU"/>
        </w:rPr>
      </w:r>
    </w:p>
    <w:p>
      <w:pPr>
        <w:pStyle w:val="MatBody"/>
        <w:keepNext w:val="false"/>
        <w:keepLines/>
        <w:spacing w:lineRule="auto" w:line="228" w:before="0" w:after="70"/>
        <w:ind w:hanging="0" w:start="0" w:end="0"/>
        <w:jc w:val="start"/>
        <w:rPr/>
        <w:sectPr>
          <w:headerReference w:type="even" r:id="rId2"/>
          <w:headerReference w:type="default" r:id="rId3"/>
          <w:headerReference w:type="first" r:id="rId4"/>
          <w:footerReference w:type="even" r:id="rId5"/>
          <w:footerReference w:type="default" r:id="rId6"/>
          <w:footerReference w:type="first" r:id="rId7"/>
          <w:type w:val="nextPage"/>
          <w:pgSz w:orient="landscape" w:w="16838" w:h="11906"/>
          <w:pgMar w:left="662" w:right="662" w:gutter="0" w:header="216" w:top="646" w:footer="173" w:bottom="573"/>
          <w:pgNumType w:start="1" w:fmt="decimal"/>
          <w:formProt w:val="false"/>
          <w:textDirection w:val="lrTb"/>
          <w:docGrid w:type="default" w:linePitch="100" w:charSpace="0"/>
        </w:sectPr>
      </w:pPr>
      <w:r>
        <w:rPr>
          <w:rFonts w:eastAsia="Arial" w:cs="Arial"/>
          <w:color w:val="263445"/>
          <w:sz w:val="18"/>
          <w:szCs w:val="18"/>
          <w:lang w:val="ru-RU"/>
        </w:rPr>
        <w:t xml:space="preserve">¹ </w:t>
      </w:r>
      <w:r>
        <w:rPr>
          <w:rFonts w:eastAsia="Arial" w:cs="Arial"/>
          <w:color w:val="263445"/>
          <w:sz w:val="18"/>
          <w:szCs w:val="18"/>
          <w:lang w:val="ru-RU"/>
        </w:rPr>
        <w:t xml:space="preserve">Вне объёма этого ТЗ: </w:t>
      </w:r>
      <w:hyperlink w:anchor="TZ_B0434">
        <w:r>
          <w:rPr>
            <w:rStyle w:val="Style"/>
            <w:rFonts w:eastAsia="Arial" w:cs="Arial"/>
            <w:color w:val="176B91"/>
            <w:sz w:val="18"/>
            <w:szCs w:val="18"/>
            <w:u w:val="single"/>
            <w:lang w:val="ru-RU"/>
          </w:rPr>
          <w:t>построение и настройка защищённого канала СМЭВ</w:t>
        </w:r>
      </w:hyperlink>
      <w:r>
        <w:rPr>
          <w:rFonts w:eastAsia="Arial" w:cs="Arial"/>
          <w:color w:val="263445"/>
          <w:sz w:val="18"/>
          <w:szCs w:val="18"/>
          <w:lang w:val="ru-RU"/>
        </w:rPr>
        <w:t xml:space="preserve"> (продуктивные доступы получает заказчик); </w:t>
      </w:r>
      <w:hyperlink w:anchor="TZ_B0218">
        <w:r>
          <w:rPr>
            <w:rStyle w:val="Style"/>
            <w:rFonts w:eastAsia="Arial" w:cs="Arial"/>
            <w:color w:val="176B91"/>
            <w:sz w:val="18"/>
            <w:szCs w:val="18"/>
            <w:u w:val="single"/>
            <w:lang w:val="ru-RU"/>
          </w:rPr>
          <w:t>сертификация</w:t>
        </w:r>
      </w:hyperlink>
      <w:r>
        <w:rPr>
          <w:rFonts w:eastAsia="Arial" w:cs="Arial"/>
          <w:color w:val="263445"/>
          <w:sz w:val="18"/>
          <w:szCs w:val="18"/>
          <w:lang w:val="ru-RU"/>
        </w:rPr>
        <w:t xml:space="preserve">, </w:t>
      </w:r>
      <w:hyperlink w:anchor="TZ_B0220">
        <w:r>
          <w:rPr>
            <w:rStyle w:val="Style"/>
            <w:rFonts w:eastAsia="Arial" w:cs="Arial"/>
            <w:color w:val="176B91"/>
            <w:sz w:val="18"/>
            <w:szCs w:val="18"/>
            <w:u w:val="single"/>
            <w:lang w:val="ru-RU"/>
          </w:rPr>
          <w:t>отдельные работы по СЗИ и аттестации</w:t>
        </w:r>
      </w:hyperlink>
      <w:r>
        <w:rPr>
          <w:rFonts w:eastAsia="Arial" w:cs="Arial"/>
          <w:color w:val="263445"/>
          <w:sz w:val="18"/>
          <w:szCs w:val="18"/>
          <w:lang w:val="ru-RU"/>
        </w:rPr>
        <w:t xml:space="preserve">, </w:t>
      </w:r>
      <w:hyperlink w:anchor="TZ_B0222">
        <w:r>
          <w:rPr>
            <w:rStyle w:val="Style"/>
            <w:rFonts w:eastAsia="Arial" w:cs="Arial"/>
            <w:color w:val="176B91"/>
            <w:sz w:val="18"/>
            <w:szCs w:val="18"/>
            <w:u w:val="single"/>
            <w:lang w:val="ru-RU"/>
          </w:rPr>
          <w:t>определение угроз</w:t>
        </w:r>
      </w:hyperlink>
      <w:r>
        <w:rPr>
          <w:rFonts w:eastAsia="Arial" w:cs="Arial"/>
          <w:color w:val="263445"/>
          <w:sz w:val="18"/>
          <w:szCs w:val="18"/>
          <w:lang w:val="ru-RU"/>
        </w:rPr>
        <w:t>. Встроенные функции безопасности и проверки созданного/изменённого ЗПО остаются в объёме Исполнителя.</w:t>
      </w:r>
    </w:p>
    <w:p>
      <w:pPr>
        <w:pStyle w:val="MatAppendix"/>
        <w:keepNext w:val="false"/>
        <w:keepLines/>
        <w:spacing w:lineRule="auto" w:line="228" w:before="0" w:after="120"/>
        <w:ind w:hanging="0" w:start="0" w:end="0"/>
        <w:jc w:val="start"/>
        <w:rPr/>
      </w:pPr>
      <w:bookmarkStart w:id="3" w:name="Appendix_Start"/>
      <w:bookmarkStart w:id="4" w:name="Приложение_1._Текст_оригинального_ТЗ"/>
      <w:r>
        <w:rPr>
          <w:rFonts w:eastAsia="Arial" w:cs="Arial"/>
          <w:b/>
          <w:color w:val="18384E"/>
          <w:sz w:val="30"/>
          <w:szCs w:val="30"/>
          <w:lang w:val="ru-RU"/>
        </w:rPr>
        <w:t>Приложение 1. Текст оригинального ТЗ</w:t>
      </w:r>
      <w:bookmarkEnd w:id="3"/>
      <w:bookmarkEnd w:id="4"/>
    </w:p>
    <w:p>
      <w:pPr>
        <w:pStyle w:val="MatBody"/>
        <w:keepNext w:val="false"/>
        <w:keepLines/>
        <w:spacing w:lineRule="auto" w:line="228" w:before="0" w:after="70"/>
        <w:ind w:hanging="0" w:start="0" w:end="0"/>
        <w:jc w:val="start"/>
        <w:rPr/>
      </w:pPr>
      <w:r>
        <w:rPr>
          <w:rFonts w:eastAsia="Arial" w:cs="Arial"/>
          <w:color w:val="647687"/>
          <w:sz w:val="18"/>
          <w:szCs w:val="18"/>
          <w:lang w:val="ru-RU"/>
        </w:rPr>
        <w:t>ФТ_предфинал_от_07_10_26.docx  ·  полный текст без комментариев</w:t>
      </w:r>
    </w:p>
    <w:p>
      <w:pPr>
        <w:pStyle w:val="Style86"/>
        <w:jc w:val="center"/>
        <w:rPr>
          <w:b/>
          <w:color w:themeColor="text1" w:val="000000"/>
        </w:rPr>
      </w:pPr>
      <w:r>
        <w:rPr>
          <w:b/>
          <w:color w:themeColor="text1" w:val="000000"/>
        </w:rPr>
      </w:r>
      <w:bookmarkStart w:id="5" w:name="TZ_Original"/>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t>ТЕХНИЧЕСКОЕ ЗАДАНИЕ</w:t>
      </w:r>
    </w:p>
    <w:p>
      <w:pPr>
        <w:pStyle w:val="TitulSGeneral14"/>
        <w:spacing w:before="0" w:after="0"/>
        <w:ind w:hanging="0"/>
        <w:jc w:val="center"/>
        <w:rPr>
          <w:color w:themeColor="text1" w:val="000000"/>
          <w:szCs w:val="28"/>
          <w:lang w:val="ru-RU" w:eastAsia="ar-SA"/>
        </w:rPr>
      </w:pPr>
      <w:r>
        <w:rPr>
          <w:color w:themeColor="text1" w:val="000000"/>
          <w:szCs w:val="28"/>
          <w:lang w:val="ru-RU" w:eastAsia="ar-SA"/>
        </w:rPr>
      </w:r>
    </w:p>
    <w:p>
      <w:pPr>
        <w:pStyle w:val="Style79"/>
        <w:spacing w:lineRule="auto" w:line="276" w:before="0" w:after="240"/>
        <w:rPr>
          <w:color w:themeColor="text1" w:val="000000"/>
        </w:rPr>
      </w:pPr>
      <w:r>
        <w:rPr>
          <w:rFonts w:cs="Times New Roman"/>
        </w:rPr>
        <w:t xml:space="preserve">на развитие </w:t>
      </w:r>
      <w:r>
        <w:rPr>
          <w:rFonts w:cs="Times New Roman"/>
          <w:bCs w:val="false"/>
          <w:lang w:eastAsia="ar-SA"/>
        </w:rPr>
        <w:t xml:space="preserve">Аналитической системы </w:t>
      </w:r>
      <w:r>
        <w:rPr>
          <w:rFonts w:cs="Times New Roman"/>
        </w:rPr>
        <w:t xml:space="preserve">Россельхознадзора в части создания функционала для сервиса Россельхознадзора «Цифровой надзор» на ЕЦП «ГосТех» </w:t>
      </w:r>
    </w:p>
    <w:p>
      <w:pPr>
        <w:pStyle w:val="Style79"/>
        <w:spacing w:before="0" w:after="240"/>
        <w:rPr>
          <w:rFonts w:cs="Times New Roman"/>
          <w:bCs w:val="false"/>
          <w:color w:themeColor="text1" w:val="000000"/>
          <w:lang w:eastAsia="ar-SA"/>
        </w:rPr>
      </w:pPr>
      <w:r>
        <w:rPr>
          <w:rFonts w:cs="Times New Roman"/>
          <w:bCs w:val="false"/>
          <w:color w:themeColor="text1" w:val="000000"/>
          <w:lang w:eastAsia="ar-SA"/>
        </w:rPr>
      </w:r>
    </w:p>
    <w:p>
      <w:pPr>
        <w:pStyle w:val="Normal"/>
        <w:rPr>
          <w:caps/>
          <w:color w:themeColor="text1" w:val="000000"/>
        </w:rPr>
      </w:pPr>
      <w:r>
        <w:rPr>
          <w:caps/>
          <w:color w:themeColor="text1" w:val="000000"/>
        </w:rPr>
      </w:r>
    </w:p>
    <w:p>
      <w:pPr>
        <w:pStyle w:val="Style49"/>
        <w:rPr>
          <w:color w:themeColor="text1" w:val="000000"/>
        </w:rPr>
      </w:pPr>
      <w:bookmarkStart w:id="6" w:name="_Toc158900041"/>
      <w:bookmarkStart w:id="7" w:name="_Toc158884608"/>
      <w:bookmarkStart w:id="8" w:name="_Toc158900584"/>
      <w:bookmarkStart w:id="9" w:name="_Toc158900447"/>
      <w:bookmarkStart w:id="10" w:name="_Toc158900456"/>
      <w:bookmarkStart w:id="11" w:name="_Toc158900440"/>
      <w:bookmarkStart w:id="12" w:name="_Toc158900452"/>
      <w:bookmarkStart w:id="13" w:name="_Toc158900460"/>
      <w:bookmarkStart w:id="14" w:name="_Toc158900466"/>
      <w:bookmarkStart w:id="15" w:name="_Toc158900583"/>
      <w:bookmarkStart w:id="16" w:name="_Toc158900465"/>
      <w:bookmarkStart w:id="17" w:name="_Toc158900464"/>
      <w:bookmarkStart w:id="18" w:name="_Toc158900467"/>
      <w:bookmarkStart w:id="19" w:name="_Toc158900468"/>
      <w:bookmarkStart w:id="20" w:name="_Toc158900487"/>
      <w:bookmarkStart w:id="21" w:name="_Toc158900491"/>
      <w:bookmarkEnd w:id="9"/>
      <w:bookmarkEnd w:id="10"/>
      <w:bookmarkEnd w:id="11"/>
      <w:bookmarkEnd w:id="12"/>
      <w:bookmarkEnd w:id="13"/>
      <w:bookmarkEnd w:id="14"/>
      <w:bookmarkEnd w:id="15"/>
      <w:bookmarkEnd w:id="16"/>
      <w:bookmarkEnd w:id="17"/>
      <w:bookmarkEnd w:id="18"/>
      <w:bookmarkEnd w:id="19"/>
      <w:bookmarkEnd w:id="20"/>
      <w:bookmarkEnd w:id="21"/>
      <w:r>
        <w:rPr>
          <w:color w:themeColor="text1" w:val="000000"/>
        </w:rPr>
        <w:t>Содержание</w:t>
      </w:r>
    </w:p>
    <w:p>
      <w:pPr>
        <w:pStyle w:val="TOC1"/>
        <w:rPr>
          <w:rFonts w:ascii="Calibri" w:hAnsi="Calibri" w:eastAsia="Arial" w:cs="Arial" w:asciiTheme="minorHAnsi" w:cstheme="minorBidi" w:eastAsiaTheme="minorEastAsia" w:hAnsiTheme="minorHAnsi"/>
          <w:sz w:val="22"/>
          <w:szCs w:val="22"/>
        </w:rPr>
      </w:pPr>
      <w:hyperlink w:anchor="_Toc240723489">
        <w:r>
          <w:rPr>
            <w:rStyle w:val="Hyperlink"/>
          </w:rPr>
          <w:t>1. Общие сведения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_Toc240723489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_Toc240723489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0">
        <w:r>
          <w:rPr>
            <w:rStyle w:val="Hyperlink"/>
          </w:rPr>
          <w:t>1.1. Предмет</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_Toc240723490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1">
        <w:r>
          <w:rPr>
            <w:rStyle w:val="Hyperlink"/>
          </w:rPr>
          <w:t>1.2. Полное наименование Системы и её условное обозначение</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_Toc240723491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2">
        <w:r>
          <w:rPr>
            <w:rStyle w:val="Hyperlink"/>
          </w:rPr>
          <w:t>1.3. Основание для выполнения работ</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_Toc240723492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3">
        <w:r>
          <w:rPr>
            <w:rStyle w:val="Hyperlink"/>
          </w:rPr>
          <w:t>1.4. Участники</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_Toc240723493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4">
        <w:r>
          <w:rPr>
            <w:rStyle w:val="Hyperlink"/>
          </w:rPr>
          <w:t>1.5. Источник финансирования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_Toc240723494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5">
        <w:r>
          <w:rPr>
            <w:rStyle w:val="Hyperlink"/>
          </w:rPr>
          <w:t>1.6. Сроки выполнения работ</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_Toc240723495 \h </w:instrText>
        </w:r>
        <w:r>
          <w:rPr>
            <w:rStyle w:val="Hyperlink"/>
            <w:vanish/>
          </w:rPr>
          <w:fldChar w:fldCharType="separate"/>
        </w:r>
        <w:r>
          <w:rPr>
            <w:rStyle w:val="Hyperlink"/>
            <w:vanish/>
          </w:rPr>
          <w:t>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6">
        <w:r>
          <w:rPr>
            <w:rStyle w:val="Hyperlink"/>
          </w:rPr>
          <w:t>1.7. Место нахождения Заказчика</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_Toc240723496 \h </w:instrText>
        </w:r>
        <w:r>
          <w:rPr>
            <w:rStyle w:val="Hyperlink"/>
            <w:vanish/>
          </w:rPr>
          <w:fldChar w:fldCharType="separate"/>
        </w:r>
        <w:r>
          <w:rPr>
            <w:rStyle w:val="Hyperlink"/>
            <w:vanish/>
          </w:rPr>
          <w:t>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7">
        <w:r>
          <w:rPr>
            <w:rStyle w:val="Hyperlink"/>
          </w:rPr>
          <w:t>1.8. Описание эксплуатируемой Системы</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_Toc240723497 \h </w:instrText>
        </w:r>
        <w:r>
          <w:rPr>
            <w:rStyle w:val="Hyperlink"/>
            <w:vanish/>
          </w:rPr>
          <w:fldChar w:fldCharType="separate"/>
        </w:r>
        <w:r>
          <w:rPr>
            <w:rStyle w:val="Hyperlink"/>
            <w:vanish/>
          </w:rPr>
          <w:t>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8">
        <w:r>
          <w:rPr>
            <w:rStyle w:val="Hyperlink"/>
          </w:rPr>
          <w:t>1.9. Цели и задачи</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_Toc240723498 \h </w:instrText>
        </w:r>
        <w:r>
          <w:rPr>
            <w:rStyle w:val="Hyperlink"/>
            <w:vanish/>
          </w:rPr>
          <w:fldChar w:fldCharType="separate"/>
        </w:r>
        <w:r>
          <w:rPr>
            <w:rStyle w:val="Hyperlink"/>
            <w:vanish/>
          </w:rPr>
          <w:t>5</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499">
        <w:r>
          <w:rPr>
            <w:rStyle w:val="Hyperlink"/>
          </w:rPr>
          <w:t>2. Требования к выполнению работ</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_Toc240723499 \h </w:instrText>
        </w:r>
        <w:r>
          <w:rPr>
            <w:rStyle w:val="Hyperlink"/>
            <w:vanish/>
          </w:rPr>
          <w:fldChar w:fldCharType="separate"/>
        </w:r>
        <w:r>
          <w:rPr>
            <w:rStyle w:val="Hyperlink"/>
            <w:vanish/>
          </w:rPr>
          <w:t>6</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0">
        <w:r>
          <w:rPr>
            <w:rStyle w:val="Hyperlink"/>
          </w:rPr>
          <w:t>2.1. Общие требования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_Toc240723500 \h </w:instrText>
        </w:r>
        <w:r>
          <w:rPr>
            <w:rStyle w:val="Hyperlink"/>
            <w:vanish/>
          </w:rPr>
          <w:fldChar w:fldCharType="separate"/>
        </w:r>
        <w:r>
          <w:rPr>
            <w:rStyle w:val="Hyperlink"/>
            <w:vanish/>
          </w:rPr>
          <w:t>6</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1">
        <w:r>
          <w:rPr>
            <w:rStyle w:val="Hyperlink"/>
          </w:rPr>
          <w:t>2.2. Требования к обследованию</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_Toc240723501 \h </w:instrText>
        </w:r>
        <w:r>
          <w:rPr>
            <w:rStyle w:val="Hyperlink"/>
            <w:vanish/>
          </w:rPr>
          <w:fldChar w:fldCharType="separate"/>
        </w:r>
        <w:r>
          <w:rPr>
            <w:rStyle w:val="Hyperlink"/>
            <w:vanish/>
          </w:rPr>
          <w:t>8</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2">
        <w:r>
          <w:rPr>
            <w:rStyle w:val="Hyperlink"/>
          </w:rPr>
          <w:t>2.3. Требования к техническому проектированию</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_Toc240723502 \h </w:instrText>
        </w:r>
        <w:r>
          <w:rPr>
            <w:rStyle w:val="Hyperlink"/>
            <w:vanish/>
          </w:rPr>
          <w:fldChar w:fldCharType="separate"/>
        </w:r>
        <w:r>
          <w:rPr>
            <w:rStyle w:val="Hyperlink"/>
            <w:vanish/>
          </w:rPr>
          <w:t>8</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3">
        <w:r>
          <w:rPr>
            <w:rStyle w:val="Hyperlink"/>
          </w:rPr>
          <w:t>2.4. Требования к рабочему проектированию</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_Toc240723503 \h </w:instrText>
        </w:r>
        <w:r>
          <w:rPr>
            <w:rStyle w:val="Hyperlink"/>
            <w:vanish/>
          </w:rPr>
          <w:fldChar w:fldCharType="separate"/>
        </w:r>
        <w:r>
          <w:rPr>
            <w:rStyle w:val="Hyperlink"/>
            <w:vanish/>
          </w:rPr>
          <w:t>8</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4">
        <w:r>
          <w:rPr>
            <w:rStyle w:val="Hyperlink"/>
          </w:rPr>
          <w:t>2.5. Требования к испытаниям</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_Toc240723504 \h </w:instrText>
        </w:r>
        <w:r>
          <w:rPr>
            <w:rStyle w:val="Hyperlink"/>
            <w:vanish/>
          </w:rPr>
          <w:fldChar w:fldCharType="separate"/>
        </w:r>
        <w:r>
          <w:rPr>
            <w:rStyle w:val="Hyperlink"/>
            <w:vanish/>
          </w:rPr>
          <w:t>8</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5">
        <w:r>
          <w:rPr>
            <w:rStyle w:val="Hyperlink"/>
          </w:rPr>
          <w:t>3. Порядок рассмотрения результатов исполнения контракта</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_Toc240723505 \h </w:instrText>
        </w:r>
        <w:r>
          <w:rPr>
            <w:rStyle w:val="Hyperlink"/>
            <w:vanish/>
          </w:rPr>
          <w:fldChar w:fldCharType="separate"/>
        </w:r>
        <w:r>
          <w:rPr>
            <w:rStyle w:val="Hyperlink"/>
            <w:vanish/>
          </w:rPr>
          <w:t>11</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6">
        <w:r>
          <w:rPr>
            <w:rStyle w:val="Hyperlink"/>
          </w:rPr>
          <w:t>3.1. Требования к срокам предоставления и рассмотрения результатов исполнения Контракта</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_Toc240723506 \h </w:instrText>
        </w:r>
        <w:r>
          <w:rPr>
            <w:rStyle w:val="Hyperlink"/>
            <w:vanish/>
          </w:rPr>
          <w:fldChar w:fldCharType="separate"/>
        </w:r>
        <w:r>
          <w:rPr>
            <w:rStyle w:val="Hyperlink"/>
            <w:vanish/>
          </w:rPr>
          <w:t>11</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7">
        <w:r>
          <w:rPr>
            <w:rStyle w:val="Hyperlink"/>
          </w:rPr>
          <w:t>3.2. Требования к оформлению отчётных документов</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_Toc240723507 \h </w:instrText>
        </w:r>
        <w:r>
          <w:rPr>
            <w:rStyle w:val="Hyperlink"/>
            <w:vanish/>
          </w:rPr>
          <w:fldChar w:fldCharType="separate"/>
        </w:r>
        <w:r>
          <w:rPr>
            <w:rStyle w:val="Hyperlink"/>
            <w:vanish/>
          </w:rPr>
          <w:t>11</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8">
        <w:r>
          <w:rPr>
            <w:rStyle w:val="Hyperlink"/>
          </w:rPr>
          <w:t>4. Прочие положения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_Toc240723508 \h </w:instrText>
        </w:r>
        <w:r>
          <w:rPr>
            <w:rStyle w:val="Hyperlink"/>
            <w:vanish/>
          </w:rPr>
          <w:fldChar w:fldCharType="separate"/>
        </w:r>
        <w:r>
          <w:rPr>
            <w:rStyle w:val="Hyperlink"/>
            <w:vanish/>
          </w:rPr>
          <w:t>15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9">
        <w:r>
          <w:rPr>
            <w:rStyle w:val="Hyperlink"/>
            <w:lang w:eastAsia="en-US"/>
          </w:rPr>
          <w:t>4.1. Контроль за исполнением Контракта</w:t>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vanish/>
            <w:lang w:eastAsia="en-US"/>
          </w:rPr>
        </w:r>
        <w:r>
          <w:rPr>
            <w:rStyle w:val="Hyperlink"/>
            <w:vanish/>
            <w:lang w:eastAsia="en-US"/>
          </w:rPr>
        </w:r>
        <w:r>
          <w:rPr>
            <w:rStyle w:val="Hyperlink"/>
            <w:vanish/>
            <w:lang w:eastAsia="en-US"/>
          </w:rPr>
          <w:fldChar w:fldCharType="separate"/>
        </w:r>
        <w:r>
          <w:rPr>
            <w:rStyle w:val="Hyperlink"/>
            <w:vanish/>
            <w:lang w:eastAsia="en-US"/>
          </w:rPr>
        </w:r>
        <w:r>
          <w:rPr>
            <w:rStyle w:val="Hyperlink"/>
            <w:vanish/>
            <w:lang w:eastAsia="en-US"/>
          </w:rPr>
        </w:r>
        <w:r>
          <w:rPr>
            <w:rStyle w:val="Hyperlink"/>
            <w:vanish/>
            <w:lang w:eastAsia="en-US"/>
          </w:rPr>
          <w:fldChar w:fldCharType="end"/>
        </w:r>
        <w:r>
          <w:rPr>
            <w:webHidden/>
          </w:rPr>
          <w:fldChar w:fldCharType="begin"/>
        </w:r>
        <w:r>
          <w:rPr>
            <w:webHidden/>
          </w:rPr>
          <w:instrText xml:space="preserve">PAGEREF _Toc240723509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_Toc240723509 \h </w:instrText>
        </w:r>
        <w:r>
          <w:rPr>
            <w:rStyle w:val="Hyperlink"/>
            <w:vanish/>
          </w:rPr>
          <w:fldChar w:fldCharType="separate"/>
        </w:r>
        <w:r>
          <w:rPr>
            <w:rStyle w:val="Hyperlink"/>
            <w:vanish/>
          </w:rPr>
          <w:t>15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0">
        <w:r>
          <w:rPr>
            <w:rStyle w:val="Hyperlink"/>
            <w:lang w:eastAsia="en-US"/>
          </w:rPr>
          <w:t>4.2. Гарантийные обязательства</w:t>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vanish/>
            <w:lang w:eastAsia="en-US"/>
          </w:rPr>
        </w:r>
        <w:r>
          <w:rPr>
            <w:rStyle w:val="Hyperlink"/>
            <w:vanish/>
            <w:lang w:eastAsia="en-US"/>
          </w:rPr>
        </w:r>
        <w:r>
          <w:rPr>
            <w:rStyle w:val="Hyperlink"/>
            <w:vanish/>
            <w:lang w:eastAsia="en-US"/>
          </w:rPr>
          <w:fldChar w:fldCharType="separate"/>
        </w:r>
        <w:r>
          <w:rPr>
            <w:rStyle w:val="Hyperlink"/>
            <w:vanish/>
            <w:lang w:eastAsia="en-US"/>
          </w:rPr>
        </w:r>
        <w:r>
          <w:rPr>
            <w:rStyle w:val="Hyperlink"/>
            <w:vanish/>
            <w:lang w:eastAsia="en-US"/>
          </w:rPr>
        </w:r>
        <w:r>
          <w:rPr>
            <w:rStyle w:val="Hyperlink"/>
            <w:vanish/>
            <w:lang w:eastAsia="en-US"/>
          </w:rPr>
          <w:fldChar w:fldCharType="end"/>
        </w:r>
        <w:r>
          <w:rPr>
            <w:webHidden/>
          </w:rPr>
          <w:fldChar w:fldCharType="begin"/>
        </w:r>
        <w:r>
          <w:rPr>
            <w:webHidden/>
          </w:rPr>
          <w:instrText xml:space="preserve">PAGEREF _Toc240723510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_Toc240723510 \h </w:instrText>
        </w:r>
        <w:r>
          <w:rPr>
            <w:rStyle w:val="Hyperlink"/>
            <w:vanish/>
          </w:rPr>
          <w:fldChar w:fldCharType="separate"/>
        </w:r>
        <w:r>
          <w:rPr>
            <w:rStyle w:val="Hyperlink"/>
            <w:vanish/>
          </w:rPr>
          <w:t>15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1">
        <w:r>
          <w:rPr>
            <w:rStyle w:val="Hyperlink"/>
            <w:lang w:eastAsia="en-US"/>
          </w:rPr>
          <w:t>4.3. Ответственность</w:t>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vanish/>
            <w:lang w:eastAsia="en-US"/>
          </w:rPr>
        </w:r>
        <w:r>
          <w:rPr>
            <w:rStyle w:val="Hyperlink"/>
            <w:vanish/>
            <w:lang w:eastAsia="en-US"/>
          </w:rPr>
        </w:r>
        <w:r>
          <w:rPr>
            <w:rStyle w:val="Hyperlink"/>
            <w:vanish/>
            <w:lang w:eastAsia="en-US"/>
          </w:rPr>
          <w:fldChar w:fldCharType="separate"/>
        </w:r>
        <w:r>
          <w:rPr>
            <w:rStyle w:val="Hyperlink"/>
            <w:vanish/>
            <w:lang w:eastAsia="en-US"/>
          </w:rPr>
        </w:r>
        <w:r>
          <w:rPr>
            <w:rStyle w:val="Hyperlink"/>
            <w:vanish/>
            <w:lang w:eastAsia="en-US"/>
          </w:rPr>
        </w:r>
        <w:r>
          <w:rPr>
            <w:rStyle w:val="Hyperlink"/>
            <w:vanish/>
            <w:lang w:eastAsia="en-US"/>
          </w:rPr>
          <w:fldChar w:fldCharType="end"/>
        </w:r>
        <w:r>
          <w:rPr>
            <w:webHidden/>
          </w:rPr>
          <w:fldChar w:fldCharType="begin"/>
        </w:r>
        <w:r>
          <w:rPr>
            <w:webHidden/>
          </w:rPr>
          <w:instrText xml:space="preserve">PAGEREF _Toc240723511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_Toc240723511 \h </w:instrText>
        </w:r>
        <w:r>
          <w:rPr>
            <w:rStyle w:val="Hyperlink"/>
            <w:vanish/>
          </w:rPr>
          <w:fldChar w:fldCharType="separate"/>
        </w:r>
        <w:r>
          <w:rPr>
            <w:rStyle w:val="Hyperlink"/>
            <w:vanish/>
          </w:rPr>
          <w:t>15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2">
        <w:r>
          <w:rPr>
            <w:rStyle w:val="Hyperlink"/>
            <w:lang w:eastAsia="en-US"/>
          </w:rPr>
          <w:t>4.4. Требования к информационной безопасности</w:t>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vanish/>
            <w:lang w:eastAsia="en-US"/>
          </w:rPr>
        </w:r>
        <w:r>
          <w:rPr>
            <w:rStyle w:val="Hyperlink"/>
            <w:vanish/>
            <w:lang w:eastAsia="en-US"/>
          </w:rPr>
        </w:r>
        <w:r>
          <w:rPr>
            <w:rStyle w:val="Hyperlink"/>
            <w:vanish/>
            <w:lang w:eastAsia="en-US"/>
          </w:rPr>
          <w:fldChar w:fldCharType="separate"/>
        </w:r>
        <w:r>
          <w:rPr>
            <w:rStyle w:val="Hyperlink"/>
            <w:vanish/>
            <w:lang w:eastAsia="en-US"/>
          </w:rPr>
        </w:r>
        <w:r>
          <w:rPr>
            <w:rStyle w:val="Hyperlink"/>
            <w:vanish/>
            <w:lang w:eastAsia="en-US"/>
          </w:rPr>
        </w:r>
        <w:r>
          <w:rPr>
            <w:rStyle w:val="Hyperlink"/>
            <w:vanish/>
            <w:lang w:eastAsia="en-US"/>
          </w:rPr>
          <w:fldChar w:fldCharType="end"/>
        </w:r>
        <w:r>
          <w:rPr>
            <w:webHidden/>
          </w:rPr>
          <w:fldChar w:fldCharType="begin"/>
        </w:r>
        <w:r>
          <w:rPr>
            <w:webHidden/>
          </w:rPr>
          <w:instrText xml:space="preserve">PAGEREF _Toc240723512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_Toc240723512 \h </w:instrText>
        </w:r>
        <w:r>
          <w:rPr>
            <w:rStyle w:val="Hyperlink"/>
            <w:vanish/>
          </w:rPr>
          <w:fldChar w:fldCharType="separate"/>
        </w:r>
        <w:r>
          <w:rPr>
            <w:rStyle w:val="Hyperlink"/>
            <w:vanish/>
          </w:rPr>
          <w:t>16</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3">
        <w:r>
          <w:rPr>
            <w:rStyle w:val="Hyperlink"/>
          </w:rPr>
          <w:t>Приложение 1 Календарный план</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_Toc240723513 \h </w:instrText>
        </w:r>
        <w:r>
          <w:rPr>
            <w:rStyle w:val="Hyperlink"/>
            <w:vanish/>
          </w:rPr>
          <w:fldChar w:fldCharType="separate"/>
        </w:r>
        <w:r>
          <w:rPr>
            <w:rStyle w:val="Hyperlink"/>
            <w:vanish/>
          </w:rPr>
          <w:t>20</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4">
        <w:r>
          <w:rPr>
            <w:rStyle w:val="Hyperlink"/>
          </w:rPr>
          <w:t>Приложение 2 Требования к развитию Системы</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_Toc240723514 \h </w:instrText>
        </w:r>
        <w:r>
          <w:rPr>
            <w:rStyle w:val="Hyperlink"/>
            <w:vanish/>
          </w:rPr>
          <w:fldChar w:fldCharType="separate"/>
        </w:r>
        <w:r>
          <w:rPr>
            <w:rStyle w:val="Hyperlink"/>
            <w:vanish/>
          </w:rPr>
          <w:t>21</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5">
        <w:r>
          <w:rPr>
            <w:rStyle w:val="Hyperlink"/>
          </w:rPr>
          <w:t>1.</w:t>
        </w:r>
        <w:r>
          <w:rPr>
            <w:rStyle w:val="Hyperlink"/>
            <w:rFonts w:eastAsia="Arial" w:cs="Arial" w:ascii="Calibri" w:hAnsi="Calibri" w:asciiTheme="minorHAnsi" w:cstheme="minorBidi" w:eastAsiaTheme="minorEastAsia" w:hAnsiTheme="minorHAnsi"/>
            <w:sz w:val="22"/>
            <w:szCs w:val="22"/>
          </w:rPr>
          <w:tab/>
        </w:r>
        <w:r>
          <w:rPr>
            <w:rStyle w:val="Hyperlink"/>
          </w:rPr>
          <w:t>Общие требования к модернизированной Системе</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_Toc240723515 \h </w:instrText>
        </w:r>
        <w:r>
          <w:rPr>
            <w:rStyle w:val="Hyperlink"/>
            <w:vanish/>
          </w:rPr>
          <w:fldChar w:fldCharType="separate"/>
        </w:r>
        <w:r>
          <w:rPr>
            <w:rStyle w:val="Hyperlink"/>
            <w:vanish/>
          </w:rPr>
          <w:t>21</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6">
        <w:r>
          <w:rPr>
            <w:rStyle w:val="Hyperlink"/>
          </w:rPr>
          <w:t>2.</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подсистеме цифровых индикаторов рисков</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_Toc240723516 \h </w:instrText>
        </w:r>
        <w:r>
          <w:rPr>
            <w:rStyle w:val="Hyperlink"/>
            <w:vanish/>
          </w:rPr>
          <w:fldChar w:fldCharType="separate"/>
        </w:r>
        <w:r>
          <w:rPr>
            <w:rStyle w:val="Hyperlink"/>
            <w:vanish/>
          </w:rPr>
          <w:t>22</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7">
        <w:r>
          <w:rPr>
            <w:rStyle w:val="Hyperlink"/>
            <w:lang w:eastAsia="en-US"/>
          </w:rPr>
          <w:t>3.</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подсистеме автоматического сбора доказательной базы по сработавшим цифровым индикаторам рисков</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_Toc240723517 \h </w:instrText>
        </w:r>
        <w:r>
          <w:rPr>
            <w:rStyle w:val="Hyperlink"/>
            <w:vanish/>
          </w:rPr>
          <w:fldChar w:fldCharType="separate"/>
        </w:r>
        <w:r>
          <w:rPr>
            <w:rStyle w:val="Hyperlink"/>
            <w:vanish/>
          </w:rPr>
          <w:t>33</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8">
        <w:r>
          <w:rPr>
            <w:rStyle w:val="Hyperlink"/>
          </w:rPr>
          <w:t>4.</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подсистеме автоматизированного отслеживания факторов изменения категорий риска</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_Toc240723518 \h </w:instrText>
        </w:r>
        <w:r>
          <w:rPr>
            <w:rStyle w:val="Hyperlink"/>
            <w:vanish/>
          </w:rPr>
          <w:fldChar w:fldCharType="separate"/>
        </w:r>
        <w:r>
          <w:rPr>
            <w:rStyle w:val="Hyperlink"/>
            <w:vanish/>
          </w:rPr>
          <w:t>34</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9">
        <w:r>
          <w:rPr>
            <w:rStyle w:val="Hyperlink"/>
          </w:rPr>
          <w:t>5.</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функционалу расчета и объемов подконтрольной продукции</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_Toc240723519 \h </w:instrText>
        </w:r>
        <w:r>
          <w:rPr>
            <w:rStyle w:val="Hyperlink"/>
            <w:vanish/>
          </w:rPr>
          <w:fldChar w:fldCharType="separate"/>
        </w:r>
        <w:r>
          <w:rPr>
            <w:rStyle w:val="Hyperlink"/>
            <w:vanish/>
          </w:rPr>
          <w:t>37</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0">
        <w:r>
          <w:rPr>
            <w:rStyle w:val="Hyperlink"/>
          </w:rPr>
          <w:t>6.</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статистическим и техническим отчетам</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_Toc240723520 \h </w:instrText>
        </w:r>
        <w:r>
          <w:rPr>
            <w:rStyle w:val="Hyperlink"/>
            <w:vanish/>
          </w:rPr>
          <w:fldChar w:fldCharType="separate"/>
        </w:r>
        <w:r>
          <w:rPr>
            <w:rStyle w:val="Hyperlink"/>
            <w:vanish/>
          </w:rPr>
          <w:t>38</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1">
        <w:r>
          <w:rPr>
            <w:rStyle w:val="Hyperlink"/>
          </w:rPr>
          <w:t>7.</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интеграционному взаимодействию</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_Toc240723521 \h </w:instrText>
        </w:r>
        <w:r>
          <w:rPr>
            <w:rStyle w:val="Hyperlink"/>
            <w:vanish/>
          </w:rPr>
          <w:fldChar w:fldCharType="separate"/>
        </w:r>
        <w:r>
          <w:rPr>
            <w:rStyle w:val="Hyperlink"/>
            <w:vanish/>
          </w:rPr>
          <w:t>39</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2">
        <w:r>
          <w:rPr>
            <w:rStyle w:val="Hyperlink"/>
          </w:rPr>
          <w:t>Приложение 3 Форма Перечня представителей Исполнителя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_Toc240723522 \h </w:instrText>
        </w:r>
        <w:r>
          <w:rPr>
            <w:rStyle w:val="Hyperlink"/>
            <w:vanish/>
          </w:rPr>
          <w:fldChar w:fldCharType="separate"/>
        </w:r>
        <w:r>
          <w:rPr>
            <w:rStyle w:val="Hyperlink"/>
            <w:vanish/>
          </w:rPr>
          <w:t>41</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3">
        <w:r>
          <w:rPr>
            <w:rStyle w:val="Hyperlink"/>
          </w:rPr>
          <w:t>Приложение 4 Перечень руководящих документов</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_Toc240723523 \h </w:instrText>
        </w:r>
        <w:r>
          <w:rPr>
            <w:rStyle w:val="Hyperlink"/>
            <w:vanish/>
          </w:rPr>
          <w:fldChar w:fldCharType="separate"/>
        </w:r>
        <w:r>
          <w:rPr>
            <w:rStyle w:val="Hyperlink"/>
            <w:vanish/>
          </w:rPr>
          <w:t>42</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4">
        <w:r>
          <w:rPr>
            <w:rStyle w:val="Hyperlink"/>
          </w:rPr>
          <w:t>Приложение 5 Характеристики системы</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_Toc240723524 \h </w:instrText>
        </w:r>
        <w:r>
          <w:rPr>
            <w:rStyle w:val="Hyperlink"/>
            <w:vanish/>
          </w:rPr>
          <w:fldChar w:fldCharType="separate"/>
        </w:r>
        <w:r>
          <w:rPr>
            <w:rStyle w:val="Hyperlink"/>
            <w:vanish/>
          </w:rPr>
          <w:t>49</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5">
        <w:r>
          <w:rPr>
            <w:rStyle w:val="Hyperlink"/>
          </w:rPr>
          <w:t>Перечень терминов и сокращений</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_Toc240723525 \h </w:instrText>
        </w:r>
        <w:r>
          <w:rPr>
            <w:rStyle w:val="Hyperlink"/>
            <w:vanish/>
          </w:rPr>
          <w:fldChar w:fldCharType="separate"/>
        </w:r>
        <w:r>
          <w:rPr>
            <w:rStyle w:val="Hyperlink"/>
            <w:vanish/>
          </w:rPr>
          <w:t>55</w:t>
        </w:r>
        <w:r>
          <w:rPr>
            <w:rStyle w:val="Hyperlink"/>
            <w:vanish/>
          </w:rPr>
          <w:fldChar w:fldCharType="end"/>
        </w:r>
      </w:hyperlink>
    </w:p>
    <w:p>
      <w:pPr>
        <w:pStyle w:val="Heading1"/>
        <w:rPr>
          <w:color w:themeColor="text1" w:val="000000"/>
        </w:rPr>
      </w:pPr>
      <w:bookmarkStart w:id="22" w:name="_Toc240723489"/>
      <w:r>
        <w:rPr>
          <w:color w:themeColor="text1" w:val="000000"/>
        </w:rPr>
        <w:t>Общие сведения</w:t>
      </w:r>
      <w:bookmarkEnd w:id="6"/>
      <w:bookmarkEnd w:id="7"/>
      <w:bookmarkEnd w:id="8"/>
      <w:bookmarkEnd w:id="22"/>
    </w:p>
    <w:p>
      <w:pPr>
        <w:pStyle w:val="Heading2"/>
        <w:spacing w:lineRule="auto" w:line="276"/>
        <w:rPr>
          <w:color w:themeColor="text1" w:val="000000"/>
        </w:rPr>
      </w:pPr>
      <w:bookmarkStart w:id="23" w:name="_Toc158900042"/>
      <w:bookmarkStart w:id="24" w:name="_Toc158884609"/>
      <w:bookmarkStart w:id="25" w:name="_Toc158900585"/>
      <w:bookmarkStart w:id="26" w:name="_Toc240723490"/>
      <w:r>
        <w:rPr>
          <w:color w:themeColor="text1" w:val="000000"/>
        </w:rPr>
        <w:t>Предмет</w:t>
      </w:r>
      <w:bookmarkEnd w:id="26"/>
      <w:r>
        <w:rPr>
          <w:color w:themeColor="text1" w:val="000000"/>
        </w:rPr>
        <w:t xml:space="preserve"> </w:t>
      </w:r>
      <w:bookmarkEnd w:id="23"/>
      <w:bookmarkEnd w:id="24"/>
      <w:bookmarkEnd w:id="25"/>
    </w:p>
    <w:p>
      <w:pPr>
        <w:pStyle w:val="Style47"/>
        <w:spacing w:lineRule="auto" w:line="276"/>
        <w:rPr>
          <w:color w:themeColor="text1" w:val="000000"/>
        </w:rPr>
      </w:pPr>
      <w:r>
        <w:rPr>
          <w:color w:themeColor="text1" w:val="000000"/>
        </w:rPr>
        <w:t>Развитие Системы.</w:t>
      </w:r>
    </w:p>
    <w:p>
      <w:pPr>
        <w:pStyle w:val="Heading2"/>
        <w:spacing w:lineRule="auto" w:line="276"/>
        <w:rPr>
          <w:color w:themeColor="text1" w:val="000000"/>
        </w:rPr>
      </w:pPr>
      <w:bookmarkStart w:id="27" w:name="_Toc158900043"/>
      <w:bookmarkStart w:id="28" w:name="_Toc158884610"/>
      <w:bookmarkStart w:id="29" w:name="_Toc158900586"/>
      <w:bookmarkStart w:id="30" w:name="_Toc240723491"/>
      <w:r>
        <w:rPr>
          <w:color w:themeColor="text1" w:val="000000"/>
        </w:rPr>
        <w:t>Полное наименование Системы и её условное обозначение</w:t>
      </w:r>
      <w:bookmarkEnd w:id="27"/>
      <w:bookmarkEnd w:id="28"/>
      <w:bookmarkEnd w:id="29"/>
      <w:bookmarkEnd w:id="30"/>
    </w:p>
    <w:p>
      <w:pPr>
        <w:pStyle w:val="Style47"/>
        <w:spacing w:lineRule="auto" w:line="276"/>
        <w:rPr>
          <w:color w:themeColor="text1" w:val="000000"/>
        </w:rPr>
      </w:pPr>
      <w:bookmarkStart w:id="31" w:name="_Toc158900587"/>
      <w:bookmarkStart w:id="32" w:name="_Toc158884611"/>
      <w:bookmarkStart w:id="33" w:name="_Toc158900044"/>
      <w:r>
        <w:rPr>
          <w:color w:themeColor="text1" w:val="000000"/>
        </w:rPr>
        <w:t xml:space="preserve">Полное наименование: </w:t>
      </w:r>
      <w:r>
        <w:rPr>
          <w:sz w:val="25"/>
          <w:szCs w:val="25"/>
        </w:rPr>
        <w:t>Аналитическая система Россельхознадзора</w:t>
      </w:r>
      <w:r>
        <w:rPr/>
        <w:t>.</w:t>
      </w:r>
    </w:p>
    <w:p>
      <w:pPr>
        <w:pStyle w:val="Style47"/>
        <w:spacing w:lineRule="auto" w:line="276"/>
        <w:rPr>
          <w:color w:themeColor="text1" w:val="000000"/>
        </w:rPr>
      </w:pPr>
      <w:r>
        <w:rPr>
          <w:color w:themeColor="text1" w:val="000000"/>
        </w:rPr>
        <w:t xml:space="preserve">Краткое наименование: </w:t>
      </w:r>
      <w:r>
        <w:rPr>
          <w:sz w:val="25"/>
          <w:szCs w:val="25"/>
        </w:rPr>
        <w:t>Система</w:t>
      </w:r>
      <w:r>
        <w:rPr>
          <w:color w:themeColor="text1" w:val="000000"/>
        </w:rPr>
        <w:t>.</w:t>
      </w:r>
    </w:p>
    <w:p>
      <w:pPr>
        <w:pStyle w:val="Heading2"/>
        <w:spacing w:lineRule="auto" w:line="276"/>
        <w:rPr>
          <w:color w:themeColor="text1" w:val="000000"/>
        </w:rPr>
      </w:pPr>
      <w:bookmarkStart w:id="34" w:name="_Toc240723492"/>
      <w:r>
        <w:rPr>
          <w:color w:themeColor="text1" w:val="000000"/>
        </w:rPr>
        <w:t xml:space="preserve">Основание для </w:t>
      </w:r>
      <w:bookmarkEnd w:id="31"/>
      <w:bookmarkEnd w:id="32"/>
      <w:bookmarkEnd w:id="33"/>
      <w:r>
        <w:rPr>
          <w:color w:themeColor="text1" w:val="000000"/>
        </w:rPr>
        <w:t>выполнения работ</w:t>
      </w:r>
      <w:bookmarkEnd w:id="34"/>
    </w:p>
    <w:p>
      <w:pPr>
        <w:pStyle w:val="311"/>
        <w:numPr>
          <w:ilvl w:val="2"/>
          <w:numId w:val="35"/>
        </w:numPr>
        <w:spacing w:lineRule="auto" w:line="276"/>
        <w:rPr/>
      </w:pPr>
      <w:bookmarkStart w:id="35" w:name="_Toc158900045"/>
      <w:bookmarkStart w:id="36" w:name="_Toc158884612"/>
      <w:bookmarkStart w:id="37" w:name="_Toc158900588"/>
      <w:r>
        <w:rPr/>
        <w:t>Ведомственная программа цифровой трансформации Россельхознадзора на период 2026 – 2028 года.</w:t>
      </w:r>
    </w:p>
    <w:p>
      <w:pPr>
        <w:pStyle w:val="311"/>
        <w:numPr>
          <w:ilvl w:val="2"/>
          <w:numId w:val="35"/>
        </w:numPr>
        <w:spacing w:lineRule="auto" w:line="276"/>
        <w:rPr/>
      </w:pPr>
      <w:r>
        <w:rPr/>
        <w:t>Отраслевые нормативно-правовые акты и нормативные документы, относящиеся к вопросам функционирования Системы.</w:t>
      </w:r>
    </w:p>
    <w:p>
      <w:pPr>
        <w:pStyle w:val="311"/>
        <w:numPr>
          <w:ilvl w:val="2"/>
          <w:numId w:val="35"/>
        </w:numPr>
        <w:spacing w:lineRule="auto" w:line="276"/>
        <w:rPr/>
      </w:pPr>
      <w:r>
        <w:rPr/>
        <w:t>Нормативно-правовые акты и нормативные документы, указанные в Приложении 4 к ТЗ.</w:t>
      </w:r>
    </w:p>
    <w:p>
      <w:pPr>
        <w:pStyle w:val="Heading2"/>
        <w:spacing w:lineRule="auto" w:line="276"/>
        <w:rPr>
          <w:color w:themeColor="text1" w:val="000000"/>
        </w:rPr>
      </w:pPr>
      <w:bookmarkStart w:id="38" w:name="TZ_B0058"/>
      <w:bookmarkStart w:id="39" w:name="_Toc240723493"/>
      <w:r>
        <w:rPr>
          <w:color w:themeColor="text1" w:val="000000"/>
        </w:rPr>
        <w:t>Участники</w:t>
      </w:r>
      <w:bookmarkEnd w:id="39"/>
      <w:r>
        <w:rPr>
          <w:color w:themeColor="text1" w:val="000000"/>
        </w:rPr>
        <w:t xml:space="preserve"> </w:t>
      </w:r>
      <w:bookmarkEnd w:id="35"/>
      <w:bookmarkEnd w:id="36"/>
      <w:bookmarkEnd w:id="37"/>
      <w:bookmarkEnd w:id="38"/>
    </w:p>
    <w:p>
      <w:pPr>
        <w:pStyle w:val="Style47"/>
        <w:spacing w:lineRule="auto" w:line="276"/>
        <w:rPr>
          <w:color w:themeColor="text1" w:val="000000"/>
        </w:rPr>
      </w:pPr>
      <w:bookmarkStart w:id="40" w:name="_Toc158884613"/>
      <w:bookmarkStart w:id="41" w:name="_Toc158900589"/>
      <w:bookmarkStart w:id="42" w:name="_Toc158900046"/>
      <w:r>
        <w:rPr>
          <w:color w:themeColor="text1" w:val="000000"/>
        </w:rPr>
        <w:t>Заказчик – Федеральное государственное бюджетное учреждение «Федеральный центр охраны здоровья животных» (ФГБУ «ВНИИЗЖ»)</w:t>
      </w:r>
    </w:p>
    <w:p>
      <w:pPr>
        <w:pStyle w:val="Style47"/>
        <w:spacing w:lineRule="auto" w:line="276"/>
        <w:rPr>
          <w:color w:themeColor="text1" w:val="000000"/>
        </w:rPr>
      </w:pPr>
      <w:r>
        <w:rPr>
          <w:color w:themeColor="text1" w:val="000000"/>
        </w:rPr>
        <w:t>Исполнитель – определяется по результату проведения открытого конкурса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pPr>
        <w:pStyle w:val="Heading2"/>
        <w:spacing w:lineRule="auto" w:line="276"/>
        <w:rPr>
          <w:color w:themeColor="text1" w:val="000000"/>
        </w:rPr>
      </w:pPr>
      <w:bookmarkStart w:id="43" w:name="_Toc240723494"/>
      <w:r>
        <w:rPr>
          <w:color w:themeColor="text1" w:val="000000"/>
        </w:rPr>
        <w:t>Источник финансирования</w:t>
      </w:r>
      <w:bookmarkEnd w:id="40"/>
      <w:bookmarkEnd w:id="41"/>
      <w:bookmarkEnd w:id="42"/>
      <w:bookmarkEnd w:id="43"/>
    </w:p>
    <w:p>
      <w:pPr>
        <w:pStyle w:val="Style47"/>
        <w:spacing w:lineRule="auto" w:line="276"/>
        <w:rPr/>
      </w:pPr>
      <w:r>
        <w:rPr>
          <w:color w:themeColor="text1" w:val="000000"/>
        </w:rPr>
        <w:t>Средства федерального бюджета в виде субсидии на иные цели (код субсидии 08-18) «Субсидия в целях проведения анализа, мониторинга, экспертизы, опросов, информационно-аналитического и организационно-технического обеспечения, содержания имущества, транспортного обслуживания, сбора и обработки статистической информации, предоставления полиграфических, телекоммуникационных, радиокоммуникационных, консультационных и методических услуг в целях обеспечения реализации полномочий федерального органа государственной власти, осуществляющего функции и полномочия учредителя федерального государственного учреждения» (направление финансирования: «Развитие Аналитической системы Россельхознадзора» в рамках комплекса процессных мероприятий «Организация ветеринарного и фитосанитарного надзора»), а также, при необходимости, внебюджетные средства от приносящей доход деятельности.</w:t>
      </w:r>
    </w:p>
    <w:p>
      <w:pPr>
        <w:pStyle w:val="Style47"/>
        <w:spacing w:lineRule="auto" w:line="276"/>
        <w:rPr>
          <w:color w:themeColor="text1" w:val="000000"/>
        </w:rPr>
      </w:pPr>
      <w:r>
        <w:rPr>
          <w:color w:themeColor="text1" w:val="000000"/>
        </w:rPr>
      </w:r>
    </w:p>
    <w:p>
      <w:pPr>
        <w:pStyle w:val="Heading2"/>
        <w:spacing w:lineRule="auto" w:line="276"/>
        <w:rPr>
          <w:color w:themeColor="text1" w:val="000000"/>
        </w:rPr>
      </w:pPr>
      <w:bookmarkStart w:id="44" w:name="_Toc240723495"/>
      <w:bookmarkStart w:id="45" w:name="_Toc158884614"/>
      <w:bookmarkStart w:id="46" w:name="_Toc158900047"/>
      <w:bookmarkStart w:id="47" w:name="_Toc158900590"/>
      <w:r>
        <w:rPr>
          <w:color w:themeColor="text1" w:val="000000"/>
        </w:rPr>
        <w:t xml:space="preserve">Сроки </w:t>
      </w:r>
      <w:bookmarkEnd w:id="45"/>
      <w:bookmarkEnd w:id="46"/>
      <w:bookmarkEnd w:id="47"/>
      <w:r>
        <w:rPr>
          <w:color w:themeColor="text1" w:val="000000"/>
        </w:rPr>
        <w:t>выполнения работ</w:t>
      </w:r>
      <w:bookmarkEnd w:id="44"/>
    </w:p>
    <w:p>
      <w:pPr>
        <w:pStyle w:val="Style47"/>
        <w:spacing w:lineRule="auto" w:line="276"/>
        <w:rPr>
          <w:color w:themeColor="text1" w:val="000000"/>
        </w:rPr>
      </w:pPr>
      <w:r>
        <w:rPr>
          <w:color w:themeColor="text1" w:val="000000"/>
        </w:rPr>
        <w:t>Указаны в Календарном плане (Приложение 1 к ТЗ).</w:t>
      </w:r>
    </w:p>
    <w:p>
      <w:pPr>
        <w:pStyle w:val="Heading2"/>
        <w:spacing w:lineRule="auto" w:line="276"/>
        <w:rPr>
          <w:color w:themeColor="text1" w:val="000000"/>
        </w:rPr>
      </w:pPr>
      <w:bookmarkStart w:id="48" w:name="_Toc158884616"/>
      <w:bookmarkStart w:id="49" w:name="_Toc158900592"/>
      <w:bookmarkStart w:id="50" w:name="_Toc158900049"/>
      <w:bookmarkStart w:id="51" w:name="_Toc240723496"/>
      <w:bookmarkStart w:id="52" w:name="_Toc158884615"/>
      <w:bookmarkStart w:id="53" w:name="_Toc158900591"/>
      <w:bookmarkStart w:id="54" w:name="_Toc158900048"/>
      <w:bookmarkStart w:id="55" w:name="_Toc158890025"/>
      <w:bookmarkEnd w:id="55"/>
      <w:r>
        <w:rPr>
          <w:color w:themeColor="text1" w:val="000000"/>
        </w:rPr>
        <w:t xml:space="preserve">Место </w:t>
      </w:r>
      <w:bookmarkEnd w:id="52"/>
      <w:bookmarkEnd w:id="53"/>
      <w:bookmarkEnd w:id="54"/>
      <w:r>
        <w:rPr>
          <w:color w:themeColor="text1" w:val="000000"/>
        </w:rPr>
        <w:t>нахождения Заказчика</w:t>
      </w:r>
      <w:bookmarkEnd w:id="51"/>
    </w:p>
    <w:p>
      <w:pPr>
        <w:pStyle w:val="Style47"/>
        <w:spacing w:lineRule="auto" w:line="276"/>
        <w:rPr>
          <w:color w:themeColor="text1" w:val="000000"/>
        </w:rPr>
      </w:pPr>
      <w:r>
        <w:rPr>
          <w:color w:themeColor="text1" w:val="000000"/>
        </w:rPr>
        <w:t>600901, г. Владимир, мкр. Юрьевец, ул.Гвардейская, д.6.</w:t>
      </w:r>
    </w:p>
    <w:p>
      <w:pPr>
        <w:pStyle w:val="Heading2"/>
        <w:spacing w:lineRule="auto" w:line="276"/>
        <w:rPr>
          <w:color w:themeColor="text1" w:val="000000"/>
        </w:rPr>
      </w:pPr>
      <w:bookmarkStart w:id="56" w:name="_Toc240723497"/>
      <w:r>
        <w:rPr>
          <w:color w:themeColor="text1" w:val="000000"/>
        </w:rPr>
        <w:t>Описание эксплуатируемой Системы</w:t>
      </w:r>
      <w:bookmarkEnd w:id="48"/>
      <w:bookmarkEnd w:id="49"/>
      <w:bookmarkEnd w:id="50"/>
      <w:bookmarkEnd w:id="56"/>
    </w:p>
    <w:p>
      <w:pPr>
        <w:pStyle w:val="Style47"/>
        <w:spacing w:lineRule="auto" w:line="276"/>
        <w:rPr>
          <w:color w:themeColor="text1" w:val="000000"/>
        </w:rPr>
      </w:pPr>
      <w:r>
        <w:rPr>
          <w:color w:themeColor="text1" w:val="000000"/>
        </w:rPr>
        <w:t>В соответствии с Документацией на Систему и Приложением № 5 к Техническому заданию.</w:t>
      </w:r>
    </w:p>
    <w:p>
      <w:pPr>
        <w:pStyle w:val="Heading2"/>
        <w:spacing w:lineRule="auto" w:line="276"/>
        <w:rPr>
          <w:color w:themeColor="text1" w:val="000000"/>
        </w:rPr>
      </w:pPr>
      <w:bookmarkStart w:id="57" w:name="_Toc158900593"/>
      <w:bookmarkStart w:id="58" w:name="_Toc158900050"/>
      <w:bookmarkStart w:id="59" w:name="_Toc158884617"/>
      <w:bookmarkStart w:id="60" w:name="_Toc240723498"/>
      <w:r>
        <w:rPr>
          <w:color w:themeColor="text1" w:val="000000"/>
        </w:rPr>
        <w:t>Цели и задачи</w:t>
      </w:r>
      <w:bookmarkEnd w:id="60"/>
      <w:r>
        <w:rPr>
          <w:color w:themeColor="text1" w:val="000000"/>
        </w:rPr>
        <w:t xml:space="preserve"> </w:t>
      </w:r>
      <w:bookmarkEnd w:id="57"/>
      <w:bookmarkEnd w:id="58"/>
      <w:bookmarkEnd w:id="59"/>
    </w:p>
    <w:p>
      <w:pPr>
        <w:pStyle w:val="Style98"/>
        <w:rPr>
          <w:b/>
          <w:sz w:val="24"/>
        </w:rPr>
      </w:pPr>
      <w:bookmarkStart w:id="61" w:name="_Toc158900594"/>
      <w:bookmarkStart w:id="62" w:name="_Toc158884618"/>
      <w:bookmarkStart w:id="63" w:name="_Toc158900051"/>
      <w:r>
        <w:rPr>
          <w:b/>
          <w:sz w:val="24"/>
        </w:rPr>
        <w:t>Цель</w:t>
      </w:r>
      <w:bookmarkEnd w:id="61"/>
      <w:bookmarkEnd w:id="62"/>
      <w:bookmarkEnd w:id="63"/>
    </w:p>
    <w:p>
      <w:pPr>
        <w:pStyle w:val="223"/>
        <w:spacing w:lineRule="auto" w:line="276"/>
        <w:rPr/>
      </w:pPr>
      <w:r>
        <w:rPr/>
        <w:t>Достижение ключевых результатов цифровой трансформации, установленных ведомственной программой цифровой трансформации Россельхознадзора на 2026 год и плановый период 2027-2028 годов и расширение автоматизации деятельности Федеральной службы по ветеринарному и фитосанитарному надзору (далее – Россельхознадзор) в сфере ветеринарного надзора в части совершенствования реализованной ранее функциональности, указанных в нижеприведённой таблице:</w:t>
      </w:r>
    </w:p>
    <w:p>
      <w:pPr>
        <w:pStyle w:val="223"/>
        <w:spacing w:lineRule="auto" w:line="276"/>
        <w:rPr/>
      </w:pPr>
      <w:r>
        <w:rPr/>
      </w:r>
    </w:p>
    <w:tbl>
      <w:tblPr>
        <w:tblStyle w:val="afff6"/>
        <w:tblW w:w="920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58"/>
        <w:gridCol w:w="8651"/>
      </w:tblGrid>
      <w:tr>
        <w:trPr/>
        <w:tc>
          <w:tcPr>
            <w:tcW w:w="558"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 xml:space="preserve">№ </w:t>
            </w:r>
            <w:r>
              <w:rPr>
                <w:rFonts w:eastAsia="Times New Roman"/>
                <w:kern w:val="0"/>
                <w:sz w:val="22"/>
                <w:lang w:val="ru-RU" w:eastAsia="ru-RU" w:bidi="ar-SA"/>
              </w:rPr>
              <w:t>п/п</w:t>
            </w:r>
          </w:p>
        </w:tc>
        <w:tc>
          <w:tcPr>
            <w:tcW w:w="8651"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Краткое наименование показателя</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создана подсистема цифровых индикаторов рисков</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w:t>
            </w:r>
          </w:p>
        </w:tc>
      </w:tr>
    </w:tbl>
    <w:p>
      <w:pPr>
        <w:pStyle w:val="Style47"/>
        <w:spacing w:lineRule="auto" w:line="276"/>
        <w:rPr>
          <w:color w:themeColor="text1" w:val="000000"/>
        </w:rPr>
      </w:pPr>
      <w:r>
        <w:rPr>
          <w:color w:themeColor="text1" w:val="000000"/>
        </w:rPr>
      </w:r>
    </w:p>
    <w:p>
      <w:pPr>
        <w:pStyle w:val="Style98"/>
        <w:rPr>
          <w:b/>
          <w:sz w:val="24"/>
        </w:rPr>
      </w:pPr>
      <w:bookmarkStart w:id="64" w:name="_Toc158884619"/>
      <w:bookmarkStart w:id="65" w:name="_Toc158900052"/>
      <w:bookmarkStart w:id="66" w:name="_Toc158900595"/>
      <w:r>
        <w:rPr>
          <w:b/>
          <w:sz w:val="24"/>
        </w:rPr>
        <w:t>Задачи</w:t>
      </w:r>
      <w:bookmarkEnd w:id="64"/>
      <w:bookmarkEnd w:id="65"/>
      <w:bookmarkEnd w:id="66"/>
    </w:p>
    <w:p>
      <w:pPr>
        <w:pStyle w:val="ItemizedList11"/>
        <w:numPr>
          <w:ilvl w:val="0"/>
          <w:numId w:val="37"/>
        </w:numPr>
        <w:tabs>
          <w:tab w:val="clear" w:pos="708"/>
          <w:tab w:val="left" w:pos="1134" w:leader="none"/>
        </w:tabs>
        <w:spacing w:lineRule="auto" w:line="276"/>
        <w:ind w:firstLine="709" w:start="0"/>
        <w:rPr/>
      </w:pPr>
      <w:bookmarkStart w:id="67" w:name="_Toc158884620"/>
      <w:bookmarkStart w:id="68" w:name="_Toc158884621"/>
      <w:bookmarkStart w:id="69" w:name="_Toc158900053"/>
      <w:bookmarkStart w:id="70" w:name="_Toc158900596"/>
      <w:r>
        <w:rPr/>
        <w:t>обследование отраслевых технологических процессов для уточнения требований к доработке Системы (разработка ЧТЗ);</w:t>
      </w:r>
    </w:p>
    <w:p>
      <w:pPr>
        <w:pStyle w:val="ItemizedList11"/>
        <w:numPr>
          <w:ilvl w:val="0"/>
          <w:numId w:val="37"/>
        </w:numPr>
        <w:tabs>
          <w:tab w:val="clear" w:pos="708"/>
          <w:tab w:val="left" w:pos="1134" w:leader="none"/>
        </w:tabs>
        <w:spacing w:lineRule="auto" w:line="276"/>
        <w:ind w:firstLine="709" w:start="0"/>
        <w:rPr/>
      </w:pPr>
      <w:r>
        <w:rPr/>
        <w:t>проведение технического проектирования (разработка документации на Систему и ее части);</w:t>
      </w:r>
    </w:p>
    <w:p>
      <w:pPr>
        <w:pStyle w:val="ItemizedList11"/>
        <w:numPr>
          <w:ilvl w:val="0"/>
          <w:numId w:val="37"/>
        </w:numPr>
        <w:tabs>
          <w:tab w:val="clear" w:pos="708"/>
          <w:tab w:val="left" w:pos="1134" w:leader="none"/>
        </w:tabs>
        <w:spacing w:lineRule="auto" w:line="276"/>
        <w:ind w:firstLine="709" w:start="0"/>
        <w:rPr/>
      </w:pPr>
      <w:r>
        <w:rPr/>
        <w:t>проведение рабочего проектирования (разработка или адаптация Системы, разработка рабочей документации);</w:t>
      </w:r>
    </w:p>
    <w:p>
      <w:pPr>
        <w:pStyle w:val="ItemizedList11"/>
        <w:numPr>
          <w:ilvl w:val="0"/>
          <w:numId w:val="37"/>
        </w:numPr>
        <w:tabs>
          <w:tab w:val="clear" w:pos="708"/>
          <w:tab w:val="left" w:pos="1134" w:leader="none"/>
        </w:tabs>
        <w:spacing w:lineRule="auto" w:line="276"/>
        <w:ind w:firstLine="709" w:start="0"/>
        <w:rPr/>
      </w:pPr>
      <w:r>
        <w:rPr/>
        <w:t>испытания модернизированной Системы (проведение предварительных испытаний, проведение опытной эксплуатации, проведение приемочных испытаний).</w:t>
      </w:r>
    </w:p>
    <w:p>
      <w:pPr>
        <w:pStyle w:val="Heading1"/>
        <w:spacing w:lineRule="auto" w:line="276"/>
        <w:ind w:firstLine="709"/>
        <w:rPr>
          <w:color w:themeColor="text1" w:val="000000"/>
        </w:rPr>
      </w:pPr>
      <w:bookmarkStart w:id="71" w:name="_Toc240723499"/>
      <w:r>
        <w:rPr>
          <w:color w:themeColor="text1" w:val="000000"/>
        </w:rPr>
        <w:t>Требования к выполнению работ</w:t>
      </w:r>
      <w:bookmarkEnd w:id="71"/>
    </w:p>
    <w:p>
      <w:pPr>
        <w:pStyle w:val="Heading2"/>
        <w:spacing w:lineRule="auto" w:line="276"/>
        <w:rPr/>
      </w:pPr>
      <w:bookmarkStart w:id="72" w:name="_Toc240723500"/>
      <w:bookmarkStart w:id="73" w:name="TZ_B0082"/>
      <w:bookmarkStart w:id="74" w:name="2.1"/>
      <w:r>
        <w:rPr>
          <w:color w:themeColor="text1" w:val="000000"/>
        </w:rPr>
        <w:t>Общие требования</w:t>
      </w:r>
      <w:bookmarkEnd w:id="68"/>
      <w:bookmarkEnd w:id="69"/>
      <w:bookmarkEnd w:id="70"/>
      <w:bookmarkEnd w:id="72"/>
      <w:bookmarkEnd w:id="73"/>
      <w:bookmarkEnd w:id="74"/>
    </w:p>
    <w:p>
      <w:pPr>
        <w:pStyle w:val="Heading3"/>
        <w:keepNext w:val="false"/>
        <w:keepLines w:val="false"/>
        <w:widowControl w:val="false"/>
        <w:spacing w:lineRule="auto" w:line="276"/>
        <w:ind w:firstLine="709" w:start="0"/>
        <w:rPr>
          <w:color w:themeColor="text1" w:val="000000"/>
        </w:rPr>
      </w:pPr>
      <w:bookmarkStart w:id="75" w:name="_Toc158884624"/>
      <w:bookmarkStart w:id="76" w:name="Q_TZ_2_1_1"/>
      <w:r>
        <w:rPr>
          <w:color w:themeColor="text1" w:val="000000"/>
        </w:rPr>
        <w:t>Исполнитель несёт ответственность</w:t>
      </w:r>
      <w:bookmarkEnd w:id="76"/>
      <w:r>
        <w:rPr>
          <w:color w:themeColor="text1" w:val="000000"/>
        </w:rPr>
        <w:t xml:space="preserve"> за достижение цели и решение задач, указанных в ТЗ, путём обеспечения выполнения его требований, но не ограничиваясь ими при необходимости.</w:t>
      </w:r>
      <w:bookmarkEnd w:id="75"/>
    </w:p>
    <w:p>
      <w:pPr>
        <w:pStyle w:val="Heading3"/>
        <w:keepNext w:val="false"/>
        <w:keepLines w:val="false"/>
        <w:widowControl w:val="false"/>
        <w:spacing w:lineRule="auto" w:line="276"/>
        <w:ind w:firstLine="709" w:start="0"/>
        <w:rPr>
          <w:color w:themeColor="text1" w:val="000000"/>
        </w:rPr>
      </w:pPr>
      <w:bookmarkStart w:id="77" w:name="_Toc158884625"/>
      <w:r>
        <w:rPr>
          <w:color w:themeColor="text1" w:val="000000"/>
        </w:rPr>
        <w:t>Выполнение работ должно осуществляться в соответствии с требованиями ТЗ, а также Документацией на Систему.</w:t>
      </w:r>
      <w:bookmarkEnd w:id="77"/>
    </w:p>
    <w:p>
      <w:pPr>
        <w:pStyle w:val="Heading3"/>
        <w:keepNext w:val="false"/>
        <w:keepLines w:val="false"/>
        <w:widowControl w:val="false"/>
        <w:spacing w:lineRule="auto" w:line="276"/>
        <w:ind w:firstLine="709" w:start="0"/>
        <w:rPr>
          <w:color w:themeColor="text1" w:val="000000"/>
        </w:rPr>
      </w:pPr>
      <w:bookmarkStart w:id="78" w:name="_Ref158802507"/>
      <w:bookmarkStart w:id="79" w:name="_Toc158884629"/>
      <w:bookmarkStart w:id="80" w:name="_Ref158802016"/>
      <w:bookmarkStart w:id="81" w:name="_Toc158884628"/>
      <w:bookmarkStart w:id="82" w:name="TZ_B0085"/>
      <w:r>
        <w:rPr>
          <w:color w:themeColor="text1" w:val="000000"/>
        </w:rPr>
        <w:t>Заказчик совместно с Исполнителем на этапе проведения технического проектирования, по взаимной договоренности, осуществляет распределение зон ответственности в отношении сред разработки и тестирования доработанного ЗПО Системы, необходимых для выполнения работ в рамках Контракта.</w:t>
      </w:r>
      <w:bookmarkEnd w:id="80"/>
      <w:bookmarkEnd w:id="81"/>
      <w:bookmarkEnd w:id="82"/>
    </w:p>
    <w:p>
      <w:pPr>
        <w:pStyle w:val="Heading3"/>
        <w:keepNext w:val="false"/>
        <w:keepLines w:val="false"/>
        <w:widowControl w:val="false"/>
        <w:spacing w:lineRule="auto" w:line="276"/>
        <w:ind w:firstLine="709" w:start="0"/>
        <w:rPr>
          <w:color w:themeColor="text1" w:val="000000"/>
        </w:rPr>
      </w:pPr>
      <w:bookmarkStart w:id="83" w:name="_Ref161664081"/>
      <w:r>
        <w:rPr>
          <w:color w:themeColor="text1" w:val="000000"/>
        </w:rPr>
        <w:t>Вся отчетная документация между Заказчиком и Исполнителем, должна оформляться на бумажном или машинном носителе информации (в случае если объём таких документов превышает два тома) и передаваться (предоставляться) нарочно под расписку их представителей о вручении, либо с использованием почтовой связи официальным письмом или заказным письмом с уведомлением о вручении.</w:t>
      </w:r>
      <w:bookmarkEnd w:id="78"/>
      <w:bookmarkEnd w:id="79"/>
      <w:bookmarkEnd w:id="83"/>
    </w:p>
    <w:p>
      <w:pPr>
        <w:pStyle w:val="Heading3"/>
        <w:keepNext w:val="false"/>
        <w:keepLines w:val="false"/>
        <w:widowControl w:val="false"/>
        <w:spacing w:lineRule="auto" w:line="276"/>
        <w:ind w:firstLine="709" w:start="0"/>
        <w:rPr>
          <w:color w:themeColor="text1" w:val="000000"/>
        </w:rPr>
      </w:pPr>
      <w:bookmarkStart w:id="84" w:name="_Toc158884630"/>
      <w:bookmarkStart w:id="85" w:name="_Ref158904308"/>
      <w:r>
        <w:rPr>
          <w:color w:themeColor="text1" w:val="000000"/>
        </w:rPr>
        <w:t xml:space="preserve">Все отчётные документы и материалы, указанные в приложении </w:t>
      </w:r>
      <w:r>
        <w:rPr>
          <w:vanish/>
          <w:color w:themeColor="text1" w:val="000000"/>
        </w:rPr>
        <w:t>Приложение</w:t>
      </w:r>
      <w:r>
        <w:rPr>
          <w:color w:themeColor="text1" w:val="000000"/>
        </w:rPr>
        <w:t xml:space="preserve"> 1 к ТЗ, а также документы и материалы, которые Исполнитель должен согласовывать с Заказчиком в соответствии с требованиями ТЗ, а также Документация на Систему подлежат оформлению и направлению в адрес последнего в порядке, установленном подпунктом 2.1.4 пункта 2.1 ТЗ. Заказчик должен рассматривать полученные документы и материалы и при отсутствии замечаний обеспечивать их согласование. При наличии замечаний, Заказчик должен направить отказ от согласования документов в установленном порядке.</w:t>
      </w:r>
      <w:bookmarkEnd w:id="84"/>
      <w:bookmarkEnd w:id="85"/>
    </w:p>
    <w:p>
      <w:pPr>
        <w:pStyle w:val="Heading3"/>
        <w:keepNext w:val="false"/>
        <w:keepLines w:val="false"/>
        <w:widowControl w:val="false"/>
        <w:spacing w:lineRule="auto" w:line="276"/>
        <w:ind w:firstLine="709" w:start="0"/>
        <w:rPr>
          <w:color w:themeColor="text1" w:val="000000"/>
        </w:rPr>
      </w:pPr>
      <w:bookmarkStart w:id="86" w:name="_Toc158884631"/>
      <w:r>
        <w:rPr>
          <w:color w:themeColor="text1" w:val="000000"/>
        </w:rPr>
        <w:t>Для оперативного рабочего взаимодействия в рамках исполнения Контракта допускается взаимное информирование между Заказчиком и Исполнителем с использованием средств электронной почты или иных средств информационного взаимодействия в электронном виде в соответствии с контактными данными, указанными в перечнях соответствующих представителей, указанных в подпункте 2.1.13 пункта 2.1 ТЗ.</w:t>
      </w:r>
      <w:bookmarkEnd w:id="86"/>
      <w:r>
        <w:rPr>
          <w:color w:themeColor="text1" w:val="000000"/>
        </w:rPr>
        <w:t xml:space="preserve"> </w:t>
      </w:r>
    </w:p>
    <w:p>
      <w:pPr>
        <w:pStyle w:val="Heading3"/>
        <w:keepNext w:val="false"/>
        <w:keepLines w:val="false"/>
        <w:widowControl w:val="false"/>
        <w:spacing w:lineRule="auto" w:line="276"/>
        <w:ind w:firstLine="709" w:start="0"/>
        <w:rPr>
          <w:color w:themeColor="text1" w:val="000000"/>
        </w:rPr>
      </w:pPr>
      <w:bookmarkStart w:id="87" w:name="_Toc158884632"/>
      <w:r>
        <w:rPr>
          <w:color w:themeColor="text1" w:val="000000"/>
        </w:rPr>
        <w:t>Каждое обращение к Заказчику от Исполнителя, должно содержать реквизиты соответствующего Контракта (договора) (номер, дата подписания, информация о Сторонах указанного контракта), а также указание конкретного пункта, в соответствии или на основании которого направляется такое обращение.</w:t>
      </w:r>
      <w:bookmarkEnd w:id="87"/>
    </w:p>
    <w:p>
      <w:pPr>
        <w:pStyle w:val="Heading3"/>
        <w:keepNext w:val="false"/>
        <w:keepLines w:val="false"/>
        <w:widowControl w:val="false"/>
        <w:spacing w:lineRule="auto" w:line="276"/>
        <w:ind w:firstLine="709" w:start="0"/>
        <w:rPr>
          <w:color w:themeColor="text1" w:val="000000"/>
        </w:rPr>
      </w:pPr>
      <w:bookmarkStart w:id="88" w:name="_Toc158884633"/>
      <w:r>
        <w:rPr>
          <w:color w:themeColor="text1" w:val="000000"/>
        </w:rPr>
        <w:t>Исполнитель должен обеспечить в соответствии с Гражданским кодексом Российской Федерации и гарантировать патентную и лицензионную чистоту всех применяемых в процессе исполнения Контракта технических и программных решений и средств и нести полную ответственность в случаях обращения к Заказчику претензий иных лиц, в том числе обладателей исключительных прав, связанных с возможным нарушением их прав.</w:t>
      </w:r>
      <w:bookmarkEnd w:id="88"/>
    </w:p>
    <w:p>
      <w:pPr>
        <w:pStyle w:val="Heading3"/>
        <w:keepNext w:val="false"/>
        <w:keepLines w:val="false"/>
        <w:widowControl w:val="false"/>
        <w:spacing w:lineRule="auto" w:line="276"/>
        <w:ind w:firstLine="709" w:start="0"/>
        <w:rPr>
          <w:color w:themeColor="text1" w:val="000000"/>
        </w:rPr>
      </w:pPr>
      <w:bookmarkStart w:id="89" w:name="_Toc158884634"/>
      <w:r>
        <w:rPr>
          <w:color w:themeColor="text1" w:val="000000"/>
        </w:rPr>
        <w:t>В порядке контроля за ходом исполнения Контракта, Исполнитель должен в течение 3 (трёх) рабочих дней с даты направления Заказчиком соответствующего уведомления предоставлять в установленном порядке последнему все документы и информацию, необходимые для проверки процесса исполнения Контракта.</w:t>
      </w:r>
      <w:bookmarkEnd w:id="89"/>
    </w:p>
    <w:p>
      <w:pPr>
        <w:pStyle w:val="Heading3"/>
        <w:keepNext w:val="false"/>
        <w:keepLines w:val="false"/>
        <w:widowControl w:val="false"/>
        <w:spacing w:lineRule="auto" w:line="276"/>
        <w:ind w:firstLine="709" w:start="0"/>
        <w:rPr>
          <w:color w:themeColor="text1" w:val="000000"/>
        </w:rPr>
      </w:pPr>
      <w:bookmarkStart w:id="90" w:name="_Toc158884635"/>
      <w:r>
        <w:rPr>
          <w:color w:themeColor="text1" w:val="000000"/>
        </w:rPr>
        <w:t>Вся информация, полученная Исполнителем в рамках реализации Контракта, должна признаваться конфиденциальной и не подлежать разглашению без письменного согласия Заказчика, за исключением случаев, прямо установленных законодательством Российской Федерации.</w:t>
      </w:r>
      <w:bookmarkEnd w:id="90"/>
    </w:p>
    <w:p>
      <w:pPr>
        <w:pStyle w:val="Heading3"/>
        <w:keepNext w:val="false"/>
        <w:keepLines w:val="false"/>
        <w:widowControl w:val="false"/>
        <w:spacing w:lineRule="auto" w:line="276"/>
        <w:ind w:firstLine="709" w:start="0"/>
        <w:rPr>
          <w:color w:themeColor="text1" w:val="000000"/>
        </w:rPr>
      </w:pPr>
      <w:bookmarkStart w:id="91" w:name="_Toc158884636"/>
      <w:r>
        <w:rPr>
          <w:color w:themeColor="text1" w:val="000000"/>
        </w:rPr>
        <w:t>Исполнитель несет ответственность за несанкционированное распространение информации.</w:t>
      </w:r>
      <w:bookmarkEnd w:id="91"/>
    </w:p>
    <w:p>
      <w:pPr>
        <w:pStyle w:val="Heading3"/>
        <w:keepNext w:val="false"/>
        <w:keepLines w:val="false"/>
        <w:widowControl w:val="false"/>
        <w:spacing w:lineRule="auto" w:line="276"/>
        <w:ind w:firstLine="709" w:start="0"/>
        <w:rPr>
          <w:color w:themeColor="text1" w:val="000000"/>
        </w:rPr>
      </w:pPr>
      <w:bookmarkStart w:id="92" w:name="TZ_B0094"/>
      <w:r>
        <w:rPr/>
        <w:t xml:space="preserve">В процессе исполнения Контракта должна обеспечиваться разработка Документации на Систему, которая передаётся Заказчику в установленном порядке в составе отчётных документов в соответствии с Календарным планом </w:t>
      </w:r>
      <w:r>
        <w:rPr>
          <w:color w:themeColor="text1" w:val="000000"/>
        </w:rPr>
        <w:t>(Приложение 1 к ТЗ).</w:t>
      </w:r>
      <w:bookmarkEnd w:id="92"/>
    </w:p>
    <w:p>
      <w:pPr>
        <w:pStyle w:val="Heading3"/>
        <w:spacing w:lineRule="auto" w:line="276"/>
        <w:ind w:firstLine="709" w:start="0"/>
        <w:rPr>
          <w:color w:themeColor="text1" w:val="000000"/>
        </w:rPr>
      </w:pPr>
      <w:bookmarkStart w:id="93" w:name="_Toc158884643"/>
      <w:bookmarkStart w:id="94" w:name="_Ref158802441"/>
      <w:r>
        <w:rPr>
          <w:color w:themeColor="text1" w:val="000000"/>
        </w:rPr>
        <w:t xml:space="preserve">Заказчик </w:t>
      </w:r>
      <w:r>
        <w:rPr/>
        <w:t>в соответствии с законодательством Российской Федерации устанавливает для Исполнителя следующие требования</w:t>
      </w:r>
      <w:r>
        <w:rPr>
          <w:color w:themeColor="text1" w:val="000000"/>
        </w:rPr>
        <w:t>:</w:t>
      </w:r>
      <w:bookmarkEnd w:id="93"/>
      <w:bookmarkEnd w:id="94"/>
    </w:p>
    <w:p>
      <w:pPr>
        <w:pStyle w:val="14"/>
        <w:numPr>
          <w:ilvl w:val="0"/>
          <w:numId w:val="4"/>
        </w:numPr>
        <w:spacing w:lineRule="auto" w:line="276"/>
        <w:ind w:firstLine="709" w:start="0"/>
        <w:rPr>
          <w:color w:themeColor="text1" w:val="000000"/>
        </w:rPr>
      </w:pPr>
      <w:r>
        <w:rPr>
          <w:color w:themeColor="text1" w:val="000000"/>
        </w:rPr>
        <w:t>Предоставление Исполнителем Заказчику в течении 2 (двух) рабочих дней с даты заключения Контракта перечня своих представителей (специалистов) по форме, указанной в приложении</w:t>
      </w:r>
      <w:r>
        <w:rPr>
          <w:vanish/>
          <w:color w:themeColor="text1" w:val="000000"/>
        </w:rPr>
        <w:t>Приложение</w:t>
      </w:r>
      <w:r>
        <w:rPr>
          <w:color w:themeColor="text1" w:val="000000"/>
        </w:rPr>
        <w:t xml:space="preserve"> 2 к ТЗ, уполномоченных на осуществление взаимодействия с Заказчиком в рамках исполнения Контракта.</w:t>
      </w:r>
    </w:p>
    <w:p>
      <w:pPr>
        <w:pStyle w:val="14"/>
        <w:numPr>
          <w:ilvl w:val="0"/>
          <w:numId w:val="4"/>
        </w:numPr>
        <w:spacing w:lineRule="auto" w:line="276"/>
        <w:ind w:firstLine="709" w:start="0"/>
        <w:rPr>
          <w:color w:themeColor="text1" w:val="000000"/>
        </w:rPr>
      </w:pPr>
      <w:r>
        <w:rPr>
          <w:color w:themeColor="text1" w:val="000000"/>
        </w:rPr>
        <w:t>Вышеуказанная информация должна быть направлена с учётом требований Федерального закона от 27.07.2006 № 152-ФЗ «О персональных данных».</w:t>
      </w:r>
    </w:p>
    <w:p>
      <w:pPr>
        <w:pStyle w:val="14"/>
        <w:numPr>
          <w:ilvl w:val="0"/>
          <w:numId w:val="4"/>
        </w:numPr>
        <w:spacing w:lineRule="auto" w:line="276"/>
        <w:ind w:firstLine="709" w:start="0"/>
        <w:rPr>
          <w:color w:themeColor="text1" w:val="000000"/>
        </w:rPr>
      </w:pPr>
      <w:r>
        <w:rPr>
          <w:color w:themeColor="text1" w:val="000000"/>
        </w:rPr>
        <w:t>Направление по месту нахождения Заказчика представителя Исполнителя, уполномоченного на получение реквизитов удалённого доступа к Системе, перечня представителей Заказчика, уполномоченных на осуществление взаимодействия с Исполнителем, а также Документации на Систему. (Факт передачи указанных сведений, материалов и Документации на Систему, с указанием их перечня, должен быть подтверждён путём оформления и подписания соответствующего Акта в произвольной форме).</w:t>
      </w:r>
    </w:p>
    <w:p>
      <w:pPr>
        <w:pStyle w:val="14"/>
        <w:numPr>
          <w:ilvl w:val="0"/>
          <w:numId w:val="4"/>
        </w:numPr>
        <w:spacing w:lineRule="auto" w:line="276"/>
        <w:ind w:firstLine="709" w:start="0"/>
        <w:rPr>
          <w:color w:themeColor="text1" w:val="000000"/>
        </w:rPr>
      </w:pPr>
      <w:r>
        <w:rPr>
          <w:color w:themeColor="text1" w:val="000000"/>
        </w:rPr>
        <w:t>После получения указанных реквизитов доступа Исполнитель в течение 1 (одного) рабочего дня обязан произвести их изменение и уведомить об этом Заказчика.</w:t>
      </w:r>
    </w:p>
    <w:p>
      <w:pPr>
        <w:pStyle w:val="Heading3"/>
        <w:spacing w:lineRule="auto" w:line="276"/>
        <w:ind w:firstLine="709" w:start="0"/>
        <w:rPr>
          <w:color w:themeColor="text1" w:val="000000"/>
        </w:rPr>
      </w:pPr>
      <w:r>
        <w:rPr>
          <w:color w:themeColor="text1" w:val="000000"/>
        </w:rPr>
        <w:t>Все созданные и использованные объекты интеллектуальной собственности подлежат отражению в отчетных документах Исполнителя по результатам исполнения Контракта.</w:t>
      </w:r>
    </w:p>
    <w:p>
      <w:pPr>
        <w:pStyle w:val="Heading2"/>
        <w:spacing w:lineRule="auto" w:line="276"/>
        <w:ind w:firstLine="709" w:start="426"/>
        <w:rPr>
          <w:color w:themeColor="text1" w:val="000000"/>
        </w:rPr>
      </w:pPr>
      <w:bookmarkStart w:id="95" w:name="_Toc240723501"/>
      <w:bookmarkStart w:id="96" w:name="TZ_B0101"/>
      <w:r>
        <w:rPr>
          <w:color w:themeColor="text1" w:val="000000"/>
        </w:rPr>
        <w:t>Требования к обследованию</w:t>
      </w:r>
      <w:bookmarkEnd w:id="95"/>
      <w:bookmarkEnd w:id="96"/>
    </w:p>
    <w:p>
      <w:pPr>
        <w:pStyle w:val="Normal"/>
        <w:spacing w:lineRule="auto" w:line="276"/>
        <w:ind w:firstLine="709"/>
        <w:rPr/>
      </w:pPr>
      <w:r>
        <w:rPr/>
        <w:t>Результаты обследования предметной области должны быть использованы при разработке ЧТЗ на развитие Системы.</w:t>
      </w:r>
    </w:p>
    <w:p>
      <w:pPr>
        <w:pStyle w:val="Heading2"/>
        <w:spacing w:lineRule="auto" w:line="276"/>
        <w:ind w:firstLine="709" w:start="426"/>
        <w:rPr>
          <w:color w:themeColor="text1" w:val="000000"/>
        </w:rPr>
      </w:pPr>
      <w:bookmarkStart w:id="97" w:name="_Toc240723502"/>
      <w:r>
        <w:rPr>
          <w:color w:themeColor="text1" w:val="000000"/>
        </w:rPr>
        <w:t>Требования к техническому проектированию</w:t>
      </w:r>
      <w:bookmarkEnd w:id="97"/>
    </w:p>
    <w:p>
      <w:pPr>
        <w:pStyle w:val="Style93"/>
        <w:spacing w:lineRule="auto" w:line="276"/>
        <w:ind w:firstLine="709"/>
        <w:rPr>
          <w:szCs w:val="24"/>
        </w:rPr>
      </w:pPr>
      <w:r>
        <w:rPr>
          <w:szCs w:val="24"/>
        </w:rPr>
        <w:t>В ходе проведения технического проектирования должна быть разработана, согласована и утверждена техническая документация в объеме, необходимом для описания полной совокупности проектных решений (в том числе по защите информации) и достаточном для дальнейшего выполнения работ по развитию Системы, в том числе описания проектных решений по автоматизируемым процессам деятельности, реализуемым посредством Системы, решений по архитектуре Системы, решений по содержанию, структуре и ограничениям целостности, используемых для создания базы данных Системы.</w:t>
      </w:r>
    </w:p>
    <w:p>
      <w:pPr>
        <w:pStyle w:val="Heading2"/>
        <w:spacing w:lineRule="auto" w:line="276"/>
        <w:ind w:firstLine="709" w:start="426"/>
        <w:rPr>
          <w:color w:themeColor="text1" w:val="000000"/>
        </w:rPr>
      </w:pPr>
      <w:bookmarkStart w:id="98" w:name="_Toc240723503"/>
      <w:r>
        <w:rPr>
          <w:color w:themeColor="text1" w:val="000000"/>
        </w:rPr>
        <w:t>Требования к рабочему проектированию</w:t>
      </w:r>
      <w:bookmarkEnd w:id="98"/>
    </w:p>
    <w:p>
      <w:pPr>
        <w:pStyle w:val="Style93"/>
        <w:spacing w:lineRule="auto" w:line="276"/>
        <w:ind w:firstLine="709"/>
        <w:rPr>
          <w:szCs w:val="24"/>
        </w:rPr>
      </w:pPr>
      <w:bookmarkStart w:id="99" w:name="_Toc158884642"/>
      <w:bookmarkStart w:id="100" w:name="_Toc158900055"/>
      <w:bookmarkStart w:id="101" w:name="_Toc158900598"/>
      <w:bookmarkEnd w:id="67"/>
      <w:r>
        <w:rPr>
          <w:szCs w:val="24"/>
        </w:rPr>
        <w:t>В ходе проведения рабочего проектирования должно быть осуществлено развитие Системы, выбор и адаптация приобретаемого программного обеспечения (при необходимости), а также разработка, согласование и утверждение технической документации, необходимой для выполнения работ по вводу Системы в эксплуатацию и ее эксплуатации, методической документации и порядка эксплуатации Системы, содержащего сведения, необходимые для выполнения работ по поддержанию уровня эксплуатационных характеристик (качества) Системы (в том числе по защите информации), установленных в проектных решениях, указанных в пункте 2.3 ТЗ.</w:t>
      </w:r>
    </w:p>
    <w:p>
      <w:pPr>
        <w:pStyle w:val="Heading2"/>
        <w:spacing w:lineRule="auto" w:line="276"/>
        <w:ind w:firstLine="709" w:start="426"/>
        <w:rPr>
          <w:color w:themeColor="text1" w:val="000000"/>
        </w:rPr>
      </w:pPr>
      <w:bookmarkStart w:id="102" w:name="_Toc240723504"/>
      <w:bookmarkStart w:id="103" w:name="TZ_B0107"/>
      <w:r>
        <w:rPr>
          <w:color w:themeColor="text1" w:val="000000"/>
        </w:rPr>
        <w:t>Требования к испытаниям</w:t>
      </w:r>
      <w:bookmarkEnd w:id="102"/>
      <w:bookmarkEnd w:id="103"/>
    </w:p>
    <w:p>
      <w:pPr>
        <w:pStyle w:val="Style93"/>
        <w:spacing w:lineRule="auto" w:line="276"/>
        <w:ind w:firstLine="709"/>
        <w:rPr>
          <w:szCs w:val="24"/>
        </w:rPr>
      </w:pPr>
      <w:r>
        <w:rPr>
          <w:szCs w:val="24"/>
        </w:rPr>
        <w:t>В ходе испытаний Системы должны быть проведены следующие последовательные мероприятия:</w:t>
      </w:r>
    </w:p>
    <w:p>
      <w:pPr>
        <w:pStyle w:val="Style93"/>
        <w:numPr>
          <w:ilvl w:val="0"/>
          <w:numId w:val="38"/>
        </w:numPr>
        <w:spacing w:lineRule="auto" w:line="276"/>
        <w:rPr>
          <w:szCs w:val="24"/>
        </w:rPr>
      </w:pPr>
      <w:r>
        <w:rPr>
          <w:szCs w:val="24"/>
        </w:rPr>
        <w:t>пусконаладочные работы;</w:t>
      </w:r>
    </w:p>
    <w:p>
      <w:pPr>
        <w:pStyle w:val="Style93"/>
        <w:numPr>
          <w:ilvl w:val="0"/>
          <w:numId w:val="38"/>
        </w:numPr>
        <w:spacing w:lineRule="auto" w:line="276"/>
        <w:rPr>
          <w:szCs w:val="24"/>
        </w:rPr>
      </w:pPr>
      <w:r>
        <w:rPr>
          <w:szCs w:val="24"/>
        </w:rPr>
        <w:t>предварительные испытания Системы;</w:t>
      </w:r>
    </w:p>
    <w:p>
      <w:pPr>
        <w:pStyle w:val="Style93"/>
        <w:numPr>
          <w:ilvl w:val="0"/>
          <w:numId w:val="38"/>
        </w:numPr>
        <w:spacing w:lineRule="auto" w:line="276"/>
        <w:rPr>
          <w:szCs w:val="24"/>
        </w:rPr>
      </w:pPr>
      <w:r>
        <w:rPr>
          <w:szCs w:val="24"/>
        </w:rPr>
        <w:t>опытная эксплуатация Системы;</w:t>
      </w:r>
    </w:p>
    <w:p>
      <w:pPr>
        <w:pStyle w:val="Style93"/>
        <w:numPr>
          <w:ilvl w:val="0"/>
          <w:numId w:val="38"/>
        </w:numPr>
        <w:spacing w:lineRule="auto" w:line="276"/>
        <w:rPr>
          <w:szCs w:val="24"/>
        </w:rPr>
      </w:pPr>
      <w:r>
        <w:rPr>
          <w:szCs w:val="24"/>
        </w:rPr>
        <w:t>приемочные испытания Системы;</w:t>
      </w:r>
    </w:p>
    <w:p>
      <w:pPr>
        <w:pStyle w:val="Style93"/>
        <w:spacing w:lineRule="auto" w:line="276"/>
        <w:ind w:firstLine="709"/>
        <w:rPr>
          <w:szCs w:val="24"/>
        </w:rPr>
      </w:pPr>
      <w:r>
        <w:rPr>
          <w:szCs w:val="24"/>
        </w:rPr>
        <w:t>В срок реализации последнего этапа, указанного в Приложении № 1 к ТЗ, включается срок на проведение вышеперечисленных мероприятий, а также подписание необходимых отчётных документов.</w:t>
      </w:r>
    </w:p>
    <w:p>
      <w:pPr>
        <w:pStyle w:val="Style93"/>
        <w:spacing w:lineRule="auto" w:line="276"/>
        <w:ind w:firstLine="709"/>
        <w:rPr>
          <w:szCs w:val="24"/>
        </w:rPr>
      </w:pPr>
      <w:r>
        <w:rPr>
          <w:szCs w:val="24"/>
        </w:rPr>
        <w:t>После завершения мероприятий по рабочему проектированию, а также пусконаладочных работ, проводятся предварительные испытания.</w:t>
      </w:r>
    </w:p>
    <w:p>
      <w:pPr>
        <w:pStyle w:val="Style93"/>
        <w:spacing w:lineRule="auto" w:line="276"/>
        <w:ind w:firstLine="709"/>
        <w:rPr>
          <w:szCs w:val="24"/>
        </w:rPr>
      </w:pPr>
      <w:r>
        <w:rPr>
          <w:szCs w:val="24"/>
        </w:rPr>
        <w:t>После успешного проведения предварительных испытаний должна быть проведена опытная эксплуатацию Системы.</w:t>
      </w:r>
    </w:p>
    <w:p>
      <w:pPr>
        <w:pStyle w:val="Style93"/>
        <w:spacing w:lineRule="auto" w:line="276"/>
        <w:ind w:firstLine="709"/>
        <w:rPr>
          <w:szCs w:val="24"/>
        </w:rPr>
      </w:pPr>
      <w:r>
        <w:rPr>
          <w:szCs w:val="24"/>
        </w:rPr>
        <w:t>После завершения опытной эксплуатации назначается дата проведения приёмочных испытаний.</w:t>
      </w:r>
    </w:p>
    <w:p>
      <w:pPr>
        <w:pStyle w:val="Style93"/>
        <w:spacing w:lineRule="auto" w:line="276"/>
        <w:ind w:firstLine="709"/>
        <w:rPr>
          <w:szCs w:val="24"/>
        </w:rPr>
      </w:pPr>
      <w:r>
        <w:rPr>
          <w:szCs w:val="24"/>
        </w:rPr>
        <w:t>По результатам испытаний и опытной эксплуатации при необходимости проводится доработка программного кода компонентов Системы и доработка соответствующей документации.</w:t>
      </w:r>
    </w:p>
    <w:p>
      <w:pPr>
        <w:pStyle w:val="Style93"/>
        <w:spacing w:lineRule="auto" w:line="276"/>
        <w:ind w:firstLine="709"/>
        <w:rPr>
          <w:szCs w:val="24"/>
        </w:rPr>
      </w:pPr>
      <w:r>
        <w:rPr>
          <w:szCs w:val="24"/>
        </w:rPr>
        <w:t>После завершения опытной эксплуатации проводятся приёмочные испытания.</w:t>
      </w:r>
    </w:p>
    <w:p>
      <w:pPr>
        <w:pStyle w:val="Style47"/>
        <w:spacing w:lineRule="auto" w:line="276"/>
        <w:rPr>
          <w:color w:themeColor="text1" w:val="000000"/>
        </w:rPr>
      </w:pPr>
      <w:r>
        <w:rPr>
          <w:color w:themeColor="text1" w:val="000000"/>
        </w:rPr>
        <w:t>До начала проведения предварительных и приемочных испытаний должны быть проведены процедуры согласования соответствующих указанным видам испытаний программ и методик испытаний.</w:t>
      </w:r>
    </w:p>
    <w:p>
      <w:pPr>
        <w:pStyle w:val="Style47"/>
        <w:spacing w:lineRule="auto" w:line="276"/>
        <w:rPr>
          <w:color w:themeColor="text1" w:val="000000"/>
        </w:rPr>
      </w:pPr>
      <w:r>
        <w:rPr>
          <w:color w:themeColor="text1" w:val="000000"/>
        </w:rPr>
        <w:t>До начала опытной эксплуатации должна быть согласована программа опытной эксплуатации.</w:t>
      </w:r>
    </w:p>
    <w:p>
      <w:pPr>
        <w:pStyle w:val="Style47"/>
        <w:spacing w:lineRule="auto" w:line="276"/>
        <w:rPr>
          <w:color w:themeColor="text1" w:val="000000"/>
        </w:rPr>
      </w:pPr>
      <w:r>
        <w:rPr>
          <w:color w:themeColor="text1" w:val="000000"/>
        </w:rPr>
        <w:t>Предварительные испытания включают: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предварительных испытаний, в соответствии с которыми осуществляется проверка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проверку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устранение выявленных при проведении таких испытаний неисправностей и внесение изменений в документацию и рабочую документацию на Систему;</w:t>
      </w:r>
    </w:p>
    <w:p>
      <w:pPr>
        <w:pStyle w:val="Style47"/>
        <w:numPr>
          <w:ilvl w:val="0"/>
          <w:numId w:val="39"/>
        </w:numPr>
        <w:spacing w:lineRule="auto" w:line="276"/>
        <w:ind w:firstLine="709" w:start="0"/>
        <w:rPr>
          <w:color w:themeColor="text1" w:val="000000"/>
        </w:rPr>
      </w:pPr>
      <w:r>
        <w:rPr>
          <w:color w:themeColor="text1" w:val="000000"/>
        </w:rPr>
        <w:t>оформление протокола испытаний и акта о приемке Системы в опытную эксплуатацию.</w:t>
      </w:r>
    </w:p>
    <w:p>
      <w:pPr>
        <w:pStyle w:val="Style47"/>
        <w:spacing w:lineRule="auto" w:line="276"/>
        <w:rPr>
          <w:color w:themeColor="text1" w:val="000000"/>
        </w:rPr>
      </w:pPr>
      <w:r>
        <w:rPr>
          <w:color w:themeColor="text1" w:val="000000"/>
        </w:rPr>
        <w:t>Этап проведения опытной эксплуатации включает: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опытную эксплуатацию Системы в соответствии с программой и методикой опытной эксплуатации;</w:t>
      </w:r>
    </w:p>
    <w:p>
      <w:pPr>
        <w:pStyle w:val="Style47"/>
        <w:numPr>
          <w:ilvl w:val="0"/>
          <w:numId w:val="39"/>
        </w:numPr>
        <w:spacing w:lineRule="auto" w:line="276"/>
        <w:ind w:firstLine="709" w:start="0"/>
        <w:rPr>
          <w:color w:themeColor="text1" w:val="000000"/>
        </w:rPr>
      </w:pPr>
      <w:r>
        <w:rPr>
          <w:color w:themeColor="text1" w:val="000000"/>
        </w:rPr>
        <w:t>доработку программного обеспечения Системы и дополнительную наладку технических средств в случае обнаружения недостатков, выявленных при опытной эксплуатации Системы;</w:t>
      </w:r>
    </w:p>
    <w:p>
      <w:pPr>
        <w:pStyle w:val="Style47"/>
        <w:numPr>
          <w:ilvl w:val="0"/>
          <w:numId w:val="39"/>
        </w:numPr>
        <w:spacing w:lineRule="auto" w:line="276"/>
        <w:ind w:firstLine="709" w:start="0"/>
        <w:rPr>
          <w:color w:themeColor="text1" w:val="000000"/>
        </w:rPr>
      </w:pPr>
      <w:r>
        <w:rPr>
          <w:color w:themeColor="text1" w:val="000000"/>
        </w:rPr>
        <w:t>оформление акта о завершении опытной эксплуатации, включающего перечень недостатков, которые необходимо устранить до начала эксплуатации Системы.</w:t>
      </w:r>
    </w:p>
    <w:p>
      <w:pPr>
        <w:pStyle w:val="Style47"/>
        <w:spacing w:lineRule="auto" w:line="276"/>
        <w:rPr>
          <w:color w:themeColor="text1" w:val="000000"/>
        </w:rPr>
      </w:pPr>
      <w:r>
        <w:rPr>
          <w:color w:themeColor="text1" w:val="000000"/>
        </w:rPr>
        <w:t>Этап проведения приемочных испытаний включает:</w:t>
      </w:r>
    </w:p>
    <w:p>
      <w:pPr>
        <w:pStyle w:val="Style47"/>
        <w:numPr>
          <w:ilvl w:val="0"/>
          <w:numId w:val="39"/>
        </w:numPr>
        <w:spacing w:lineRule="auto" w:line="276"/>
        <w:ind w:firstLine="709" w:start="0"/>
        <w:rPr>
          <w:color w:themeColor="text1" w:val="000000"/>
        </w:rPr>
      </w:pPr>
      <w:r>
        <w:rPr>
          <w:color w:themeColor="text1" w:val="000000"/>
        </w:rPr>
        <w:t>испытания Системы на соответствие техническому заданию на ее модернизацию в соответствии с программой и методикой приемочных испытаний;</w:t>
      </w:r>
    </w:p>
    <w:p>
      <w:pPr>
        <w:pStyle w:val="Style47"/>
        <w:numPr>
          <w:ilvl w:val="0"/>
          <w:numId w:val="39"/>
        </w:numPr>
        <w:spacing w:lineRule="auto" w:line="276"/>
        <w:ind w:firstLine="709" w:start="0"/>
        <w:rPr>
          <w:color w:themeColor="text1" w:val="000000"/>
        </w:rPr>
      </w:pPr>
      <w:r>
        <w:rPr>
          <w:color w:themeColor="text1" w:val="000000"/>
        </w:rPr>
        <w:t>анализ результатов устранения недостатков, указанных в акте о завершении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оформление акта о приемке Системы в эксплуатацию.</w:t>
      </w:r>
    </w:p>
    <w:p>
      <w:pPr>
        <w:pStyle w:val="Style47"/>
        <w:spacing w:lineRule="auto" w:line="276"/>
        <w:rPr>
          <w:color w:themeColor="text1" w:val="000000"/>
        </w:rPr>
      </w:pPr>
      <w:r>
        <w:rPr>
          <w:color w:themeColor="text1" w:val="000000"/>
        </w:rPr>
        <w:t>Объем и методы предварительных и приемочных испытаний определяются соответствующей «Программой и методикой испытаний».</w:t>
      </w:r>
    </w:p>
    <w:p>
      <w:pPr>
        <w:pStyle w:val="Style47"/>
        <w:spacing w:lineRule="auto" w:line="276"/>
        <w:rPr>
          <w:color w:themeColor="text1" w:val="000000"/>
        </w:rPr>
      </w:pPr>
      <w:r>
        <w:rPr>
          <w:color w:themeColor="text1" w:val="000000"/>
        </w:rPr>
        <w:t>Программа и методика приемочных испытаний разрабатывается с учетом результатов опытной эксплуатации, при этом проверки модернизированной Системы в части не устраненных высококритичных недостатков реализации модернизированной Системы, выявленных в процессе опытной эксплуатации, выносятся в специальный раздел программы приёмочных испытаний.</w:t>
      </w:r>
    </w:p>
    <w:p>
      <w:pPr>
        <w:pStyle w:val="Style47"/>
        <w:spacing w:lineRule="auto" w:line="276"/>
        <w:rPr>
          <w:color w:themeColor="text1" w:val="000000"/>
        </w:rPr>
      </w:pPr>
      <w:r>
        <w:rPr>
          <w:color w:themeColor="text1" w:val="000000"/>
        </w:rPr>
        <w:t>Приемка результатов выполнения работ осуществляется поэтапно в соответствии с Календарным планом.</w:t>
      </w:r>
    </w:p>
    <w:p>
      <w:pPr>
        <w:pStyle w:val="Style47"/>
        <w:spacing w:lineRule="auto" w:line="276"/>
        <w:rPr>
          <w:color w:themeColor="text1" w:val="000000"/>
        </w:rPr>
      </w:pPr>
      <w:r>
        <w:rPr>
          <w:color w:themeColor="text1" w:val="000000"/>
        </w:rPr>
        <w:t>Приемка результатов выполнения работ по этапам оформляется документом по приемке по отдельному этапу. Программная и эксплуатационная документация и другие результаты исполнения Контракта передаются Заказчику в соответствии с Календарным планом.</w:t>
      </w:r>
    </w:p>
    <w:p>
      <w:pPr>
        <w:pStyle w:val="Style47"/>
        <w:spacing w:lineRule="auto" w:line="276"/>
        <w:rPr>
          <w:color w:themeColor="text1" w:val="000000"/>
        </w:rPr>
      </w:pPr>
      <w:r>
        <w:rPr>
          <w:color w:themeColor="text1" w:val="000000"/>
        </w:rPr>
        <w:t>По завершении предварительных и приемочных испытаний оформляются соответствующие Акты, содержащие вывод о соответствии Системы предъявляемым требованиям, а также сроки устранения замечаний и реализации рекомендаций, данных в ходе испытаний.</w:t>
      </w:r>
    </w:p>
    <w:p>
      <w:pPr>
        <w:pStyle w:val="Style47"/>
        <w:spacing w:lineRule="auto" w:line="276"/>
        <w:rPr>
          <w:color w:themeColor="text1" w:val="000000"/>
        </w:rPr>
      </w:pPr>
      <w:r>
        <w:rPr>
          <w:color w:themeColor="text1" w:val="000000"/>
        </w:rPr>
        <w:t>В случае значительного отклонения Системы от требований, предъявляемых на испытаниях, сроки проведения испытаний могут быть перенесены/расширены в пределах сроков реализации мероприятий в соответствии с Календарным планом.</w:t>
      </w:r>
    </w:p>
    <w:p>
      <w:pPr>
        <w:pStyle w:val="Style47"/>
        <w:spacing w:lineRule="auto" w:line="276"/>
        <w:rPr>
          <w:color w:themeColor="text1" w:val="000000"/>
        </w:rPr>
      </w:pPr>
      <w:r>
        <w:rPr>
          <w:color w:themeColor="text1" w:val="000000"/>
        </w:rPr>
        <w:t>Выявленные отклонения от требований технического задания устраняются Исполнителем в сроки, согласованные с Заказчиком, в пределах сроков исполнения Контракта, установленных ТЗ.</w:t>
      </w:r>
    </w:p>
    <w:p>
      <w:pPr>
        <w:pStyle w:val="Heading1"/>
        <w:spacing w:lineRule="auto" w:line="276"/>
        <w:rPr>
          <w:color w:themeColor="text1" w:val="000000"/>
        </w:rPr>
      </w:pPr>
      <w:bookmarkStart w:id="104" w:name="_Toc240723505"/>
      <w:bookmarkStart w:id="105" w:name="TZ_B0142"/>
      <w:bookmarkStart w:id="106" w:name="_Toc158900601"/>
      <w:bookmarkStart w:id="107" w:name="_Toc158900058"/>
      <w:bookmarkStart w:id="108" w:name="_Toc158884673"/>
      <w:bookmarkEnd w:id="99"/>
      <w:bookmarkEnd w:id="100"/>
      <w:bookmarkEnd w:id="101"/>
      <w:r>
        <w:rPr>
          <w:color w:themeColor="text1" w:val="000000"/>
        </w:rPr>
        <w:t xml:space="preserve">Порядок рассмотрения результатов </w:t>
      </w:r>
      <w:bookmarkEnd w:id="106"/>
      <w:bookmarkEnd w:id="107"/>
      <w:bookmarkEnd w:id="108"/>
      <w:r>
        <w:rPr>
          <w:color w:themeColor="text1" w:val="000000"/>
        </w:rPr>
        <w:t>исполнения контракта</w:t>
      </w:r>
      <w:bookmarkEnd w:id="104"/>
      <w:bookmarkEnd w:id="105"/>
    </w:p>
    <w:p>
      <w:pPr>
        <w:pStyle w:val="Heading2"/>
        <w:spacing w:lineRule="auto" w:line="276"/>
        <w:ind w:firstLine="709" w:start="426"/>
        <w:rPr>
          <w:color w:themeColor="text1" w:val="000000"/>
        </w:rPr>
      </w:pPr>
      <w:bookmarkStart w:id="109" w:name="_Toc158884674"/>
      <w:bookmarkStart w:id="110" w:name="_Toc240723506"/>
      <w:bookmarkStart w:id="111" w:name="TZ_B0143"/>
      <w:bookmarkStart w:id="112" w:name="_Toc158900059"/>
      <w:bookmarkStart w:id="113" w:name="_Toc158900602"/>
      <w:r>
        <w:rPr>
          <w:color w:themeColor="text1" w:val="000000"/>
        </w:rPr>
        <w:t xml:space="preserve">Требования к срокам предоставления и рассмотрения результатов </w:t>
      </w:r>
      <w:bookmarkEnd w:id="112"/>
      <w:bookmarkEnd w:id="113"/>
      <w:r>
        <w:rPr>
          <w:color w:themeColor="text1" w:val="000000"/>
        </w:rPr>
        <w:t>исполнения Контракта</w:t>
      </w:r>
      <w:bookmarkEnd w:id="110"/>
      <w:bookmarkEnd w:id="111"/>
    </w:p>
    <w:p>
      <w:pPr>
        <w:pStyle w:val="Heading3"/>
        <w:spacing w:lineRule="auto" w:line="276"/>
        <w:ind w:firstLine="709" w:start="0"/>
        <w:rPr>
          <w:color w:themeColor="text1" w:val="000000"/>
        </w:rPr>
      </w:pPr>
      <w:bookmarkStart w:id="114" w:name="_Toc158900603"/>
      <w:bookmarkStart w:id="115" w:name="_Toc158900060"/>
      <w:r>
        <w:rPr>
          <w:color w:themeColor="text1" w:val="000000"/>
        </w:rPr>
        <w:t>Исполнитель должен в сроки, указанные в Контракте предоставить Заказчику отчётные документы и материалы, указанные в приложении 1 к ТЗ.</w:t>
      </w:r>
    </w:p>
    <w:p>
      <w:pPr>
        <w:pStyle w:val="Heading3"/>
        <w:spacing w:lineRule="auto" w:line="276"/>
        <w:ind w:firstLine="709" w:start="0"/>
        <w:rPr>
          <w:color w:themeColor="text1" w:val="000000"/>
        </w:rPr>
      </w:pPr>
      <w:r>
        <w:rPr>
          <w:color w:themeColor="text1" w:val="000000"/>
        </w:rPr>
        <w:t>Отчётные документы и материалы должны передаваться на бумажных и на машинных носителях информации (CD, DVD или USB-накопители).</w:t>
      </w:r>
    </w:p>
    <w:p>
      <w:pPr>
        <w:pStyle w:val="Heading3"/>
        <w:spacing w:lineRule="auto" w:line="276"/>
        <w:ind w:firstLine="709" w:start="0"/>
        <w:rPr>
          <w:color w:themeColor="text1" w:val="000000"/>
        </w:rPr>
      </w:pPr>
      <w:r>
        <w:rPr>
          <w:color w:themeColor="text1" w:val="000000"/>
        </w:rPr>
        <w:t>Заказчик рассматривает Отчётные документы и материалы и уведомляет Исполнителя о результатах указанного рассмотрения.</w:t>
      </w:r>
    </w:p>
    <w:p>
      <w:pPr>
        <w:pStyle w:val="Heading3"/>
        <w:spacing w:lineRule="auto" w:line="276"/>
        <w:ind w:firstLine="709" w:start="0"/>
        <w:rPr>
          <w:color w:themeColor="text1" w:val="000000"/>
        </w:rPr>
      </w:pPr>
      <w:bookmarkStart w:id="116" w:name="TZ_B0147"/>
      <w:r>
        <w:rPr>
          <w:color w:themeColor="text1" w:val="000000"/>
        </w:rPr>
        <w:t>При наличии замечаний со стороны Заказчика Исполнитель должен обеспечить их устранение и повторное направление Отчётных документов и материалов на рассмотрение.</w:t>
      </w:r>
      <w:bookmarkEnd w:id="116"/>
    </w:p>
    <w:p>
      <w:pPr>
        <w:pStyle w:val="Heading3"/>
        <w:spacing w:lineRule="auto" w:line="276"/>
        <w:ind w:firstLine="709" w:start="0"/>
        <w:rPr>
          <w:color w:themeColor="text1" w:val="000000"/>
        </w:rPr>
      </w:pPr>
      <w:r>
        <w:rPr>
          <w:color w:themeColor="text1" w:val="000000"/>
        </w:rPr>
        <w:t>В порядке контроля за ходом выполнения работ по Контракту Исполнитель должен в сроки, указанные в Контракте предоставить Заказчику или по его требованию третьим лицам всю документацию, материалы и сведения, необходимые для проверки процесса выполнения работ.</w:t>
      </w:r>
    </w:p>
    <w:p>
      <w:pPr>
        <w:pStyle w:val="Heading2"/>
        <w:spacing w:lineRule="auto" w:line="276"/>
        <w:ind w:firstLine="141" w:start="993"/>
        <w:rPr>
          <w:color w:themeColor="text1" w:val="000000"/>
        </w:rPr>
      </w:pPr>
      <w:bookmarkStart w:id="117" w:name="_Toc240723507"/>
      <w:r>
        <w:rPr>
          <w:color w:themeColor="text1" w:val="000000"/>
        </w:rPr>
        <w:t>Требования к оформлению отчётных документов</w:t>
      </w:r>
      <w:bookmarkEnd w:id="109"/>
      <w:bookmarkEnd w:id="114"/>
      <w:bookmarkEnd w:id="115"/>
      <w:bookmarkEnd w:id="117"/>
    </w:p>
    <w:p>
      <w:pPr>
        <w:pStyle w:val="Heading3"/>
        <w:spacing w:lineRule="auto" w:line="276"/>
        <w:ind w:firstLine="709" w:start="0"/>
        <w:rPr>
          <w:color w:themeColor="text1" w:val="000000"/>
          <w:szCs w:val="24"/>
        </w:rPr>
      </w:pPr>
      <w:r>
        <w:rPr>
          <w:color w:themeColor="text1" w:val="000000"/>
          <w:szCs w:val="24"/>
        </w:rPr>
        <w:t>Все отчётные документы, предусмотренные Календарным планом, приведённым в приложении 1 к ТЗ, и передаваемые на бумажном носителе информации, должны быть оформлены в 3 (трех) экземплярах, иметь подписанный со стороны Исполнителя титульный лист, быть сброшюрованными с применением пластиковых или металлических пружин, иметь прозрачную пластиковую обложку со стороны титульного листа документа и обложку из плотной бумаги в конце документа.</w:t>
      </w:r>
    </w:p>
    <w:p>
      <w:pPr>
        <w:pStyle w:val="Heading3"/>
        <w:spacing w:lineRule="auto" w:line="276"/>
        <w:ind w:firstLine="708" w:start="0"/>
        <w:rPr>
          <w:color w:themeColor="text1" w:val="000000"/>
          <w:szCs w:val="24"/>
        </w:rPr>
      </w:pPr>
      <w:r>
        <w:rPr>
          <w:color w:themeColor="text1" w:val="000000"/>
          <w:szCs w:val="24"/>
        </w:rPr>
        <w:t>В случае если количество листов документа превышает 220 (двести двадцать листов), то такой документ должен быть разделён на тома. При этом на титульных листах такого документа должен быть указан номер тома.</w:t>
      </w:r>
    </w:p>
    <w:p>
      <w:pPr>
        <w:pStyle w:val="Heading3"/>
        <w:spacing w:lineRule="auto" w:line="276"/>
        <w:ind w:firstLine="709" w:start="0"/>
        <w:rPr>
          <w:color w:themeColor="text1" w:val="000000"/>
          <w:szCs w:val="24"/>
        </w:rPr>
      </w:pPr>
      <w:r>
        <w:rPr>
          <w:color w:themeColor="text1" w:val="000000"/>
          <w:szCs w:val="24"/>
        </w:rPr>
        <w:t>На титульном листе в обязательном порядке должна быть указана следующая информация на русском языке:</w:t>
      </w:r>
    </w:p>
    <w:p>
      <w:pPr>
        <w:pStyle w:val="17"/>
        <w:numPr>
          <w:ilvl w:val="0"/>
          <w:numId w:val="8"/>
        </w:numPr>
        <w:spacing w:lineRule="auto" w:line="276"/>
        <w:rPr>
          <w:color w:themeColor="text1" w:val="000000"/>
        </w:rPr>
      </w:pPr>
      <w:r>
        <w:rPr>
          <w:color w:themeColor="text1" w:val="000000"/>
        </w:rPr>
        <w:t>наименование Исполнителя в соответствии с ЕГРЮЛ;</w:t>
      </w:r>
    </w:p>
    <w:p>
      <w:pPr>
        <w:pStyle w:val="17"/>
        <w:numPr>
          <w:ilvl w:val="0"/>
          <w:numId w:val="8"/>
        </w:numPr>
        <w:spacing w:lineRule="auto" w:line="276"/>
        <w:rPr>
          <w:color w:themeColor="text1" w:val="000000"/>
        </w:rPr>
      </w:pPr>
      <w:r>
        <w:rPr>
          <w:color w:themeColor="text1" w:val="000000"/>
        </w:rPr>
        <w:t>должность лица Исполнителя, утвердившего документ;</w:t>
      </w:r>
    </w:p>
    <w:p>
      <w:pPr>
        <w:pStyle w:val="17"/>
        <w:numPr>
          <w:ilvl w:val="0"/>
          <w:numId w:val="8"/>
        </w:numPr>
        <w:spacing w:lineRule="auto" w:line="276"/>
        <w:rPr>
          <w:color w:themeColor="text1" w:val="000000"/>
        </w:rPr>
      </w:pPr>
      <w:r>
        <w:rPr>
          <w:color w:themeColor="text1" w:val="000000"/>
        </w:rPr>
        <w:t>ФИО лица Исполнителя, утвердившего документ;</w:t>
      </w:r>
    </w:p>
    <w:p>
      <w:pPr>
        <w:pStyle w:val="17"/>
        <w:numPr>
          <w:ilvl w:val="0"/>
          <w:numId w:val="8"/>
        </w:numPr>
        <w:spacing w:lineRule="auto" w:line="276"/>
        <w:rPr>
          <w:color w:themeColor="text1" w:val="000000"/>
        </w:rPr>
      </w:pPr>
      <w:r>
        <w:rPr>
          <w:color w:themeColor="text1" w:val="000000"/>
        </w:rPr>
        <w:t>дата утверждения документа со стороны Исполнителя;</w:t>
      </w:r>
    </w:p>
    <w:p>
      <w:pPr>
        <w:pStyle w:val="17"/>
        <w:numPr>
          <w:ilvl w:val="0"/>
          <w:numId w:val="8"/>
        </w:numPr>
        <w:spacing w:lineRule="auto" w:line="276"/>
        <w:rPr>
          <w:color w:themeColor="text1" w:val="000000"/>
        </w:rPr>
      </w:pPr>
      <w:r>
        <w:rPr>
          <w:color w:themeColor="text1" w:val="000000"/>
        </w:rPr>
        <w:t>наименование документа, строго соответствующее указанному в Календарном плане;</w:t>
      </w:r>
    </w:p>
    <w:p>
      <w:pPr>
        <w:pStyle w:val="17"/>
        <w:numPr>
          <w:ilvl w:val="0"/>
          <w:numId w:val="8"/>
        </w:numPr>
        <w:spacing w:lineRule="auto" w:line="276"/>
        <w:rPr>
          <w:color w:themeColor="text1" w:val="000000"/>
        </w:rPr>
      </w:pPr>
      <w:r>
        <w:rPr>
          <w:color w:themeColor="text1" w:val="000000"/>
        </w:rPr>
        <w:t>предмет контракта;</w:t>
      </w:r>
    </w:p>
    <w:p>
      <w:pPr>
        <w:pStyle w:val="17"/>
        <w:numPr>
          <w:ilvl w:val="0"/>
          <w:numId w:val="8"/>
        </w:numPr>
        <w:spacing w:lineRule="auto" w:line="276"/>
        <w:rPr>
          <w:color w:themeColor="text1" w:val="000000"/>
        </w:rPr>
      </w:pPr>
      <w:r>
        <w:rPr>
          <w:color w:themeColor="text1" w:val="000000"/>
        </w:rPr>
        <w:t xml:space="preserve">№ </w:t>
      </w:r>
      <w:r>
        <w:rPr>
          <w:color w:themeColor="text1" w:val="000000"/>
        </w:rPr>
        <w:t>тома (при необходимости);</w:t>
      </w:r>
    </w:p>
    <w:p>
      <w:pPr>
        <w:pStyle w:val="17"/>
        <w:numPr>
          <w:ilvl w:val="0"/>
          <w:numId w:val="8"/>
        </w:numPr>
        <w:spacing w:lineRule="auto" w:line="276"/>
        <w:rPr>
          <w:color w:themeColor="text1" w:val="000000"/>
        </w:rPr>
      </w:pPr>
      <w:r>
        <w:rPr>
          <w:color w:themeColor="text1" w:val="000000"/>
        </w:rPr>
        <w:t>количество листов документа;</w:t>
      </w:r>
    </w:p>
    <w:p>
      <w:pPr>
        <w:pStyle w:val="17"/>
        <w:numPr>
          <w:ilvl w:val="0"/>
          <w:numId w:val="8"/>
        </w:numPr>
        <w:spacing w:lineRule="auto" w:line="276"/>
        <w:rPr>
          <w:color w:themeColor="text1" w:val="000000"/>
        </w:rPr>
      </w:pPr>
      <w:r>
        <w:rPr>
          <w:color w:themeColor="text1" w:val="000000"/>
        </w:rPr>
        <w:t>год составления.</w:t>
      </w:r>
    </w:p>
    <w:p>
      <w:pPr>
        <w:pStyle w:val="Heading3"/>
        <w:spacing w:lineRule="auto" w:line="276"/>
        <w:ind w:firstLine="709" w:start="0"/>
        <w:rPr/>
      </w:pPr>
      <w:r>
        <w:rPr/>
        <w:t xml:space="preserve">Все файлы отчётных документов, передаваемые на машинном носителе информации, должны иметь имена, строго соответствующие названиям документов или их разделов, указанных в Календарном плане, а также быть сохранены в форматах: docx или </w:t>
      </w:r>
      <w:r>
        <w:rPr>
          <w:lang w:val="en-US"/>
        </w:rPr>
        <w:t>odt</w:t>
      </w:r>
      <w:r>
        <w:rPr/>
        <w:t xml:space="preserve"> (ODF формат для текстовых документов), </w:t>
      </w:r>
      <w:r>
        <w:rPr>
          <w:lang w:val="en-US"/>
        </w:rPr>
        <w:t>xlsx</w:t>
      </w:r>
      <w:r>
        <w:rPr/>
        <w:t xml:space="preserve"> или </w:t>
      </w:r>
      <w:r>
        <w:rPr>
          <w:lang w:val="en-US"/>
        </w:rPr>
        <w:t>ods</w:t>
      </w:r>
      <w:r>
        <w:rPr/>
        <w:t xml:space="preserve"> (ODF формат для электронных таблиц).</w:t>
      </w:r>
    </w:p>
    <w:p>
      <w:pPr>
        <w:pStyle w:val="Heading3"/>
        <w:spacing w:lineRule="auto" w:line="276"/>
        <w:ind w:firstLine="709" w:start="0"/>
        <w:rPr>
          <w:szCs w:val="24"/>
        </w:rPr>
      </w:pPr>
      <w:r>
        <w:rPr>
          <w:szCs w:val="24"/>
        </w:rPr>
        <w:t>Документация и материалы передаются на:</w:t>
      </w:r>
    </w:p>
    <w:p>
      <w:pPr>
        <w:pStyle w:val="Style93"/>
        <w:numPr>
          <w:ilvl w:val="0"/>
          <w:numId w:val="40"/>
        </w:numPr>
        <w:spacing w:lineRule="auto" w:line="276"/>
        <w:rPr>
          <w:szCs w:val="24"/>
        </w:rPr>
      </w:pPr>
      <w:r>
        <w:rPr>
          <w:szCs w:val="24"/>
        </w:rPr>
        <w:t>бумажных носителях в трех экземпляре;</w:t>
      </w:r>
    </w:p>
    <w:p>
      <w:pPr>
        <w:pStyle w:val="Style93"/>
        <w:numPr>
          <w:ilvl w:val="0"/>
          <w:numId w:val="40"/>
        </w:numPr>
        <w:spacing w:lineRule="auto" w:line="276"/>
        <w:rPr>
          <w:szCs w:val="24"/>
        </w:rPr>
      </w:pPr>
      <w:r>
        <w:rPr>
          <w:szCs w:val="24"/>
        </w:rPr>
        <w:t>машинном носителе в одном экземпляре.</w:t>
      </w:r>
    </w:p>
    <w:p>
      <w:pPr>
        <w:pStyle w:val="Heading3"/>
        <w:numPr>
          <w:ilvl w:val="0"/>
          <w:numId w:val="0"/>
        </w:numPr>
        <w:spacing w:lineRule="auto" w:line="276"/>
        <w:ind w:hanging="0" w:start="709"/>
        <w:rPr>
          <w:szCs w:val="24"/>
        </w:rPr>
      </w:pPr>
      <w:r>
        <w:rPr>
          <w:szCs w:val="24"/>
        </w:rPr>
        <w:t>Документация, передаваемая на машинном носителе информации, включает:</w:t>
      </w:r>
    </w:p>
    <w:p>
      <w:pPr>
        <w:pStyle w:val="Style93"/>
        <w:spacing w:lineRule="auto" w:line="276"/>
        <w:ind w:firstLine="709"/>
        <w:rPr>
          <w:szCs w:val="24"/>
        </w:rPr>
      </w:pPr>
      <w:r>
        <w:rPr>
          <w:szCs w:val="24"/>
        </w:rPr>
        <w:t>1) документы в формате pdf, которые полностью идентичны документам на бумажных носителях;</w:t>
      </w:r>
    </w:p>
    <w:p>
      <w:pPr>
        <w:pStyle w:val="Style93"/>
        <w:spacing w:lineRule="auto" w:line="276"/>
        <w:ind w:firstLine="709"/>
        <w:rPr>
          <w:szCs w:val="24"/>
        </w:rPr>
      </w:pPr>
      <w:r>
        <w:rPr>
          <w:szCs w:val="24"/>
        </w:rPr>
        <w:t>2) электронные документы в форматах тех программных продуктов, в которых они изготовлены, с возможностью дальнейшей работы и редактирования.</w:t>
      </w:r>
    </w:p>
    <w:p>
      <w:pPr>
        <w:pStyle w:val="Style93"/>
        <w:spacing w:lineRule="auto" w:line="276"/>
        <w:ind w:firstLine="709"/>
        <w:rPr>
          <w:szCs w:val="24"/>
        </w:rPr>
      </w:pPr>
      <w:r>
        <w:rPr>
          <w:szCs w:val="24"/>
        </w:rPr>
        <w:t>Документация на модернизированную Систему должна удовлетворять требованиям комплекса стандартов и руководящих документов на автоматизированные системы:</w:t>
      </w:r>
    </w:p>
    <w:p>
      <w:pPr>
        <w:pStyle w:val="Style93"/>
        <w:numPr>
          <w:ilvl w:val="0"/>
          <w:numId w:val="41"/>
        </w:numPr>
        <w:spacing w:lineRule="auto" w:line="276"/>
        <w:rPr>
          <w:szCs w:val="24"/>
        </w:rPr>
      </w:pPr>
      <w:r>
        <w:rPr>
          <w:szCs w:val="24"/>
        </w:rPr>
        <w:t>ГОСТ Р 59853-2021 – в части терминологии;</w:t>
      </w:r>
    </w:p>
    <w:p>
      <w:pPr>
        <w:pStyle w:val="Style93"/>
        <w:numPr>
          <w:ilvl w:val="0"/>
          <w:numId w:val="41"/>
        </w:numPr>
        <w:spacing w:lineRule="auto" w:line="276"/>
        <w:rPr>
          <w:szCs w:val="24"/>
        </w:rPr>
      </w:pPr>
      <w:r>
        <w:rPr>
          <w:szCs w:val="24"/>
        </w:rPr>
        <w:t>ГОСТ 19.201-78 – в части содержания документа «Частное техническое задание»;</w:t>
      </w:r>
    </w:p>
    <w:p>
      <w:pPr>
        <w:pStyle w:val="Style93"/>
        <w:numPr>
          <w:ilvl w:val="0"/>
          <w:numId w:val="41"/>
        </w:numPr>
        <w:spacing w:lineRule="auto" w:line="276"/>
        <w:rPr>
          <w:szCs w:val="24"/>
        </w:rPr>
      </w:pPr>
      <w:r>
        <w:rPr>
          <w:szCs w:val="24"/>
        </w:rPr>
        <w:t>ГОСТ Р 59795-2021 – в части содержания документа «Ведомость технического проекта»;</w:t>
      </w:r>
    </w:p>
    <w:p>
      <w:pPr>
        <w:pStyle w:val="Style93"/>
        <w:numPr>
          <w:ilvl w:val="0"/>
          <w:numId w:val="41"/>
        </w:numPr>
        <w:spacing w:lineRule="auto" w:line="276"/>
        <w:rPr>
          <w:szCs w:val="24"/>
        </w:rPr>
      </w:pPr>
      <w:r>
        <w:rPr>
          <w:szCs w:val="24"/>
        </w:rPr>
        <w:t>ГОСТ 19.404-79 – в части содержания документа «Пояснительная записка»;</w:t>
      </w:r>
    </w:p>
    <w:p>
      <w:pPr>
        <w:pStyle w:val="Style93"/>
        <w:numPr>
          <w:ilvl w:val="0"/>
          <w:numId w:val="41"/>
        </w:numPr>
        <w:spacing w:lineRule="auto" w:line="276"/>
        <w:rPr>
          <w:szCs w:val="24"/>
        </w:rPr>
      </w:pPr>
      <w:r>
        <w:rPr>
          <w:szCs w:val="24"/>
        </w:rPr>
        <w:t>ГОСТ 19.507-79 – в части содержания документа «Ведомость эксплуатационных документов»;</w:t>
      </w:r>
    </w:p>
    <w:p>
      <w:pPr>
        <w:pStyle w:val="Style93"/>
        <w:numPr>
          <w:ilvl w:val="0"/>
          <w:numId w:val="41"/>
        </w:numPr>
        <w:spacing w:lineRule="auto" w:line="276"/>
        <w:rPr>
          <w:szCs w:val="24"/>
        </w:rPr>
      </w:pPr>
      <w:r>
        <w:rPr>
          <w:szCs w:val="24"/>
        </w:rPr>
        <w:t>ГОСТ 19.402-78 – в части содержания документа «Описание программы»;</w:t>
      </w:r>
    </w:p>
    <w:p>
      <w:pPr>
        <w:pStyle w:val="Style93"/>
        <w:numPr>
          <w:ilvl w:val="0"/>
          <w:numId w:val="41"/>
        </w:numPr>
        <w:spacing w:lineRule="auto" w:line="276"/>
        <w:rPr>
          <w:szCs w:val="24"/>
        </w:rPr>
      </w:pPr>
      <w:r>
        <w:rPr>
          <w:szCs w:val="24"/>
        </w:rPr>
        <w:t>ГОСТ 19.503-79 – в части содержания документа «Руководство (системного) программиста»;</w:t>
      </w:r>
    </w:p>
    <w:p>
      <w:pPr>
        <w:pStyle w:val="Style93"/>
        <w:numPr>
          <w:ilvl w:val="0"/>
          <w:numId w:val="41"/>
        </w:numPr>
        <w:spacing w:lineRule="auto" w:line="276"/>
        <w:rPr>
          <w:szCs w:val="24"/>
        </w:rPr>
      </w:pPr>
      <w:r>
        <w:rPr>
          <w:szCs w:val="24"/>
        </w:rPr>
        <w:t>ГОСТ Р 59795-2021 – в части содержания документа «Руководство оператора»;</w:t>
      </w:r>
    </w:p>
    <w:p>
      <w:pPr>
        <w:pStyle w:val="Style93"/>
        <w:numPr>
          <w:ilvl w:val="0"/>
          <w:numId w:val="41"/>
        </w:numPr>
        <w:spacing w:lineRule="auto" w:line="276"/>
        <w:rPr>
          <w:szCs w:val="24"/>
        </w:rPr>
      </w:pPr>
      <w:r>
        <w:rPr>
          <w:szCs w:val="24"/>
        </w:rPr>
        <w:t>ГОСТ Р 59795-2021 – в части содержания документа «Руководство администратора»;</w:t>
      </w:r>
    </w:p>
    <w:p>
      <w:pPr>
        <w:pStyle w:val="Style93"/>
        <w:numPr>
          <w:ilvl w:val="0"/>
          <w:numId w:val="41"/>
        </w:numPr>
        <w:spacing w:lineRule="auto" w:line="276"/>
        <w:rPr>
          <w:szCs w:val="24"/>
        </w:rPr>
      </w:pPr>
      <w:r>
        <w:rPr>
          <w:szCs w:val="24"/>
        </w:rPr>
        <w:t>ГОСТ Р 59795-2021 – в части содержания документов «Программа и методика испытаний».</w:t>
      </w:r>
    </w:p>
    <w:p>
      <w:pPr>
        <w:pStyle w:val="Style93"/>
        <w:spacing w:lineRule="auto" w:line="276"/>
        <w:ind w:firstLine="709"/>
        <w:rPr>
          <w:szCs w:val="24"/>
        </w:rPr>
      </w:pPr>
      <w:r>
        <w:rPr>
          <w:szCs w:val="24"/>
        </w:rPr>
        <w:t>Комплект эксплуатационной документации на модернизированную Систему должен содержать сведения, достаточные для эксплуатации Системы, в том числе как заказного программного обеспечения (серверной составляющей специального программного обеспечения).</w:t>
      </w:r>
    </w:p>
    <w:p>
      <w:pPr>
        <w:pStyle w:val="Style93"/>
        <w:spacing w:lineRule="auto" w:line="276"/>
        <w:rPr>
          <w:szCs w:val="24"/>
        </w:rPr>
      </w:pPr>
      <w:r>
        <w:rPr>
          <w:szCs w:val="24"/>
        </w:rPr>
        <w:t>В части программного обеспечения Системы документация должна содержать исчерпывающее описание по ГОСТ серии 19.ХХХ, обеспечивающее его установку, настройку, эксплуатацию и сопровождение (технические требования (спецификации), руководство системного программиста, руководства оператора, руководство администратора).</w:t>
      </w:r>
    </w:p>
    <w:p>
      <w:pPr>
        <w:pStyle w:val="Style93"/>
        <w:spacing w:lineRule="auto" w:line="276"/>
        <w:ind w:firstLine="709"/>
        <w:rPr>
          <w:szCs w:val="24"/>
        </w:rPr>
      </w:pPr>
      <w:r>
        <w:rPr>
          <w:szCs w:val="24"/>
        </w:rPr>
        <w:t>При разработке документов должно быть учтено следующее:</w:t>
      </w:r>
    </w:p>
    <w:p>
      <w:pPr>
        <w:pStyle w:val="Style93"/>
        <w:numPr>
          <w:ilvl w:val="0"/>
          <w:numId w:val="41"/>
        </w:numPr>
        <w:spacing w:lineRule="auto" w:line="276"/>
        <w:rPr>
          <w:spacing w:val="-2"/>
          <w:szCs w:val="24"/>
        </w:rPr>
      </w:pPr>
      <w:r>
        <w:rPr>
          <w:spacing w:val="-2"/>
          <w:szCs w:val="24"/>
        </w:rPr>
        <w:t>до начала приемочных испытаний Исполнитель передает Заказчику реквизиты доступа к модернизированной Системе, необходимые для ее развертывания и эксплуатации. Указанные сведения включаются в документ «Руководство системного программиста» по ГОСТ 19.503-79 ЕСПД;</w:t>
      </w:r>
    </w:p>
    <w:p>
      <w:pPr>
        <w:pStyle w:val="Style93"/>
        <w:numPr>
          <w:ilvl w:val="0"/>
          <w:numId w:val="41"/>
        </w:numPr>
        <w:spacing w:lineRule="auto" w:line="276"/>
        <w:rPr>
          <w:szCs w:val="24"/>
        </w:rPr>
      </w:pPr>
      <w:r>
        <w:rPr>
          <w:szCs w:val="24"/>
        </w:rPr>
        <w:t>Документы «Руководство оператора» и иные документы, регламентирующие деятельность персонала при работе с Системой, должны содержать описание выполнения операций (действий) пользователей в технологическом процессе использования Системы. Таким образом, описательная часть должна строиться на основе порядка действий персонала в рамках автоматизируемых Системой процессов, а не сводится к описанию (перечислению) функций Системы. При этом в указанных документах должна быть отражена работа всех функций по подсистемам Системы;</w:t>
      </w:r>
    </w:p>
    <w:p>
      <w:pPr>
        <w:pStyle w:val="Style93"/>
        <w:numPr>
          <w:ilvl w:val="0"/>
          <w:numId w:val="41"/>
        </w:numPr>
        <w:spacing w:lineRule="auto" w:line="276"/>
        <w:rPr>
          <w:szCs w:val="24"/>
        </w:rPr>
      </w:pPr>
      <w:r>
        <w:rPr>
          <w:szCs w:val="24"/>
        </w:rPr>
        <w:t>Пояснительная записка должна обязательна включать: описание архитектуры Системы; описание ролей и полномочий пользователей Системы; описание структуры запросов Системы;</w:t>
      </w:r>
    </w:p>
    <w:p>
      <w:pPr>
        <w:pStyle w:val="Style93"/>
        <w:numPr>
          <w:ilvl w:val="0"/>
          <w:numId w:val="41"/>
        </w:numPr>
        <w:spacing w:lineRule="auto" w:line="276"/>
        <w:rPr>
          <w:szCs w:val="24"/>
        </w:rPr>
      </w:pPr>
      <w:r>
        <w:rPr>
          <w:szCs w:val="24"/>
        </w:rPr>
        <w:t>Руководство системного программиста должно обязательно включать: порядок восстановления базы данных Системы и список данных, подлежащих восстановлению в случае сбоя (для каждого типа данных из списка должно быть составлено подробное руководство по восстановлению из резервной копии); список портов, которые должны быть открыты на каждом из серверов для корректной работоспособности Системы; список процессов, которые должны быть в работе на каждом из серверов для корректной работоспособности Системы; действия системного администратора перед отключением каждого из серверов Системы; действия системного администратора при включении каждого из серверов Системы; перечень возможных проблем, ошибок и методов их решения;</w:t>
      </w:r>
    </w:p>
    <w:p>
      <w:pPr>
        <w:pStyle w:val="Style93"/>
        <w:numPr>
          <w:ilvl w:val="0"/>
          <w:numId w:val="41"/>
        </w:numPr>
        <w:spacing w:lineRule="auto" w:line="276"/>
        <w:rPr>
          <w:szCs w:val="24"/>
        </w:rPr>
      </w:pPr>
      <w:r>
        <w:rPr>
          <w:szCs w:val="24"/>
        </w:rPr>
        <w:t>Описание программы должно обязательно включать:  матрица ролевого доступа пользователей к информационным ресурсам с использованием ролевой модели контроля доступа (RBAC); описание архитектуры Системы, схемы взаимодействия с внешними системами, включающие в себя схему архитектуры Системы, перечень задействованных систем, перечень подсистем, описание функциональности, описание связей Системы с другими системами; описание технологического процесса, включающее в себя цели и назначение системы, описание технологии обработки информации, порядок подключения к системе, описание процесса обработки информации.</w:t>
      </w:r>
    </w:p>
    <w:p>
      <w:pPr>
        <w:pStyle w:val="Style93"/>
        <w:spacing w:lineRule="auto" w:line="276"/>
        <w:ind w:hanging="0" w:start="1429"/>
        <w:rPr>
          <w:color w:themeColor="text1" w:val="000000"/>
        </w:rPr>
      </w:pPr>
      <w:r>
        <w:rPr>
          <w:color w:themeColor="text1" w:val="000000"/>
        </w:rPr>
      </w:r>
    </w:p>
    <w:p>
      <w:pPr>
        <w:pStyle w:val="Style47"/>
        <w:rPr>
          <w:color w:themeColor="text1" w:val="000000"/>
        </w:rPr>
      </w:pPr>
      <w:r>
        <w:rPr>
          <w:color w:themeColor="text1" w:val="000000"/>
        </w:rPr>
      </w:r>
    </w:p>
    <w:p>
      <w:pPr>
        <w:pStyle w:val="Heading1"/>
        <w:rPr>
          <w:color w:themeColor="text1" w:val="000000"/>
        </w:rPr>
      </w:pPr>
      <w:bookmarkStart w:id="118" w:name="_Toc158643979"/>
      <w:bookmarkStart w:id="119" w:name="_Toc158900604"/>
      <w:bookmarkStart w:id="120" w:name="_Toc158900061"/>
      <w:bookmarkStart w:id="121" w:name="_Toc128760682"/>
      <w:bookmarkStart w:id="122" w:name="_Toc158884676"/>
      <w:bookmarkStart w:id="123" w:name="_Toc240723508"/>
      <w:r>
        <w:rPr>
          <w:color w:themeColor="text1" w:val="000000"/>
        </w:rPr>
        <w:t>Прочие положения</w:t>
      </w:r>
      <w:bookmarkEnd w:id="118"/>
      <w:bookmarkEnd w:id="119"/>
      <w:bookmarkEnd w:id="120"/>
      <w:bookmarkEnd w:id="121"/>
      <w:bookmarkEnd w:id="122"/>
      <w:bookmarkEnd w:id="123"/>
    </w:p>
    <w:p>
      <w:pPr>
        <w:pStyle w:val="Heading2"/>
        <w:keepNext w:val="false"/>
        <w:keepLines w:val="false"/>
        <w:widowControl w:val="false"/>
        <w:rPr>
          <w:color w:themeColor="text1" w:val="000000"/>
          <w:lang w:eastAsia="en-US"/>
        </w:rPr>
      </w:pPr>
      <w:bookmarkStart w:id="124" w:name="_Toc158900605"/>
      <w:bookmarkStart w:id="125" w:name="_Toc158643980"/>
      <w:bookmarkStart w:id="126" w:name="_Toc158884677"/>
      <w:bookmarkStart w:id="127" w:name="_Toc158900062"/>
      <w:bookmarkStart w:id="128" w:name="_Toc240723509"/>
      <w:r>
        <w:rPr>
          <w:color w:themeColor="text1" w:val="000000"/>
          <w:lang w:eastAsia="en-US"/>
        </w:rPr>
        <w:t>Контроль за исполнением Контракта</w:t>
      </w:r>
      <w:bookmarkEnd w:id="128"/>
    </w:p>
    <w:p>
      <w:pPr>
        <w:pStyle w:val="Normal"/>
        <w:tabs>
          <w:tab w:val="clear" w:pos="708"/>
          <w:tab w:val="left" w:pos="1134" w:leader="none"/>
        </w:tabs>
        <w:spacing w:lineRule="auto" w:line="276"/>
        <w:ind w:firstLine="709"/>
        <w:rPr>
          <w:color w:themeColor="text1" w:val="000000"/>
          <w:lang w:eastAsia="en-US"/>
        </w:rPr>
      </w:pPr>
      <w:bookmarkStart w:id="129" w:name="_Toc162540850"/>
      <w:bookmarkEnd w:id="129"/>
      <w:r>
        <w:rPr>
          <w:rFonts w:eastAsia="Calibri"/>
          <w:szCs w:val="22"/>
          <w:lang w:eastAsia="en-US"/>
        </w:rPr>
        <w:t>В порядке контроля за ходом исполнения Контракта, Исполнитель должен в течение 3 (трех) рабочих дней с даты направления Заказчиком соответствующего требования предоставить Заказчику или по его требованию третьим лицам всю документацию, необходимую для проверки процесса исполнения Контракта.</w:t>
      </w:r>
    </w:p>
    <w:p>
      <w:pPr>
        <w:pStyle w:val="Heading2"/>
        <w:keepNext w:val="false"/>
        <w:keepLines w:val="false"/>
        <w:widowControl w:val="false"/>
        <w:rPr>
          <w:color w:themeColor="text1" w:val="000000"/>
          <w:lang w:eastAsia="en-US"/>
        </w:rPr>
      </w:pPr>
      <w:bookmarkStart w:id="130" w:name="_Toc240723510"/>
      <w:bookmarkStart w:id="131" w:name="TZ_B0193"/>
      <w:r>
        <w:rPr>
          <w:color w:themeColor="text1" w:val="000000"/>
          <w:lang w:eastAsia="en-US"/>
        </w:rPr>
        <w:t>Гарантийные обязательства</w:t>
      </w:r>
      <w:bookmarkEnd w:id="124"/>
      <w:bookmarkEnd w:id="125"/>
      <w:bookmarkEnd w:id="126"/>
      <w:bookmarkEnd w:id="127"/>
      <w:bookmarkEnd w:id="130"/>
      <w:bookmarkEnd w:id="131"/>
    </w:p>
    <w:p>
      <w:pPr>
        <w:pStyle w:val="Heading3"/>
        <w:keepNext w:val="false"/>
        <w:keepLines w:val="false"/>
        <w:widowControl w:val="false"/>
        <w:spacing w:lineRule="auto" w:line="276"/>
        <w:ind w:firstLine="709" w:start="0"/>
        <w:rPr>
          <w:color w:themeColor="text1" w:val="000000"/>
        </w:rPr>
      </w:pPr>
      <w:bookmarkStart w:id="132" w:name="_Toc158884680"/>
      <w:bookmarkStart w:id="133" w:name="_Toc158900063"/>
      <w:bookmarkStart w:id="134" w:name="_Toc158643981"/>
      <w:bookmarkStart w:id="135" w:name="_Toc158900606"/>
      <w:bookmarkStart w:id="136" w:name="_Toc158884678"/>
      <w:r>
        <w:rPr>
          <w:color w:themeColor="text1" w:val="000000"/>
        </w:rPr>
        <w:t>В соответствии с пунктом 6 статьи 724 Гражданского кодекса Российской Федерации течение срока гарантийных обязательств приостанавливается на срок проведения мероприятий по гарантийному обслуживанию. При этом, общий срок гарантийных обязательств, установленных в соответствии с настоящим ТЗ, продлевается на период, соответствующий сроку, исчисляемому от даты получения Исполнителем обращения от Заказчика до даты завершения мероприятий по гарантийному обслуживанию, указанной в соответствующем Акте.</w:t>
      </w:r>
      <w:bookmarkEnd w:id="136"/>
    </w:p>
    <w:p>
      <w:pPr>
        <w:pStyle w:val="Heading3"/>
        <w:keepNext w:val="false"/>
        <w:keepLines w:val="false"/>
        <w:widowControl w:val="false"/>
        <w:spacing w:lineRule="auto" w:line="276"/>
        <w:ind w:firstLine="709" w:start="0"/>
        <w:rPr>
          <w:color w:themeColor="text1" w:val="000000"/>
        </w:rPr>
      </w:pPr>
      <w:r>
        <w:rPr>
          <w:color w:themeColor="text1" w:val="000000"/>
        </w:rPr>
        <w:t>Исполнитель должен гарантировать, что применение в процессе исполнения Контракта технических и программных решений и средств не нарушает права и законные интересы третьих лиц. Заказчик не несёт ответственности за нарушение Исполнителем исключительных прав на результаты интеллектуальной деятельности третьих лиц при исполнении Контракта. В случае предъявления к Заказчику претензий, связанных с исполнением Контракта, по основанию нарушения интеллектуальных прав третьих лиц, Исполнитель обязуется возместить Заказчику все убытки, причинённые в связи с предъявлением таких претензий.</w:t>
      </w:r>
    </w:p>
    <w:p>
      <w:pPr>
        <w:pStyle w:val="Heading3"/>
        <w:keepNext w:val="false"/>
        <w:keepLines w:val="false"/>
        <w:widowControl w:val="false"/>
        <w:spacing w:lineRule="auto" w:line="276"/>
        <w:ind w:firstLine="709" w:start="0"/>
        <w:rPr>
          <w:color w:themeColor="text1" w:val="000000"/>
        </w:rPr>
      </w:pPr>
      <w:bookmarkStart w:id="137" w:name="_Toc158884679"/>
      <w:bookmarkStart w:id="138" w:name="_Toc157501839"/>
      <w:r>
        <w:rPr>
          <w:color w:themeColor="text1" w:val="000000"/>
        </w:rPr>
        <w:t>Обеспечение защиты искажения и подделки информации при исполнении Контракта должно осуществляться организационными и техническими мерами Исполнителя в соответствии с действующим законодательством Российской Федерации.</w:t>
      </w:r>
      <w:bookmarkEnd w:id="137"/>
      <w:bookmarkEnd w:id="138"/>
    </w:p>
    <w:p>
      <w:pPr>
        <w:pStyle w:val="Heading2"/>
        <w:spacing w:lineRule="auto" w:line="276"/>
        <w:rPr>
          <w:color w:themeColor="text1" w:val="000000"/>
          <w:lang w:eastAsia="en-US"/>
        </w:rPr>
      </w:pPr>
      <w:bookmarkStart w:id="139" w:name="_Toc240723511"/>
      <w:r>
        <w:rPr>
          <w:color w:themeColor="text1" w:val="000000"/>
          <w:lang w:eastAsia="en-US"/>
        </w:rPr>
        <w:t>Ответственность</w:t>
      </w:r>
      <w:bookmarkEnd w:id="132"/>
      <w:bookmarkEnd w:id="133"/>
      <w:bookmarkEnd w:id="134"/>
      <w:bookmarkEnd w:id="135"/>
      <w:bookmarkEnd w:id="139"/>
      <w:r>
        <w:rPr>
          <w:color w:themeColor="text1" w:val="000000"/>
          <w:lang w:eastAsia="en-US"/>
        </w:rPr>
        <w:t xml:space="preserve"> </w:t>
      </w:r>
    </w:p>
    <w:p>
      <w:pPr>
        <w:pStyle w:val="Style47"/>
        <w:spacing w:lineRule="auto" w:line="276"/>
        <w:rPr>
          <w:rFonts w:eastAsia="Calibri"/>
          <w:color w:themeColor="text1" w:val="000000"/>
          <w:lang w:eastAsia="en-US"/>
        </w:rPr>
      </w:pPr>
      <w:bookmarkStart w:id="140" w:name="_Toc158643982"/>
      <w:bookmarkStart w:id="141" w:name="_Toc158900607"/>
      <w:bookmarkStart w:id="142" w:name="_Toc158884681"/>
      <w:bookmarkStart w:id="143" w:name="_Toc158900064"/>
      <w:r>
        <w:rPr>
          <w:rFonts w:eastAsia="Calibri"/>
          <w:color w:themeColor="text1" w:val="000000"/>
          <w:lang w:eastAsia="en-US"/>
        </w:rPr>
        <w:t>Исполнитель несёт всю полноту ответственности, предусмотренную законодательством Российской Федерации, в случае использования реквизитов доступа к Системе (логинов, паролей или адресов доступа и т.д.) для осуществления несанкционированного доступа к Системе, приведшими в том числе к нарушению её работоспособности или несанкционированному распространению содержащейся в ней информации.</w:t>
      </w:r>
    </w:p>
    <w:p>
      <w:pPr>
        <w:pStyle w:val="Heading2"/>
        <w:spacing w:lineRule="auto" w:line="276"/>
        <w:rPr>
          <w:color w:themeColor="text1" w:val="000000"/>
          <w:lang w:eastAsia="en-US"/>
        </w:rPr>
      </w:pPr>
      <w:bookmarkStart w:id="144" w:name="_Hlk225418762"/>
      <w:bookmarkStart w:id="145" w:name="_Toc240723512"/>
      <w:bookmarkStart w:id="146" w:name="Q_TZ_4_4"/>
      <w:bookmarkEnd w:id="140"/>
      <w:bookmarkEnd w:id="141"/>
      <w:bookmarkEnd w:id="142"/>
      <w:bookmarkEnd w:id="143"/>
      <w:r>
        <w:rPr>
          <w:color w:themeColor="text1" w:val="000000"/>
          <w:lang w:eastAsia="en-US"/>
        </w:rPr>
        <w:t>Требования к информационной безопасности</w:t>
      </w:r>
      <w:bookmarkEnd w:id="145"/>
      <w:bookmarkEnd w:id="146"/>
    </w:p>
    <w:p>
      <w:pPr>
        <w:pStyle w:val="Style47"/>
        <w:spacing w:lineRule="auto" w:line="276"/>
        <w:rPr>
          <w:color w:val="000000"/>
        </w:rPr>
      </w:pPr>
      <w:bookmarkStart w:id="147" w:name="TZ_B0200"/>
      <w:r>
        <w:rPr>
          <w:color w:val="000000"/>
        </w:rPr>
        <w:t>При проведении работ по доработке Системы должны учитываться требования ГОСТ Р 56939-2024 «Защита информации. Разработка безопасного программного обеспечения. Общие требования» в части: статического анализа исходного кода; анализа состава используемых компонентов с формированием перечня заимствованных компонентов (SBOM); экспертизы (ревью) исходного кода; управления конфигурацией и версиями исходного кода. Перечень применяемых мер и инструментов согласуется с Заказчиком на этапе технического проектирования.</w:t>
      </w:r>
      <w:bookmarkEnd w:id="147"/>
    </w:p>
    <w:p>
      <w:pPr>
        <w:pStyle w:val="Style47"/>
        <w:spacing w:lineRule="auto" w:line="276"/>
        <w:rPr/>
      </w:pPr>
      <w:r>
        <w:rPr/>
        <w:t>Доступ для выполнения работ (или части работ) удаленно (при необходимости) по месту нахождения Исполнителя (и/или мест(а) фактического осуществления удаленного доступа к Системе, с использованием телекоммуникационных средств связи, предоставляется с учетом требований пункта 1 «Требований о защите информации, содержащейся в государственных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утвержденных приказом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p>
    <w:p>
      <w:pPr>
        <w:pStyle w:val="Style47"/>
        <w:spacing w:lineRule="auto" w:line="276"/>
        <w:rPr/>
      </w:pPr>
      <w:r>
        <w:rPr/>
        <w:t>При осуществлении удаленного доступа Исполнитель должен выполнять мероприятия по информационной безопасности на объектах информатизации взаимодействующих с Системой или информационной инфраструктурой Заказчика и(или) Оператора системы со стороны Исполнителя, в соответствии с требованиями федерального законодательства, приказа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 организационными и распорядительными документами по информационной безопасности Заказчика и(или) Оператора системы. С целью повышения уровня информационной безопасности при реализации удаленного доступа политика назначения учетных записей, предоставляемых (назначаемых) для доступа к Системе, должна исключать не персонифицированный (коллективный) доступ (обеспечение принципа индивидуальных учетных записей).</w:t>
      </w:r>
    </w:p>
    <w:p>
      <w:pPr>
        <w:pStyle w:val="Style47"/>
        <w:spacing w:lineRule="auto" w:line="276"/>
        <w:rPr/>
      </w:pPr>
      <w:r>
        <w:rPr/>
        <w:t>Исполнитель должен обеспечивать контроль и учет действий лиц, получивших доступ к Системе, необходимый для выполнения работ в рамках Контракта, включая её программно-технические средства, СЗИ Системы, а также информацию ограниченного доступа, обрабатываемую в Системе.</w:t>
      </w:r>
    </w:p>
    <w:p>
      <w:pPr>
        <w:pStyle w:val="Style47"/>
        <w:spacing w:lineRule="auto" w:line="276"/>
        <w:rPr/>
      </w:pPr>
      <w:r>
        <w:rPr/>
        <w:t>Для удаленного сетевого доступа Исполнитель должен использовать средства вычислительной техники, которые не используются в личных целях, и к которым применяются корпоративные меры по информационной безопасности.</w:t>
      </w:r>
    </w:p>
    <w:p>
      <w:pPr>
        <w:pStyle w:val="Style47"/>
        <w:spacing w:lineRule="auto" w:line="276"/>
        <w:rPr/>
      </w:pPr>
      <w:r>
        <w:rPr/>
        <w:t>Исполнитель должен обеспечить установку и запуск средств антивирусной защиты, на автоматизированных местах, имеющих удаленный доступ к инфраструктуре Заказчика. Средства антивирусной защиты должны иметь лицензии, а базы данных сигнатур должны быть в актуальном состоянии.</w:t>
      </w:r>
    </w:p>
    <w:p>
      <w:pPr>
        <w:pStyle w:val="Style47"/>
        <w:spacing w:lineRule="auto" w:line="276"/>
        <w:rPr/>
      </w:pPr>
      <w:r>
        <w:rPr/>
        <w:t>Исполнитель несет ответственность в случае, если компрометация его инфраструктуры стала причиной причинения вреда информационным системам Заказчика, либо произошла утрата или разглашение каких-либо конфиденциальных материалов.</w:t>
      </w:r>
    </w:p>
    <w:p>
      <w:pPr>
        <w:pStyle w:val="Heading3"/>
        <w:spacing w:lineRule="auto" w:line="276"/>
        <w:ind w:firstLine="709" w:start="0"/>
        <w:rPr>
          <w:color w:themeColor="text1" w:val="000000"/>
        </w:rPr>
      </w:pPr>
      <w:bookmarkStart w:id="148" w:name="4.4.1"/>
      <w:bookmarkStart w:id="149" w:name="_Toc157501840"/>
      <w:bookmarkStart w:id="150" w:name="_Toc158884682"/>
      <w:bookmarkStart w:id="151" w:name="Q_TZ_4_4_1"/>
      <w:bookmarkStart w:id="152" w:name="_Toc156824403"/>
      <w:bookmarkEnd w:id="152"/>
      <w:r>
        <w:rPr>
          <w:color w:themeColor="text1" w:val="000000"/>
        </w:rPr>
        <w:t>Требования по реализации:</w:t>
      </w:r>
      <w:bookmarkEnd w:id="148"/>
      <w:bookmarkEnd w:id="149"/>
      <w:bookmarkEnd w:id="150"/>
      <w:bookmarkEnd w:id="151"/>
    </w:p>
    <w:p>
      <w:pPr>
        <w:pStyle w:val="Style47"/>
        <w:spacing w:lineRule="auto" w:line="276"/>
        <w:rPr/>
      </w:pPr>
      <w:r>
        <w:rPr/>
        <w:t>В рамках обследования Системы, по результатам анализа защищенности, в разрабатываемом Частном техническом задании на модернизацию ЗПО Системы, должны содержатся требования к встроенным функциям безопасности ЗПО Системы (</w:t>
      </w:r>
      <w:r>
        <w:rPr>
          <w:color w:val="000000"/>
          <w:szCs w:val="28"/>
        </w:rPr>
        <w:t>по требованиям защиты информации, предъявляемым законодательством Российской Федерации в зависимости от класса защищенности Системы</w:t>
      </w:r>
      <w:r>
        <w:rPr/>
        <w:t>), в том числе на основании требований локальных нормативных актов Заказчика и(или) Оператора, включающих (при необходимости) условия взаимодействия с внешними информационными системами, а также средствами защиты информации, предоставляющими Системе функции безопасности в качестве сервиса. Указанные выше локальные нормативные акты предоставляются в рабочем порядке Заказчиком и(или) Оператором Системы в течение 3 (трех) рабочих дней с даты поступления соответствующего запроса от Исполнителя.</w:t>
      </w:r>
    </w:p>
    <w:p>
      <w:pPr>
        <w:pStyle w:val="Style47"/>
        <w:spacing w:lineRule="auto" w:line="276"/>
        <w:rPr/>
      </w:pPr>
      <w:r>
        <w:rPr/>
        <w:t>Полный набор встроенных функций безопасности ЗПО уточняется на этапе технического проектирования.</w:t>
      </w:r>
    </w:p>
    <w:p>
      <w:pPr>
        <w:pStyle w:val="Style47"/>
        <w:spacing w:lineRule="auto" w:line="276"/>
        <w:rPr/>
      </w:pPr>
      <w:r>
        <w:rPr/>
      </w:r>
    </w:p>
    <w:p>
      <w:pPr>
        <w:pStyle w:val="Style47"/>
        <w:spacing w:lineRule="auto" w:line="276"/>
        <w:rPr/>
      </w:pPr>
      <w:r>
        <w:rPr/>
        <w:t>В Системе должны быть пересмотрены следующие меры защиты информации:</w:t>
      </w:r>
    </w:p>
    <w:p>
      <w:pPr>
        <w:pStyle w:val="Style47"/>
        <w:numPr>
          <w:ilvl w:val="0"/>
          <w:numId w:val="42"/>
        </w:numPr>
        <w:spacing w:lineRule="auto" w:line="276"/>
        <w:rPr/>
      </w:pPr>
      <w:r>
        <w:rPr/>
        <w:t>меры по управлению доступом субъектов доступа к объектам доступа (УПД);</w:t>
      </w:r>
    </w:p>
    <w:p>
      <w:pPr>
        <w:pStyle w:val="Style47"/>
        <w:numPr>
          <w:ilvl w:val="0"/>
          <w:numId w:val="42"/>
        </w:numPr>
        <w:spacing w:lineRule="auto" w:line="276"/>
        <w:rPr/>
      </w:pPr>
      <w:r>
        <w:rPr/>
        <w:t>меры по регистрации событий безопасности (РСБ).</w:t>
      </w:r>
    </w:p>
    <w:p>
      <w:pPr>
        <w:pStyle w:val="Style47"/>
        <w:spacing w:lineRule="auto" w:line="276"/>
        <w:rPr/>
      </w:pPr>
      <w:r>
        <w:rPr/>
        <w:t>Примечание – Окончательный перечень мер защиты информации, реализуемых в Системе, определяется Исполнителем на этапе технического проектировании и согласуется с Заказчиком.</w:t>
      </w:r>
    </w:p>
    <w:p>
      <w:pPr>
        <w:pStyle w:val="Style47"/>
        <w:spacing w:lineRule="auto" w:line="276"/>
        <w:rPr/>
      </w:pPr>
      <w:bookmarkStart w:id="153" w:name="TZ_B0215"/>
      <w:r>
        <w:rPr/>
        <w:t>Должен быть проведён анализ исходного кода ЗПО, созданного или изменённого Исполнителем в рамках Контракта, и используемых в нём заимствованных компонентов на предмет наличия уязвимостей, в том числе сведения о которых содержатся в Банке данных угроз безопасности информации ФСТЭК России. Анализ проводится средствами статического анализа кода и анализа состава компонентов, перечень которых согласуется с Заказчиком на этапе технического проектирования. Результаты оформляются отчётом.</w:t>
      </w:r>
      <w:bookmarkEnd w:id="153"/>
    </w:p>
    <w:p>
      <w:pPr>
        <w:pStyle w:val="Style47"/>
        <w:spacing w:lineRule="auto" w:line="276"/>
        <w:rPr/>
      </w:pPr>
      <w:bookmarkStart w:id="154" w:name="TZ_B0216"/>
      <w:r>
        <w:rPr>
          <w:color w:val="000000"/>
        </w:rPr>
        <w:t xml:space="preserve">Окончательная приёмка результатов выполнения работ по развитию Системы осуществляется после устранения уязвимостей, выявленных в ЗПО, созданном или изменённом Исполнителем в рамках Контракта, либо принятия согласованных с Заказчиком компенсирующих мер. Уязвимости в компонентах Системы, не изменявшихся в рамках Контракта (в том числе в системном и базовом ПО), фиксируются в отчёте с рекомендациями по устранению и не являются основанием для отказа в приёмке. </w:t>
      </w:r>
      <w:r>
        <w:rPr/>
        <w:t>В случае обнаружения уязвимостей они должны быть устранены или приняты компенсирующие меры.</w:t>
      </w:r>
      <w:bookmarkEnd w:id="154"/>
    </w:p>
    <w:p>
      <w:pPr>
        <w:pStyle w:val="Style47"/>
        <w:spacing w:lineRule="auto" w:line="276"/>
        <w:rPr/>
      </w:pPr>
      <w:bookmarkStart w:id="155" w:name="TZ_B0217"/>
      <w:r>
        <w:rPr/>
        <w:t>Окончательная приемка результатов выполнения работ по развитию Системы должна осуществляется после устранения уязвимостей Системы, в том числе уязвимостей прикладного ПО и исходного кода Системы.</w:t>
      </w:r>
      <w:bookmarkEnd w:id="155"/>
    </w:p>
    <w:p>
      <w:pPr>
        <w:pStyle w:val="Style47"/>
        <w:spacing w:lineRule="auto" w:line="276"/>
        <w:rPr/>
      </w:pPr>
      <w:bookmarkStart w:id="156" w:name="TZ_B0218"/>
      <w:r>
        <w:rPr/>
        <w:t>Комплекс мероприятий по сертификации (инспекционному контролю) осуществляются в рамках отдельных работ и не входит в состав требований настоящего ТЗ.</w:t>
      </w:r>
      <w:bookmarkEnd w:id="156"/>
    </w:p>
    <w:p>
      <w:pPr>
        <w:pStyle w:val="Style47"/>
        <w:spacing w:lineRule="auto" w:line="276"/>
        <w:rPr/>
      </w:pPr>
      <w:bookmarkStart w:id="157" w:name="TZ_B0219"/>
      <w:r>
        <w:rPr>
          <w:color w:val="000000"/>
        </w:rPr>
        <w:t>В случае если в период действия гарантийных обязательств при осуществлении сертификации ЗПО (выполняется в рамках отдельных работ) будут выявлены уязвимости в ЗПО Системы, созданном или изменённом Исполнителем в рамках Контракта, они должны быть устранены в рамках исполнения указанных обязательств</w:t>
      </w:r>
      <w:r>
        <w:rPr/>
        <w:t>.</w:t>
      </w:r>
      <w:bookmarkEnd w:id="157"/>
    </w:p>
    <w:p>
      <w:pPr>
        <w:pStyle w:val="Style47"/>
        <w:spacing w:lineRule="auto" w:line="276"/>
        <w:rPr/>
      </w:pPr>
      <w:bookmarkStart w:id="158" w:name="TZ_B0220"/>
      <w:r>
        <w:rPr/>
        <w:t>Формирование требований к защите информации, содержащейся в Системе, доработка и внедрение системы защиты информации, аттестация (переаттестация/дополнительные аттестационные испытания) Системы на соответствие требованиям о защите информации ограниченного доступа, не составляющей государственную тайну, предусмотренные приказом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реализуются Заказчиком в рамках работ, выполняемых отдельно (за рамками настоящего ТЗ), в порядке и последовательности, установленной Постановлением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bookmarkEnd w:id="158"/>
    </w:p>
    <w:p>
      <w:pPr>
        <w:pStyle w:val="Style47"/>
        <w:spacing w:lineRule="auto" w:line="276"/>
        <w:rPr/>
      </w:pPr>
      <w:r>
        <w:rPr/>
        <w:t>В целях обеспечения формирования требований к защите информации для определения угроз безопасности информации в документации на систему и ее части должно быть приведено описание принятых проектных решений в части касающейся структурно-функциональных характеристик Системы, включающих её структуру и состав, физические, логические, функциональные и технологические взаимосвязи между компонентами Системы, смежными системами и информационно-телекоммуникационными сетями, режимы обработки информации и в ее отдельных сегментах (при наличии), а также иные характеристики информационной системы, применяемые информационные технологии и особенности ее функционирования.</w:t>
      </w:r>
    </w:p>
    <w:p>
      <w:pPr>
        <w:pStyle w:val="Style47"/>
        <w:spacing w:lineRule="auto" w:line="276"/>
        <w:rPr/>
      </w:pPr>
      <w:bookmarkStart w:id="159" w:name="TZ_B0222"/>
      <w:r>
        <w:rPr/>
        <w:t>Определение угроз безопасности информации, осуществляется Заказчиком в рамках отдельных мероприятий, по результатам которых могут разрабатываются рекомендации по корректировке структурно-функциональных характеристик Системы, направленные на блокирование (нейтрализацию) отдельных актуальных угроз безопасности информации.</w:t>
      </w:r>
      <w:bookmarkEnd w:id="159"/>
    </w:p>
    <w:p>
      <w:pPr>
        <w:pStyle w:val="Heading3"/>
        <w:spacing w:lineRule="auto" w:line="276"/>
        <w:ind w:firstLine="709" w:start="0"/>
        <w:rPr>
          <w:color w:themeColor="text1" w:val="000000"/>
        </w:rPr>
      </w:pPr>
      <w:r>
        <w:rPr>
          <w:color w:themeColor="text1" w:val="000000"/>
        </w:rPr>
        <w:t>Правила взаимодействия с третьими лицами:</w:t>
      </w:r>
    </w:p>
    <w:p>
      <w:pPr>
        <w:pStyle w:val="Style47"/>
        <w:spacing w:lineRule="auto" w:line="276"/>
        <w:rPr/>
      </w:pPr>
      <w:r>
        <w:rPr/>
        <w:t xml:space="preserve">В целях обеспечения кибербезопасности (информационной безопасности) при взаимоотношениях Заказчика и Исполнителя должны обеспечиваться действующие правила и меры по обеспечению кибербезопасности (информационной безопасности) и выполняться, как минимум, следующие меры: </w:t>
      </w:r>
    </w:p>
    <w:p>
      <w:pPr>
        <w:pStyle w:val="Style47"/>
        <w:numPr>
          <w:ilvl w:val="0"/>
          <w:numId w:val="43"/>
        </w:numPr>
        <w:spacing w:lineRule="auto" w:line="276"/>
        <w:rPr/>
      </w:pPr>
      <w:r>
        <w:rPr/>
        <w:t xml:space="preserve">Наличие отдельного подписанного соглашения между Заказчиком и Исполнителем о неразглашении конфиденциальной информации либо пункта о неразглашении конфиденциальной информации в Контракте; </w:t>
      </w:r>
    </w:p>
    <w:p>
      <w:pPr>
        <w:pStyle w:val="Style47"/>
        <w:numPr>
          <w:ilvl w:val="0"/>
          <w:numId w:val="43"/>
        </w:numPr>
        <w:spacing w:lineRule="auto" w:line="276"/>
        <w:rPr/>
      </w:pPr>
      <w:r>
        <w:rPr/>
        <w:t>Наличие отдельного подписанного между Заказчиком и Исполнителем соглашения об информационной безопасности при исполнении Контракта либо приложение в Контракте.</w:t>
      </w:r>
    </w:p>
    <w:p>
      <w:pPr>
        <w:pStyle w:val="14"/>
        <w:numPr>
          <w:ilvl w:val="0"/>
          <w:numId w:val="0"/>
        </w:numPr>
        <w:tabs>
          <w:tab w:val="clear" w:pos="708"/>
          <w:tab w:val="left" w:pos="1134" w:leader="none"/>
        </w:tabs>
        <w:spacing w:lineRule="auto" w:line="276"/>
        <w:ind w:hanging="0" w:start="709"/>
        <w:rPr>
          <w:color w:themeColor="text1" w:val="000000"/>
        </w:rPr>
      </w:pPr>
      <w:r>
        <w:rPr>
          <w:color w:themeColor="text1" w:val="000000"/>
        </w:rPr>
      </w:r>
    </w:p>
    <w:p>
      <w:pPr>
        <w:pStyle w:val="114"/>
        <w:numPr>
          <w:ilvl w:val="0"/>
          <w:numId w:val="17"/>
        </w:numPr>
        <w:ind w:start="1985"/>
        <w:rPr>
          <w:color w:themeColor="text1" w:val="000000"/>
        </w:rPr>
      </w:pPr>
      <w:bookmarkStart w:id="160" w:name="_Toc158643983"/>
      <w:bookmarkStart w:id="161" w:name="_Toc158900065"/>
      <w:bookmarkStart w:id="162" w:name="TZ_B0228"/>
      <w:bookmarkStart w:id="163" w:name="Приложение_1"/>
      <w:bookmarkStart w:id="164" w:name="_Toc158884684"/>
      <w:bookmarkEnd w:id="144"/>
      <w:bookmarkEnd w:id="164"/>
      <w:r>
        <w:rPr>
          <w:color w:themeColor="text1" w:val="000000"/>
        </w:rPr>
        <w:br/>
      </w:r>
      <w:bookmarkStart w:id="165" w:name="_Ref158904730"/>
      <w:bookmarkStart w:id="166" w:name="_Ref158904806"/>
      <w:bookmarkStart w:id="167" w:name="_Ref158902579"/>
      <w:bookmarkStart w:id="168" w:name="_Toc240723513"/>
      <w:r>
        <w:rPr>
          <w:color w:themeColor="text1" w:val="000000"/>
        </w:rPr>
        <w:t>Календарный план</w:t>
      </w:r>
      <w:bookmarkEnd w:id="168"/>
      <w:r>
        <w:rPr>
          <w:color w:themeColor="text1" w:val="000000"/>
        </w:rPr>
        <w:t xml:space="preserve"> </w:t>
      </w:r>
      <w:bookmarkEnd w:id="160"/>
      <w:bookmarkEnd w:id="161"/>
      <w:bookmarkEnd w:id="162"/>
      <w:bookmarkEnd w:id="163"/>
      <w:bookmarkEnd w:id="165"/>
      <w:bookmarkEnd w:id="166"/>
      <w:bookmarkEnd w:id="167"/>
    </w:p>
    <w:p>
      <w:pPr>
        <w:pStyle w:val="Style66"/>
        <w:rPr>
          <w:color w:themeColor="text1" w:val="000000"/>
        </w:rPr>
      </w:pPr>
      <w:bookmarkStart w:id="169" w:name="_Ref158805400"/>
      <w:bookmarkStart w:id="170" w:name="_Ref158805377"/>
      <w:bookmarkStart w:id="171" w:name="Календарный_план"/>
      <w:bookmarkEnd w:id="171"/>
      <w:r>
        <w:rPr>
          <w:color w:themeColor="text1" w:val="000000"/>
        </w:rPr>
        <w:t>Таблица 1.1</w:t>
      </w:r>
      <w:bookmarkEnd w:id="170"/>
      <w:r>
        <w:rPr>
          <w:color w:themeColor="text1" w:val="000000"/>
        </w:rPr>
        <w:t xml:space="preserve"> – Календарный план </w:t>
      </w:r>
      <w:bookmarkEnd w:id="169"/>
    </w:p>
    <w:tbl>
      <w:tblPr>
        <w:tblW w:w="9923" w:type="dxa"/>
        <w:jc w:val="start"/>
        <w:tblInd w:w="-289" w:type="dxa"/>
        <w:tblLayout w:type="fixed"/>
        <w:tblCellMar>
          <w:top w:w="0" w:type="dxa"/>
          <w:start w:w="108" w:type="dxa"/>
          <w:bottom w:w="0" w:type="dxa"/>
          <w:end w:w="108" w:type="dxa"/>
        </w:tblCellMar>
        <w:tblLook w:noHBand="0" w:noVBand="1" w:firstColumn="1" w:lastRow="0" w:lastColumn="0" w:firstRow="1" w:val="04a0"/>
      </w:tblPr>
      <w:tblGrid>
        <w:gridCol w:w="562"/>
        <w:gridCol w:w="2132"/>
        <w:gridCol w:w="5245"/>
        <w:gridCol w:w="1984"/>
      </w:tblGrid>
      <w:tr>
        <w:trPr>
          <w:trHeight w:val="414" w:hRule="atLeast"/>
        </w:trPr>
        <w:tc>
          <w:tcPr>
            <w:tcW w:w="562" w:type="dxa"/>
            <w:tcBorders>
              <w:top w:val="single" w:sz="4" w:space="0" w:color="000000"/>
              <w:start w:val="single" w:sz="4" w:space="0" w:color="000000"/>
              <w:bottom w:val="single" w:sz="4" w:space="0" w:color="000000"/>
              <w:end w:val="single" w:sz="4" w:space="0" w:color="000000"/>
            </w:tcBorders>
          </w:tcPr>
          <w:p>
            <w:pPr>
              <w:pStyle w:val="Style50"/>
              <w:spacing w:before="120" w:after="120"/>
              <w:rPr>
                <w:color w:themeColor="text1" w:val="000000"/>
              </w:rPr>
            </w:pPr>
            <w:bookmarkStart w:id="172" w:name="TZ_B0230"/>
            <w:r>
              <w:rPr>
                <w:color w:themeColor="text1" w:val="000000"/>
              </w:rPr>
              <w:t xml:space="preserve">№ </w:t>
            </w:r>
            <w:r>
              <w:rPr>
                <w:color w:themeColor="text1" w:val="000000"/>
              </w:rPr>
              <w:t>этапа</w:t>
            </w:r>
            <w:bookmarkEnd w:id="172"/>
          </w:p>
        </w:tc>
        <w:tc>
          <w:tcPr>
            <w:tcW w:w="2132"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Наименование этапа</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Отчётные документы и материалы</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Период</w:t>
            </w:r>
          </w:p>
        </w:tc>
      </w:tr>
      <w:tr>
        <w:trPr/>
        <w:tc>
          <w:tcPr>
            <w:tcW w:w="562"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2"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Обследование отраслевых технологических процессов</w:t>
            </w:r>
          </w:p>
        </w:tc>
        <w:tc>
          <w:tcPr>
            <w:tcW w:w="5245" w:type="dxa"/>
            <w:tcBorders>
              <w:top w:val="single" w:sz="4" w:space="0" w:color="000000"/>
              <w:start w:val="single" w:sz="4" w:space="0" w:color="000000"/>
              <w:bottom w:val="single" w:sz="4" w:space="0" w:color="000000"/>
              <w:end w:val="single" w:sz="4" w:space="0" w:color="000000"/>
            </w:tcBorders>
          </w:tcPr>
          <w:p>
            <w:pPr>
              <w:pStyle w:val="Normal"/>
              <w:numPr>
                <w:ilvl w:val="0"/>
                <w:numId w:val="45"/>
              </w:numPr>
              <w:spacing w:lineRule="auto" w:line="276"/>
              <w:ind w:hanging="360" w:start="318"/>
              <w:jc w:val="start"/>
              <w:rPr/>
            </w:pPr>
            <w:r>
              <w:rPr/>
              <w:t>Частное техническое задание.</w:t>
            </w:r>
          </w:p>
        </w:tc>
        <w:tc>
          <w:tcPr>
            <w:tcW w:w="1984" w:type="dxa"/>
            <w:vMerge w:val="restart"/>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даты заключения контракта до 05.04.2027</w:t>
            </w:r>
          </w:p>
        </w:tc>
      </w:tr>
      <w:tr>
        <w:trPr>
          <w:trHeight w:val="936" w:hRule="atLeast"/>
        </w:trPr>
        <w:tc>
          <w:tcPr>
            <w:tcW w:w="562"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2"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Проведение технического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46"/>
              </w:numPr>
              <w:spacing w:lineRule="auto" w:line="276"/>
              <w:ind w:hanging="360" w:start="318"/>
              <w:jc w:val="start"/>
              <w:rPr/>
            </w:pPr>
            <w:r>
              <w:rPr>
                <w:bCs/>
              </w:rPr>
              <w:t>Ведомость технического проекта;</w:t>
            </w:r>
          </w:p>
          <w:p>
            <w:pPr>
              <w:pStyle w:val="Normal"/>
              <w:numPr>
                <w:ilvl w:val="0"/>
                <w:numId w:val="46"/>
              </w:numPr>
              <w:spacing w:lineRule="auto" w:line="276"/>
              <w:ind w:hanging="360" w:start="318"/>
              <w:jc w:val="start"/>
              <w:rPr/>
            </w:pPr>
            <w:r>
              <w:rPr/>
              <w:t>Пояснительная записка.</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62"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2"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Проведение рабочего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7"/>
              </w:numPr>
              <w:tabs>
                <w:tab w:val="clear" w:pos="708"/>
                <w:tab w:val="left" w:pos="315" w:leader="none"/>
              </w:tabs>
              <w:spacing w:lineRule="auto" w:line="276" w:beforeAutospacing="0" w:before="0" w:after="0"/>
              <w:ind w:firstLine="24" w:start="35"/>
              <w:jc w:val="start"/>
              <w:rPr>
                <w:color w:val="auto"/>
              </w:rPr>
            </w:pPr>
            <w:r>
              <w:rPr>
                <w:color w:val="auto"/>
              </w:rPr>
              <w:t>Рабочая документация в составе:</w:t>
            </w:r>
          </w:p>
          <w:p>
            <w:pPr>
              <w:pStyle w:val="western1"/>
              <w:numPr>
                <w:ilvl w:val="0"/>
                <w:numId w:val="48"/>
              </w:numPr>
              <w:spacing w:lineRule="auto" w:line="276" w:beforeAutospacing="0" w:before="0" w:after="0"/>
              <w:ind w:firstLine="281" w:start="38"/>
              <w:jc w:val="start"/>
              <w:rPr>
                <w:color w:val="auto"/>
              </w:rPr>
            </w:pPr>
            <w:r>
              <w:rPr/>
              <w:t>Ведомость эксплуатационных документов;</w:t>
            </w:r>
          </w:p>
          <w:p>
            <w:pPr>
              <w:pStyle w:val="western1"/>
              <w:numPr>
                <w:ilvl w:val="0"/>
                <w:numId w:val="48"/>
              </w:numPr>
              <w:spacing w:lineRule="auto" w:line="276" w:beforeAutospacing="0" w:before="0" w:after="0"/>
              <w:ind w:firstLine="281" w:start="38"/>
              <w:jc w:val="start"/>
              <w:rPr>
                <w:color w:val="auto"/>
              </w:rPr>
            </w:pPr>
            <w:r>
              <w:rPr>
                <w:color w:val="auto"/>
              </w:rPr>
              <w:t>Описание программы;</w:t>
            </w:r>
          </w:p>
          <w:p>
            <w:pPr>
              <w:pStyle w:val="western1"/>
              <w:numPr>
                <w:ilvl w:val="0"/>
                <w:numId w:val="48"/>
              </w:numPr>
              <w:spacing w:lineRule="auto" w:line="276" w:beforeAutospacing="0" w:before="0" w:after="0"/>
              <w:ind w:firstLine="281" w:start="38"/>
              <w:jc w:val="start"/>
              <w:rPr>
                <w:color w:val="auto"/>
              </w:rPr>
            </w:pPr>
            <w:r>
              <w:rPr>
                <w:color w:val="auto"/>
              </w:rPr>
              <w:t>Руководство (системного) программиста;</w:t>
            </w:r>
          </w:p>
          <w:p>
            <w:pPr>
              <w:pStyle w:val="western1"/>
              <w:numPr>
                <w:ilvl w:val="0"/>
                <w:numId w:val="48"/>
              </w:numPr>
              <w:spacing w:lineRule="auto" w:line="276" w:beforeAutospacing="0" w:before="0" w:after="0"/>
              <w:ind w:firstLine="281" w:start="38"/>
              <w:jc w:val="start"/>
              <w:rPr>
                <w:color w:val="auto"/>
              </w:rPr>
            </w:pPr>
            <w:r>
              <w:rPr>
                <w:color w:val="auto"/>
              </w:rPr>
              <w:t>Руководство оператора;</w:t>
            </w:r>
          </w:p>
          <w:p>
            <w:pPr>
              <w:pStyle w:val="western1"/>
              <w:numPr>
                <w:ilvl w:val="0"/>
                <w:numId w:val="48"/>
              </w:numPr>
              <w:spacing w:lineRule="auto" w:line="276" w:beforeAutospacing="0" w:before="0" w:after="0"/>
              <w:ind w:firstLine="281" w:start="38"/>
              <w:jc w:val="start"/>
              <w:rPr>
                <w:color w:val="auto"/>
              </w:rPr>
            </w:pPr>
            <w:r>
              <w:rPr>
                <w:color w:val="auto"/>
              </w:rPr>
              <w:t>Руководство администратора.</w:t>
            </w:r>
          </w:p>
          <w:p>
            <w:pPr>
              <w:pStyle w:val="western1"/>
              <w:numPr>
                <w:ilvl w:val="0"/>
                <w:numId w:val="47"/>
              </w:numPr>
              <w:spacing w:lineRule="auto" w:line="276" w:beforeAutospacing="0" w:before="0" w:after="0"/>
              <w:ind w:hanging="360" w:start="407"/>
              <w:jc w:val="start"/>
              <w:rPr>
                <w:color w:val="auto"/>
              </w:rPr>
            </w:pPr>
            <w:r>
              <w:rPr>
                <w:color w:val="auto"/>
              </w:rPr>
              <w:t>Исходный код ЗПО Системы.</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62"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2"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Испытания модернизированной Системы</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Доработанная документация на Систему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Доработанный исходный код ЗПО Системы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выполнения пусконаладочных работ;</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t>Программа и методика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опытную эксплуатацию;</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завершении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приёмочных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приемочных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эксплуатацию;</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t>Отчёт об анализе уязвимостей.</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06.04.2027 до 30.04.2027</w:t>
            </w:r>
          </w:p>
        </w:tc>
      </w:tr>
    </w:tbl>
    <w:p>
      <w:pPr>
        <w:pStyle w:val="114"/>
        <w:keepNext w:val="false"/>
        <w:keepLines w:val="false"/>
        <w:widowControl w:val="false"/>
        <w:numPr>
          <w:ilvl w:val="0"/>
          <w:numId w:val="17"/>
        </w:numPr>
        <w:ind w:start="1985"/>
        <w:rPr>
          <w:rFonts w:ascii="Calibri" w:hAnsi="Calibri" w:asciiTheme="minorHAnsi" w:hAnsiTheme="minorHAnsi"/>
          <w:color w:themeColor="text1" w:val="000000"/>
          <w:szCs w:val="24"/>
        </w:rPr>
      </w:pPr>
      <w:bookmarkStart w:id="173" w:name="_Toc221809113"/>
      <w:bookmarkStart w:id="174" w:name="_Toc158884687"/>
      <w:bookmarkStart w:id="175" w:name="_Toc158884685"/>
      <w:bookmarkEnd w:id="174"/>
      <w:bookmarkEnd w:id="175"/>
      <w:r>
        <w:rPr>
          <w:color w:themeColor="text1" w:val="000000"/>
          <w:szCs w:val="24"/>
        </w:rPr>
        <w:br/>
      </w:r>
      <w:bookmarkStart w:id="176" w:name="_Toc240723514"/>
      <w:r>
        <w:rPr>
          <w:rFonts w:hint="eastAsia"/>
          <w:color w:themeColor="text1" w:val="000000"/>
          <w:szCs w:val="24"/>
        </w:rPr>
        <w:t>Требования</w:t>
      </w:r>
      <w:r>
        <w:rPr>
          <w:color w:themeColor="text1" w:val="000000"/>
          <w:szCs w:val="24"/>
        </w:rPr>
        <w:t xml:space="preserve"> к развитию </w:t>
      </w:r>
      <w:r>
        <w:rPr>
          <w:rFonts w:cs="Times New Roman" w:ascii="Times New Roman" w:hAnsi="Times New Roman"/>
          <w:color w:themeColor="text1" w:val="000000"/>
          <w:szCs w:val="24"/>
        </w:rPr>
        <w:t>С</w:t>
      </w:r>
      <w:r>
        <w:rPr>
          <w:color w:themeColor="text1" w:val="000000"/>
          <w:szCs w:val="24"/>
        </w:rPr>
        <w:t>истемы</w:t>
      </w:r>
      <w:bookmarkEnd w:id="173"/>
      <w:bookmarkEnd w:id="176"/>
      <w:r>
        <w:rPr>
          <w:color w:themeColor="text1" w:val="000000"/>
          <w:szCs w:val="24"/>
        </w:rPr>
        <w:t xml:space="preserve"> </w:t>
      </w:r>
    </w:p>
    <w:p>
      <w:pPr>
        <w:pStyle w:val="Heading2"/>
        <w:numPr>
          <w:ilvl w:val="0"/>
          <w:numId w:val="50"/>
        </w:numPr>
        <w:spacing w:lineRule="auto" w:line="276" w:before="200" w:after="0"/>
        <w:jc w:val="start"/>
        <w:rPr>
          <w:rFonts w:cs="Times New Roman"/>
          <w:szCs w:val="24"/>
        </w:rPr>
      </w:pPr>
      <w:bookmarkStart w:id="177" w:name="_Toc240723515"/>
      <w:r>
        <w:rPr>
          <w:rFonts w:cs="Times New Roman"/>
          <w:szCs w:val="24"/>
        </w:rPr>
        <w:t>Общие требования к модернизированной Системе</w:t>
      </w:r>
      <w:bookmarkEnd w:id="177"/>
    </w:p>
    <w:p>
      <w:pPr>
        <w:pStyle w:val="Style93"/>
        <w:spacing w:lineRule="auto" w:line="276"/>
        <w:ind w:firstLine="709"/>
        <w:rPr>
          <w:szCs w:val="24"/>
        </w:rPr>
      </w:pPr>
      <w:r>
        <w:rPr>
          <w:szCs w:val="24"/>
        </w:rPr>
      </w:r>
      <w:bookmarkStart w:id="178" w:name="_Hlk65094044"/>
      <w:bookmarkStart w:id="179" w:name="_Toc439085236"/>
      <w:bookmarkStart w:id="180" w:name="_Ref415500316"/>
      <w:bookmarkStart w:id="181" w:name="_Toc425508741"/>
      <w:bookmarkEnd w:id="179"/>
      <w:bookmarkEnd w:id="180"/>
      <w:bookmarkEnd w:id="181"/>
    </w:p>
    <w:p>
      <w:pPr>
        <w:pStyle w:val="BodyText"/>
        <w:ind w:firstLine="720"/>
        <w:rPr>
          <w:sz w:val="22"/>
          <w:szCs w:val="22"/>
        </w:rPr>
      </w:pPr>
      <w:bookmarkStart w:id="182" w:name="TZ_B0234"/>
      <w:r>
        <w:rPr/>
        <w:t>Аналитическая система Россельхознадзора должна быть развернута на сертифицированной ФСТЭК России операционной системе Astra Linux SE (версии 1.7 или выше), внесённой в «Единый реестр российских программ для электронных вычислительных машин и баз данных» (</w:t>
      </w:r>
      <w:hyperlink r:id="rId8" w:tooltip="https://reestr.digital.gov.ru/">
        <w:r>
          <w:rPr>
            <w:rStyle w:val="Hyperlink"/>
          </w:rPr>
          <w:t>https://reestr.digital.gov.ru/</w:t>
        </w:r>
      </w:hyperlink>
      <w:r>
        <w:rPr/>
        <w:t>). Версия операционной системы, используемая для развертывания Системы, определяется на этапе технического проектирования.</w:t>
      </w:r>
      <w:bookmarkEnd w:id="182"/>
    </w:p>
    <w:p>
      <w:pPr>
        <w:pStyle w:val="BodyText"/>
        <w:ind w:firstLine="720"/>
        <w:rPr/>
      </w:pPr>
      <w:bookmarkStart w:id="183" w:name="TZ_B0235"/>
      <w:r>
        <w:rPr>
          <w:color w:val="000000"/>
        </w:rPr>
        <w:t xml:space="preserve">Встроенные функции безопасности ЗПО Системы, реализуемые Исполнителем в объёме, определённом ЧТЗ и техническим проектом (меры УПД и РСБ), должны обеспечивать возможность проведения Заказчиком аттестации Системы по требованиям приказа ФСТЭК России от 11.04.2025 № 117 и приказа ФСТЭК России от 18.02.2013 № 21». </w:t>
      </w:r>
      <w:r>
        <w:rPr/>
        <w:t>Полная архитектура программного обеспечения и особенности организации инфраструктуры Аналитической системы Россельхознадзора, включая другие необходимые подсистемы, определяются на этапе проведения технического проектирования.</w:t>
      </w:r>
      <w:bookmarkEnd w:id="183"/>
    </w:p>
    <w:p>
      <w:pPr>
        <w:pStyle w:val="BodyText"/>
        <w:ind w:firstLine="720"/>
        <w:rPr>
          <w:color w:themeColor="text2" w:val="44546A"/>
          <w:sz w:val="22"/>
          <w:szCs w:val="22"/>
          <w:u w:val="single"/>
        </w:rPr>
      </w:pPr>
      <w:r>
        <w:rPr/>
        <w:t xml:space="preserve">Все вновь создаваемые и модернизированные компоненты Аналитической системы (включая промежуточные хранилища данных) должны быть разработаны на базе свободно распространяемого программного обеспечения или программного обеспечения из Единого реестра российских программ для электронных вычислительных машин и баз данных, размещённого в сети Интернет по адресу: </w:t>
      </w:r>
      <w:hyperlink r:id="rId9" w:tooltip="https://reestr.digital.gov.ru/">
        <w:r>
          <w:rPr>
            <w:rStyle w:val="Hyperlink"/>
            <w:color w:themeColor="text2" w:val="44546A"/>
          </w:rPr>
          <w:t>https://reestr.digital.gov.ru/</w:t>
        </w:r>
      </w:hyperlink>
    </w:p>
    <w:p>
      <w:pPr>
        <w:pStyle w:val="BodyText"/>
        <w:spacing w:lineRule="auto" w:line="276"/>
        <w:ind w:firstLine="720"/>
        <w:rPr/>
      </w:pPr>
      <w:r>
        <w:rPr/>
        <w:t>При выполнении работ должны быть модернизированы следующие подсистемы:</w:t>
      </w:r>
    </w:p>
    <w:p>
      <w:pPr>
        <w:pStyle w:val="BodyText"/>
        <w:numPr>
          <w:ilvl w:val="0"/>
          <w:numId w:val="61"/>
        </w:numPr>
        <w:spacing w:lineRule="auto" w:line="276"/>
        <w:rPr/>
      </w:pPr>
      <w:r>
        <w:rPr/>
        <w:t>Подсистема анализа данных искусственным интеллектом при обороте продукции животного происхождения;</w:t>
      </w:r>
    </w:p>
    <w:p>
      <w:pPr>
        <w:pStyle w:val="BodyText"/>
        <w:numPr>
          <w:ilvl w:val="0"/>
          <w:numId w:val="61"/>
        </w:numPr>
        <w:spacing w:lineRule="auto" w:line="276"/>
        <w:rPr/>
      </w:pPr>
      <w:r>
        <w:rPr/>
        <w:t>Подсистема отчетности, статистики и аналитики.</w:t>
      </w:r>
    </w:p>
    <w:p>
      <w:pPr>
        <w:pStyle w:val="BodyText"/>
        <w:spacing w:lineRule="auto" w:line="276"/>
        <w:ind w:firstLine="708"/>
        <w:rPr/>
      </w:pPr>
      <w:r>
        <w:rPr/>
        <w:t>При выполнении работ должны быть созданы следующие подсистемы:</w:t>
      </w:r>
    </w:p>
    <w:p>
      <w:pPr>
        <w:pStyle w:val="BodyText"/>
        <w:numPr>
          <w:ilvl w:val="0"/>
          <w:numId w:val="61"/>
        </w:numPr>
        <w:spacing w:lineRule="auto" w:line="276"/>
        <w:rPr/>
      </w:pPr>
      <w:r>
        <w:rPr/>
        <w:t>Подсистема цифровых индикаторов рисков</w:t>
      </w:r>
      <w:r>
        <w:rPr>
          <w:lang w:val="en-US"/>
        </w:rPr>
        <w:t>;</w:t>
      </w:r>
    </w:p>
    <w:p>
      <w:pPr>
        <w:pStyle w:val="BodyText"/>
        <w:numPr>
          <w:ilvl w:val="0"/>
          <w:numId w:val="61"/>
        </w:numPr>
        <w:spacing w:lineRule="auto" w:line="276"/>
        <w:rPr/>
      </w:pPr>
      <w:r>
        <w:rPr/>
        <w:t>Подсистема автоматического сбора доказательной базы по сработавшим цифровым индикаторам рисков;</w:t>
      </w:r>
    </w:p>
    <w:p>
      <w:pPr>
        <w:pStyle w:val="BodyText"/>
        <w:numPr>
          <w:ilvl w:val="0"/>
          <w:numId w:val="61"/>
        </w:numPr>
        <w:spacing w:lineRule="auto" w:line="276"/>
        <w:rPr/>
      </w:pPr>
      <w:r>
        <w:rPr/>
        <w:t>Подсистема автоматизированного отслеживания факторов изменения категорий риска.</w:t>
      </w:r>
    </w:p>
    <w:p>
      <w:pPr>
        <w:pStyle w:val="BodyText"/>
        <w:ind w:firstLine="708"/>
        <w:rPr>
          <w:lang w:eastAsia="en-US"/>
        </w:rPr>
      </w:pPr>
      <w:r>
        <w:rPr>
          <w:lang w:eastAsia="en-US"/>
        </w:rPr>
        <w:t xml:space="preserve">Источником данных, необходимых для выполнения настоящего ТЗ, является аналитическое хранилище Системы, в которое ежедневно выгружаются данные из компонентов ФГИС «ВетИС» - «Меркурий», «Цербер», «Хорриот» и других, а также сведения из внешних систем. Полное описание назначения компонентов ФГИС «ВетИС» размещено по адресу </w:t>
      </w:r>
      <w:hyperlink r:id="rId10">
        <w:r>
          <w:rPr>
            <w:rStyle w:val="Hyperlink"/>
            <w:lang w:val="en-US" w:eastAsia="en-US"/>
          </w:rPr>
          <w:t>https</w:t>
        </w:r>
        <w:r>
          <w:rPr>
            <w:rStyle w:val="Hyperlink"/>
            <w:lang w:eastAsia="en-US"/>
          </w:rPr>
          <w:t>://</w:t>
        </w:r>
        <w:r>
          <w:rPr>
            <w:rStyle w:val="Hyperlink"/>
            <w:lang w:val="en-US" w:eastAsia="en-US"/>
          </w:rPr>
          <w:t>help</w:t>
        </w:r>
        <w:r>
          <w:rPr>
            <w:rStyle w:val="Hyperlink"/>
            <w:lang w:eastAsia="en-US"/>
          </w:rPr>
          <w:t>.</w:t>
        </w:r>
        <w:r>
          <w:rPr>
            <w:rStyle w:val="Hyperlink"/>
            <w:lang w:val="en-US" w:eastAsia="en-US"/>
          </w:rPr>
          <w:t>vetrf</w:t>
        </w:r>
        <w:r>
          <w:rPr>
            <w:rStyle w:val="Hyperlink"/>
            <w:lang w:eastAsia="en-US"/>
          </w:rPr>
          <w:t>.</w:t>
        </w:r>
        <w:r>
          <w:rPr>
            <w:rStyle w:val="Hyperlink"/>
            <w:lang w:val="en-US" w:eastAsia="en-US"/>
          </w:rPr>
          <w:t>ru</w:t>
        </w:r>
        <w:r>
          <w:rPr>
            <w:rStyle w:val="Hyperlink"/>
            <w:lang w:eastAsia="en-US"/>
          </w:rPr>
          <w:t>/</w:t>
        </w:r>
        <w:r>
          <w:rPr>
            <w:rStyle w:val="Hyperlink"/>
            <w:lang w:val="en-US" w:eastAsia="en-US"/>
          </w:rPr>
          <w:t>wiki</w:t>
        </w:r>
        <w:r>
          <w:rPr>
            <w:rStyle w:val="Hyperlink"/>
            <w:lang w:eastAsia="en-US"/>
          </w:rPr>
          <w:t>/Справочная_система</w:t>
        </w:r>
      </w:hyperlink>
      <w:r>
        <w:rPr>
          <w:lang w:eastAsia="en-US"/>
        </w:rPr>
        <w:t xml:space="preserve">. </w:t>
      </w:r>
    </w:p>
    <w:p>
      <w:pPr>
        <w:pStyle w:val="BodyText"/>
        <w:ind w:firstLine="708"/>
        <w:rPr>
          <w:lang w:eastAsia="en-US"/>
        </w:rPr>
      </w:pPr>
      <w:bookmarkStart w:id="184" w:name="TZ_B0245"/>
      <w:r>
        <w:rPr>
          <w:lang w:eastAsia="en-US"/>
        </w:rPr>
        <w:t xml:space="preserve">Модернизированная </w:t>
      </w:r>
      <w:r>
        <w:rPr>
          <w:lang w:val="en-US" w:eastAsia="en-US"/>
        </w:rPr>
        <w:t>C</w:t>
      </w:r>
      <w:r>
        <w:rPr>
          <w:lang w:eastAsia="en-US"/>
        </w:rPr>
        <w:t xml:space="preserve">истема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 </w:t>
      </w:r>
      <w:r>
        <w:rPr>
          <w:b/>
          <w:bCs/>
          <w:lang w:eastAsia="en-US"/>
        </w:rPr>
        <w:t>не должна превышать 12 часов на анализ данных за один операционный день. Для моделей с месячным (или иным) окном анализа данное ограничение допускается только при условии, что полный объем данных за этот период был загружен в хранилище заранее (до начала расчета).</w:t>
      </w:r>
      <w:r>
        <w:rPr>
          <w:lang w:eastAsia="en-US"/>
        </w:rPr>
        <w:t xml:space="preserve">. Работа цифровых индикаторов рисков не должна превышать 4 часов на анализ месячного объема информации. Суммарное время </w:t>
      </w:r>
      <w:r>
        <w:rPr>
          <w:lang w:val="en-US" w:eastAsia="en-US"/>
        </w:rPr>
        <w:t>ETL</w:t>
      </w:r>
      <w:r>
        <w:rPr>
          <w:lang w:eastAsia="en-US"/>
        </w:rPr>
        <w:t>-пакетов не должно превышать 24 часов при анализе или загрузке месячного объема информации</w:t>
      </w:r>
      <w:r>
        <w:rPr>
          <w:b/>
          <w:bCs/>
          <w:lang w:eastAsia="en-US"/>
        </w:rPr>
        <w:t>, при условии, что загрузка данных выполняется инкрементально (ежедневно) в рамках регламента и инкрементируемые данные укладываются в период временного хранения вновь загружаемых данных.</w:t>
      </w:r>
      <w:bookmarkEnd w:id="184"/>
    </w:p>
    <w:p>
      <w:pPr>
        <w:pStyle w:val="BodyText"/>
        <w:ind w:firstLine="708"/>
        <w:rPr>
          <w:lang w:eastAsia="en-US"/>
        </w:rPr>
      </w:pPr>
      <w:bookmarkStart w:id="185" w:name="TZ_B0246"/>
      <w:r>
        <w:rPr>
          <w:lang w:eastAsia="en-US"/>
        </w:rPr>
        <w:t>На этапах проведения предварительных испытаний и приемочных испытаний должно быть проведено нагрузочное тестирование с типовыми задачами пользователей. Перечень задач согласуется с Заказчиком до проведения тестирования.</w:t>
      </w:r>
      <w:bookmarkEnd w:id="185"/>
    </w:p>
    <w:p>
      <w:pPr>
        <w:pStyle w:val="BodyText"/>
        <w:spacing w:lineRule="auto" w:line="276"/>
        <w:rPr/>
      </w:pPr>
      <w:r>
        <w:rPr/>
      </w:r>
    </w:p>
    <w:p>
      <w:pPr>
        <w:pStyle w:val="Heading2"/>
        <w:numPr>
          <w:ilvl w:val="0"/>
          <w:numId w:val="50"/>
        </w:numPr>
        <w:spacing w:lineRule="auto" w:line="276" w:before="200" w:after="0"/>
        <w:jc w:val="start"/>
        <w:rPr>
          <w:rFonts w:cs="Times New Roman"/>
          <w:sz w:val="22"/>
          <w:szCs w:val="22"/>
        </w:rPr>
      </w:pPr>
      <w:bookmarkStart w:id="186" w:name="_Toc240723516"/>
      <w:bookmarkEnd w:id="178"/>
      <w:r>
        <w:rPr>
          <w:rFonts w:cs="Times New Roman"/>
          <w:szCs w:val="24"/>
        </w:rPr>
        <w:t>Требования к подсистеме цифровых индикаторов рисков</w:t>
      </w:r>
      <w:bookmarkEnd w:id="186"/>
    </w:p>
    <w:p>
      <w:pPr>
        <w:pStyle w:val="Heading3"/>
        <w:numPr>
          <w:ilvl w:val="1"/>
          <w:numId w:val="50"/>
        </w:numPr>
        <w:spacing w:lineRule="auto" w:line="276" w:before="200" w:after="0"/>
        <w:jc w:val="start"/>
        <w:rPr>
          <w:rFonts w:cs="Times New Roman"/>
          <w:b/>
          <w:szCs w:val="24"/>
        </w:rPr>
      </w:pPr>
      <w:bookmarkStart w:id="187" w:name="TZ_B0249"/>
      <w:r>
        <w:rPr>
          <w:rFonts w:cs="Times New Roman"/>
          <w:b/>
          <w:szCs w:val="24"/>
        </w:rPr>
        <w:t>Общие требования</w:t>
      </w:r>
      <w:bookmarkEnd w:id="187"/>
    </w:p>
    <w:p>
      <w:pPr>
        <w:pStyle w:val="Normal"/>
        <w:ind w:firstLine="431"/>
        <w:rPr>
          <w:color w:val="000000"/>
        </w:rPr>
      </w:pPr>
      <w:r>
        <w:rPr>
          <w:color w:val="000000"/>
        </w:rPr>
      </w:r>
    </w:p>
    <w:p>
      <w:pPr>
        <w:pStyle w:val="BodyText"/>
        <w:ind w:firstLine="720"/>
        <w:rPr/>
      </w:pPr>
      <w:r>
        <w:rPr/>
        <w:t xml:space="preserve">Подсистема цифровых индикаторов рисков должна быть создана на базе компонентов блока «Цифровые индикаторы» Системы. Цифровым индикатором в контексте данного ТЗ является совокупность алгоритмов, структур данных, интеграционных механизмов и интерфейсов, функционирование которых направлено на выявление ситуаций, предусмотренных приказом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 (далее – 732 приказ). </w:t>
      </w:r>
    </w:p>
    <w:p>
      <w:pPr>
        <w:pStyle w:val="BodyText"/>
        <w:ind w:firstLine="720"/>
        <w:rPr/>
      </w:pPr>
      <w:r>
        <w:rPr/>
        <w:t>Цифровые индикаторы имеют две главные функции:</w:t>
      </w:r>
    </w:p>
    <w:p>
      <w:pPr>
        <w:pStyle w:val="BodyText"/>
        <w:numPr>
          <w:ilvl w:val="6"/>
          <w:numId w:val="17"/>
        </w:numPr>
        <w:ind w:hanging="360" w:start="1134"/>
        <w:rPr/>
      </w:pPr>
      <w:r>
        <w:rPr/>
        <w:t>Выявление и агрегация отслеживаемых фактов;</w:t>
      </w:r>
    </w:p>
    <w:p>
      <w:pPr>
        <w:pStyle w:val="BodyText"/>
        <w:numPr>
          <w:ilvl w:val="6"/>
          <w:numId w:val="17"/>
        </w:numPr>
        <w:ind w:hanging="360" w:start="1134"/>
        <w:rPr/>
      </w:pPr>
      <w:r>
        <w:rPr/>
        <w:t>Расчет срабатывания нормативного индикатора риска согласно 732 приказу на основании накопленных отслеживаемых фактов.</w:t>
      </w:r>
    </w:p>
    <w:p>
      <w:pPr>
        <w:pStyle w:val="BodyText"/>
        <w:ind w:firstLine="720"/>
        <w:rPr/>
      </w:pPr>
      <w:r>
        <w:rPr/>
        <w:t>Принцип функционирования цифровых индикаторов:</w:t>
      </w:r>
    </w:p>
    <w:p>
      <w:pPr>
        <w:pStyle w:val="BodyText"/>
        <w:numPr>
          <w:ilvl w:val="6"/>
          <w:numId w:val="70"/>
        </w:numPr>
        <w:ind w:hanging="357" w:start="1134"/>
        <w:rPr/>
      </w:pPr>
      <w:r>
        <w:rPr/>
        <w:t>Сценарные ИИ-модели Подсистемы ИИ ежедневно анализируют накопленные в хранилище Системы данные и определяют подозрительные операции;</w:t>
      </w:r>
    </w:p>
    <w:p>
      <w:pPr>
        <w:pStyle w:val="BodyText"/>
        <w:numPr>
          <w:ilvl w:val="6"/>
          <w:numId w:val="17"/>
        </w:numPr>
        <w:ind w:hanging="357" w:start="1134"/>
        <w:rPr/>
      </w:pPr>
      <w:r>
        <w:rPr/>
        <w:t>Инспекторский состав с помощью ПОСА проверяет выявленные подозрительные операции и, в случае подтверждения нарушения, относит подозрительную операцию к одной из трёх категорий:</w:t>
        <w:br/>
        <w:t>- Нарушения, которые не относятся к срабатыванию цифровых индикаторов;</w:t>
        <w:br/>
        <w:t>- Нарушения, которые не относятся к срабатыванию цифровых индикаторов, но которые должны быть учтены при формировании материалов КНМ;</w:t>
        <w:br/>
        <w:t>- Нарушения, относящиеся к срабатыванию цифровых индикаторов. Такие нарушения являются отслеживаемыми фактами для цифровых индикаторов;</w:t>
      </w:r>
    </w:p>
    <w:p>
      <w:pPr>
        <w:pStyle w:val="BodyText"/>
        <w:numPr>
          <w:ilvl w:val="6"/>
          <w:numId w:val="17"/>
        </w:numPr>
        <w:ind w:hanging="357" w:start="1134"/>
        <w:rPr/>
      </w:pPr>
      <w:r>
        <w:rPr/>
        <w:t>Цифровые индикаторы Подсистемы ЦИ собственными алгоритмами и/или правилами и/или методами машинного обучения также выявляют отслеживаемые факты;</w:t>
      </w:r>
    </w:p>
    <w:p>
      <w:pPr>
        <w:pStyle w:val="BodyText"/>
        <w:numPr>
          <w:ilvl w:val="6"/>
          <w:numId w:val="17"/>
        </w:numPr>
        <w:ind w:hanging="357" w:start="1134"/>
        <w:rPr/>
      </w:pPr>
      <w:r>
        <w:rPr/>
        <w:t>Инспекторский состав в ходе осуществления цифрового мониторинга также вносит вручную сведения об отслеживаемых фактах, которые не были или не могли быть обнаружены цифровыми инструментами Системы;</w:t>
      </w:r>
    </w:p>
    <w:p>
      <w:pPr>
        <w:pStyle w:val="BodyText"/>
        <w:numPr>
          <w:ilvl w:val="6"/>
          <w:numId w:val="17"/>
        </w:numPr>
        <w:ind w:hanging="360" w:start="1134"/>
        <w:rPr/>
      </w:pPr>
      <w:r>
        <w:rPr/>
        <w:t>В ходе совокупного расчета собираются все отслеживаемые факты (события и операции, относящиеся к учитываемым в 732 приказе критериям срабатывания нормативного индикатора) с указанием их источника появления (ручной ввод, подтвержденные нарушения из ИИ-моделей, расчет самим цифровым индикатором). Превышение их порогового количества для одного контролируемого объекта влечет срабатывание цифрового индикатора и формирование его электронной карточки, доступной для просмотра и взаимодействия инспекторскому составу. Пороговое значение должно задаваться в настройках для каждого цифрового индикатора.</w:t>
      </w:r>
    </w:p>
    <w:p>
      <w:pPr>
        <w:pStyle w:val="Normal"/>
        <w:ind w:firstLine="708"/>
        <w:rPr/>
      </w:pPr>
      <w:r>
        <w:rPr>
          <w:color w:val="000000"/>
        </w:rPr>
        <w:t>Цифровые индикаторы должны функционировать</w:t>
      </w:r>
      <w:r>
        <w:rPr>
          <w:rFonts w:cs="Calibri" w:cstheme="minorHAnsi"/>
          <w:color w:val="000000"/>
        </w:rPr>
        <w:t xml:space="preserve"> на основе следующих нормативных индикаторов риска из </w:t>
      </w:r>
      <w:r>
        <w:rPr/>
        <w:t>732 приказа:</w:t>
      </w:r>
    </w:p>
    <w:p>
      <w:pPr>
        <w:pStyle w:val="ListParagraph"/>
        <w:numPr>
          <w:ilvl w:val="0"/>
          <w:numId w:val="56"/>
        </w:numPr>
        <w:spacing w:lineRule="auto" w:line="360"/>
        <w:rPr>
          <w:color w:val="000000"/>
        </w:rPr>
      </w:pPr>
      <w:r>
        <w:rPr>
          <w:color w:val="000000"/>
        </w:rPr>
        <w:t xml:space="preserve">№ </w:t>
      </w:r>
      <w:r>
        <w:rPr>
          <w:color w:val="000000"/>
        </w:rPr>
        <w:t>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Федеральной государственной информационной системе в области ветеринарии), не менее 5 раз в течение календарного месяца»;</w:t>
      </w:r>
    </w:p>
    <w:p>
      <w:pPr>
        <w:pStyle w:val="ListParagraph"/>
        <w:numPr>
          <w:ilvl w:val="0"/>
          <w:numId w:val="56"/>
        </w:numPr>
        <w:spacing w:lineRule="auto" w:line="360"/>
        <w:ind w:hanging="357" w:start="1077"/>
        <w:rPr>
          <w:color w:val="000000"/>
        </w:rPr>
      </w:pPr>
      <w:r>
        <w:rPr/>
        <w:t xml:space="preserve">№ </w:t>
      </w:r>
      <w:r>
        <w:rPr/>
        <w:t>8 «Выявление (по информации, содержащейся в</w:t>
      </w:r>
      <w:r>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ListParagraph"/>
        <w:numPr>
          <w:ilvl w:val="0"/>
          <w:numId w:val="56"/>
        </w:numPr>
        <w:spacing w:lineRule="auto" w:line="360"/>
        <w:rPr>
          <w:color w:val="000000"/>
        </w:rPr>
      </w:pPr>
      <w:r>
        <w:rPr/>
        <w:t xml:space="preserve">№ </w:t>
      </w:r>
      <w:r>
        <w:rPr/>
        <w:t>9 «Выявление (по информации, содержащейся в федеральной государственной информационной системе в области ветеринарии) в т</w:t>
      </w:r>
      <w:r>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FirstParagraph"/>
        <w:spacing w:lineRule="auto" w:line="360"/>
        <w:ind w:firstLine="708"/>
        <w:jc w:val="both"/>
        <w:rPr>
          <w:lang w:val="ru-RU"/>
        </w:rPr>
      </w:pPr>
      <w:bookmarkStart w:id="188" w:name="Q_TZ_732_CURRENT"/>
      <w:r>
        <w:rPr>
          <w:rFonts w:cs="Times New Roman" w:ascii="Times New Roman" w:hAnsi="Times New Roman"/>
          <w:lang w:val="ru-RU"/>
        </w:rPr>
        <w:t>При выполнении работ должна использоваться редакция 732 приказа</w:t>
      </w:r>
      <w:bookmarkEnd w:id="188"/>
      <w:r>
        <w:rPr>
          <w:rFonts w:cs="Times New Roman" w:ascii="Times New Roman" w:hAnsi="Times New Roman"/>
          <w:lang w:val="ru-RU"/>
        </w:rPr>
        <w:t>, актуальная на момент проведения технического проектирования. В случае, если по информации от Заказчика планируется внесение изменений в 732 приказ, Исполнитель по согласованию с Заказчиком может применять подходы к разработке алгоритмов и структур данных с учетом планируемых изменений.</w:t>
      </w:r>
      <w:r>
        <w:rPr>
          <w:lang w:val="ru-RU"/>
        </w:rPr>
        <w:tab/>
      </w:r>
    </w:p>
    <w:p>
      <w:pPr>
        <w:pStyle w:val="Heading3"/>
        <w:numPr>
          <w:ilvl w:val="1"/>
          <w:numId w:val="50"/>
        </w:numPr>
        <w:spacing w:lineRule="auto" w:line="276" w:before="200" w:after="0"/>
        <w:jc w:val="start"/>
        <w:rPr>
          <w:rFonts w:cs="Times New Roman"/>
          <w:b/>
          <w:szCs w:val="24"/>
        </w:rPr>
      </w:pPr>
      <w:r>
        <w:rPr>
          <w:rFonts w:cs="Times New Roman"/>
          <w:b/>
          <w:szCs w:val="24"/>
        </w:rPr>
        <w:t>Требования к функционированию</w:t>
      </w:r>
    </w:p>
    <w:p>
      <w:pPr>
        <w:pStyle w:val="Style47"/>
        <w:rPr/>
      </w:pPr>
      <w:r>
        <w:rPr/>
      </w:r>
    </w:p>
    <w:p>
      <w:pPr>
        <w:pStyle w:val="Style47"/>
        <w:numPr>
          <w:ilvl w:val="2"/>
          <w:numId w:val="50"/>
        </w:numPr>
        <w:rPr>
          <w:b/>
        </w:rPr>
      </w:pPr>
      <w:bookmarkStart w:id="189" w:name="TZ_B0270"/>
      <w:r>
        <w:rPr>
          <w:b/>
        </w:rPr>
        <w:t xml:space="preserve">Модернизация сценарных ИИ-моделей </w:t>
      </w:r>
      <w:bookmarkEnd w:id="189"/>
    </w:p>
    <w:p>
      <w:pPr>
        <w:pStyle w:val="Style47"/>
        <w:rPr/>
      </w:pPr>
      <w:r>
        <w:rPr/>
        <w:t xml:space="preserve">Необходимо повысить качество сценарных ИИ-моделей Подсистемы ИИ путем модернизации алгоритмов работы и/или внедрения новых правил и/или использования методов машинного обучения. Кроме того, необходимо расширить атрибутивный состав входных и выходных данных сценарных ИИ-моделей, которые потенциально могут являться отслеживаемыми фактами в рамках мониторинга цифровых индикаторов или являются приоритетными в деятельности инспекторского состава, под алгоритмы работы цифровых индикаторов рисков. </w:t>
      </w:r>
    </w:p>
    <w:p>
      <w:pPr>
        <w:pStyle w:val="Style47"/>
        <w:rPr/>
      </w:pPr>
      <w:r>
        <w:rPr/>
        <w:t>В качестве ключевых моделей, подлежащих доработке, в приоритетном порядке должны быть рассмотрены следующие сценарные ИИ-модели:</w:t>
      </w:r>
    </w:p>
    <w:p>
      <w:pPr>
        <w:pStyle w:val="Style47"/>
        <w:numPr>
          <w:ilvl w:val="0"/>
          <w:numId w:val="57"/>
        </w:numPr>
        <w:rPr/>
      </w:pPr>
      <w:r>
        <w:rPr/>
        <w:t xml:space="preserve">№ </w:t>
      </w:r>
      <w:r>
        <w:rPr/>
        <w:t>11 «При производстве объем сырья не соответствует объему продукции»;</w:t>
      </w:r>
    </w:p>
    <w:p>
      <w:pPr>
        <w:pStyle w:val="Style47"/>
        <w:numPr>
          <w:ilvl w:val="0"/>
          <w:numId w:val="57"/>
        </w:numPr>
        <w:rPr/>
      </w:pPr>
      <w:r>
        <w:rPr/>
        <w:t xml:space="preserve">№ </w:t>
      </w:r>
      <w:r>
        <w:rPr/>
        <w:t xml:space="preserve">12 «При производстве тип сырья не соответствует типу продукции»; </w:t>
      </w:r>
    </w:p>
    <w:p>
      <w:pPr>
        <w:pStyle w:val="Style47"/>
        <w:numPr>
          <w:ilvl w:val="0"/>
          <w:numId w:val="57"/>
        </w:numPr>
        <w:rPr/>
      </w:pPr>
      <w:r>
        <w:rPr/>
        <w:t xml:space="preserve">№ </w:t>
      </w:r>
      <w:r>
        <w:rPr/>
        <w:t>13 «Отсутствие сырья»</w:t>
      </w:r>
      <w:r>
        <w:rPr>
          <w:lang w:val="en-US"/>
        </w:rPr>
        <w:t>;</w:t>
      </w:r>
    </w:p>
    <w:p>
      <w:pPr>
        <w:pStyle w:val="Style47"/>
        <w:numPr>
          <w:ilvl w:val="0"/>
          <w:numId w:val="57"/>
        </w:numPr>
        <w:rPr/>
      </w:pPr>
      <w:r>
        <w:rPr/>
        <w:t xml:space="preserve">№ </w:t>
      </w:r>
      <w:r>
        <w:rPr/>
        <w:t xml:space="preserve">27 «Изменение сроков годности продукции через производство»; </w:t>
      </w:r>
    </w:p>
    <w:p>
      <w:pPr>
        <w:pStyle w:val="Style47"/>
        <w:numPr>
          <w:ilvl w:val="0"/>
          <w:numId w:val="57"/>
        </w:numPr>
        <w:rPr/>
      </w:pPr>
      <w:r>
        <w:rPr/>
        <w:t xml:space="preserve">№ </w:t>
      </w:r>
      <w:r>
        <w:rPr/>
        <w:t>30 «По итогам инвентаризации предприятие аномально увеличило объем продукции. Возможен Вброс продукции без ВСЭ»</w:t>
      </w:r>
      <w:r>
        <w:rPr>
          <w:lang w:val="en-US"/>
        </w:rPr>
        <w:t>.</w:t>
      </w:r>
    </w:p>
    <w:p>
      <w:pPr>
        <w:pStyle w:val="Style47"/>
        <w:rPr/>
      </w:pPr>
      <w:r>
        <w:rPr/>
        <w:t xml:space="preserve">В качестве дополнительных ИИ-моделей в приоритетном порядке должны быть рассмотрены следующие ИИ-модели: </w:t>
      </w:r>
    </w:p>
    <w:p>
      <w:pPr>
        <w:pStyle w:val="Style47"/>
        <w:numPr>
          <w:ilvl w:val="0"/>
          <w:numId w:val="58"/>
        </w:numPr>
        <w:rPr/>
      </w:pPr>
      <w:r>
        <w:rPr/>
        <w:t xml:space="preserve">№ </w:t>
      </w:r>
      <w:r>
        <w:rPr/>
        <w:t>14 «Создание записей журнала на основе бумажного ВСД»</w:t>
      </w:r>
    </w:p>
    <w:p>
      <w:pPr>
        <w:pStyle w:val="Style47"/>
        <w:numPr>
          <w:ilvl w:val="0"/>
          <w:numId w:val="58"/>
        </w:numPr>
        <w:rPr/>
      </w:pPr>
      <w:r>
        <w:rPr/>
        <w:t xml:space="preserve">№ </w:t>
      </w:r>
      <w:r>
        <w:rPr/>
        <w:t>25 «Биологический вид животного в продукции отсутствует или во время производственной транзакции изменен биологический или зоологический вид продукции»</w:t>
      </w:r>
    </w:p>
    <w:p>
      <w:pPr>
        <w:pStyle w:val="Style47"/>
        <w:numPr>
          <w:ilvl w:val="0"/>
          <w:numId w:val="58"/>
        </w:numPr>
        <w:rPr/>
      </w:pPr>
      <w:r>
        <w:rPr/>
        <w:t xml:space="preserve">№ </w:t>
      </w:r>
      <w:r>
        <w:rPr/>
        <w:t>31 «Жировой баланс молока»</w:t>
      </w:r>
    </w:p>
    <w:p>
      <w:pPr>
        <w:pStyle w:val="Style47"/>
        <w:numPr>
          <w:ilvl w:val="0"/>
          <w:numId w:val="58"/>
        </w:numPr>
        <w:rPr/>
      </w:pPr>
      <w:r>
        <w:rPr/>
        <w:t>№</w:t>
      </w:r>
      <w:r>
        <w:rPr/>
        <w:t>35 «Рост числа биоотходов»</w:t>
      </w:r>
    </w:p>
    <w:p>
      <w:pPr>
        <w:pStyle w:val="Style47"/>
        <w:numPr>
          <w:ilvl w:val="0"/>
          <w:numId w:val="58"/>
        </w:numPr>
        <w:rPr/>
      </w:pPr>
      <w:r>
        <w:rPr/>
        <w:t xml:space="preserve">№ </w:t>
      </w:r>
      <w:r>
        <w:rPr/>
        <w:t xml:space="preserve">36 «Отклонения в производстве». </w:t>
      </w:r>
    </w:p>
    <w:p>
      <w:pPr>
        <w:pStyle w:val="Style47"/>
        <w:rPr/>
      </w:pPr>
      <w:bookmarkStart w:id="190" w:name="TZ_B0284"/>
      <w:r>
        <w:rPr/>
        <w:t>Признаком приоритетных моделей является возможность инспекторского состава указать для них категорию «Нарушения, которые не относятся к срабатыванию цифровых индикаторов, но которые должны быть учтены при формировании материалов КНМ» или «Нарушения, относящиеся к срабатыванию цифровых индикаторов». Должно быть модернизировано 10 ИИ-моделей, их перечень должен быть согласован с Заказчиком на этапе технического проектирования.</w:t>
      </w:r>
      <w:bookmarkEnd w:id="190"/>
    </w:p>
    <w:p>
      <w:pPr>
        <w:pStyle w:val="Style47"/>
        <w:rPr/>
      </w:pPr>
      <w:bookmarkStart w:id="191" w:name="TZ_B0285"/>
      <w:r>
        <w:rPr/>
        <w:t>При модернизации ИИ-моделей должна быть использована отраслевая разметка, накопленная в Системе (компоненты направления «Искусственный интеллект», содержащие сведения об обработке подозрительных операций) и предоставленная Заказчиком (внешние таблицы, письма с обратной связью от инспекторского состава и т.д.). В случае, если для повышения качества работы ИИ-модели необходима загрузка дополнительных сведений в хранилище данных Системы:</w:t>
      </w:r>
      <w:bookmarkEnd w:id="191"/>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каждой модернизированной ИИ-модели атрибутивный состав выходных данных должен обеспечивать возможность возможности учета подозрительной операции как отслеживаемого факта и формирования детальной информации о сработавшем цифровом индикаторе, а также сбора по подозрительной операции доказательной базы. Атрибутивный состав зависит от вида выявляемой подозрительной операции и определяется на этапе технического проектирования.</w:t>
      </w:r>
    </w:p>
    <w:p>
      <w:pPr>
        <w:pStyle w:val="Style47"/>
        <w:ind w:firstLine="708"/>
        <w:rPr/>
      </w:pPr>
      <w:r>
        <w:rPr/>
        <w:t>При работе каждой доработанной ИИ-модели и выявлении подозрительных операций необходимо обеспечить сохранение служебной информации,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технических таблицах, например, «Идентификаторы» и «Расчеты» (для сохранения расчетов и определения аномальности).</w:t>
      </w:r>
    </w:p>
    <w:p>
      <w:pPr>
        <w:pStyle w:val="Style47"/>
        <w:ind w:firstLine="708"/>
        <w:rPr/>
      </w:pPr>
      <w:r>
        <w:rPr/>
        <w:t>Перечень технических таблиц, а также формат сохранения сведений о проведенных расчётах и атрибутивный состав для каждой операции определяются на этапе технического проектирования.</w:t>
      </w:r>
    </w:p>
    <w:p>
      <w:pPr>
        <w:pStyle w:val="Style47"/>
        <w:ind w:firstLine="708"/>
        <w:rPr/>
      </w:pPr>
      <w:r>
        <w:rPr/>
        <w:t>При наличии технической возможности должно также сохраняться тестовое описание расчетов, согласно которым операция является подозрительной, с детальным описанием учтенных метрик, используемых сущностей и их значений (например, позиции сырья и продукции с указанием наименования и количества при расчете балансов).</w:t>
      </w:r>
    </w:p>
    <w:p>
      <w:pPr>
        <w:pStyle w:val="Style47"/>
        <w:ind w:firstLine="708"/>
        <w:rPr/>
      </w:pPr>
      <w:r>
        <w:rPr/>
      </w:r>
    </w:p>
    <w:p>
      <w:pPr>
        <w:pStyle w:val="Style47"/>
        <w:numPr>
          <w:ilvl w:val="2"/>
          <w:numId w:val="50"/>
        </w:numPr>
        <w:rPr>
          <w:b/>
        </w:rPr>
      </w:pPr>
      <w:bookmarkStart w:id="192" w:name="TZ_B0294"/>
      <w:r>
        <w:rPr>
          <w:b/>
        </w:rPr>
        <w:t xml:space="preserve">Модернизация цифровых индикаторов </w:t>
      </w:r>
      <w:bookmarkEnd w:id="192"/>
    </w:p>
    <w:p>
      <w:pPr>
        <w:pStyle w:val="Style47"/>
        <w:rPr/>
      </w:pPr>
      <w:r>
        <w:rPr/>
        <w:t>Расчет срабатывания цифровых индикаторов должен производиться на основе отслеживаемых фактов с периодичностью, указанной в 732 приказе и/или иной релевантной периодичностью, релевантной для выявления срабатываний индикаторов и согласованной с Заказчиком. При расчете срабатываний цифровых индикаторов должны учитываться все виды накопленных фактов, а именно:</w:t>
      </w:r>
    </w:p>
    <w:p>
      <w:pPr>
        <w:pStyle w:val="Style47"/>
        <w:numPr>
          <w:ilvl w:val="0"/>
          <w:numId w:val="62"/>
        </w:numPr>
        <w:rPr/>
      </w:pPr>
      <w:r>
        <w:rPr/>
        <w:t>Сформированные в результате подтверждения инспекторским составом нарушения в подозрительной операции, выявленной сценарными ИИ-моделями. Обязательно должны учитываться нарушения, помеченные как «Нарушения, относящиеся к срабатыванию цифровых индикаторов»;</w:t>
      </w:r>
    </w:p>
    <w:p>
      <w:pPr>
        <w:pStyle w:val="Style47"/>
        <w:numPr>
          <w:ilvl w:val="0"/>
          <w:numId w:val="62"/>
        </w:numPr>
        <w:rPr/>
      </w:pPr>
      <w:r>
        <w:rPr/>
        <w:t>Внесенные инспекторским составом вручную</w:t>
      </w:r>
      <w:r>
        <w:rPr>
          <w:lang w:val="en-US"/>
        </w:rPr>
        <w:t>;</w:t>
      </w:r>
    </w:p>
    <w:p>
      <w:pPr>
        <w:pStyle w:val="Style47"/>
        <w:numPr>
          <w:ilvl w:val="0"/>
          <w:numId w:val="62"/>
        </w:numPr>
        <w:rPr/>
      </w:pPr>
      <w:r>
        <w:rPr/>
        <w:t>Рассчитанные алгоритмами и/или правилами и/или методами машинного обучения в составе самого цифрового индикатора.</w:t>
      </w:r>
    </w:p>
    <w:p>
      <w:pPr>
        <w:pStyle w:val="Style47"/>
        <w:rPr/>
      </w:pPr>
      <w:r>
        <w:rPr/>
        <w:t>Расчет отслеживаемых фактов самим цифровым индикатором должен осуществляться с учетом 732 приказа и уже существующими подходами, использованными в блоке «Цифровые индикаторы» Системы ранее. Способы выявления отслеживаемых фактов самими цифровыми индикаторами, атрибутивный состав и подходящие для этого методы определяются на этапе технического проектирования. Должна быть реализована настройка учета видов отслеживаемых фактов для каждого цифрового индикатора, по умолчанию должны учитываться все виды. На этапе технического проектирования должен быть проведен анализ целесообразности многократного использования отслеживаемых фактов в разных карточках сработавших индикаторов рисков, по результатам анализа Исполнитель согласует с Заказчиком наиболее оптимальный подход (учитывать разово, учитывать для каждого нового экземпляра сработавшего индикатора или учитывать согласно настройкам индикатора).</w:t>
      </w:r>
    </w:p>
    <w:p>
      <w:pPr>
        <w:pStyle w:val="Style47"/>
        <w:rPr/>
      </w:pPr>
      <w:r>
        <w:rPr/>
        <w:t>При разработке модернизированных алгоритмов и структур данных должна использоваться разметка, предоставляемая Заказчиком в виде документов с обратной связью от инспекторского состава (включает конкретные факты правильного/неправильного функционирования текущей реализации цифровых индикаторов, предложения по совершенствованию и иную релевантную информацию).</w:t>
      </w:r>
    </w:p>
    <w:p>
      <w:pPr>
        <w:pStyle w:val="Style47"/>
        <w:rPr/>
      </w:pPr>
      <w:bookmarkStart w:id="193" w:name="TZ_B0301"/>
      <w:r>
        <w:rPr/>
        <w:t>Качество модернизированных индикаторов не должно быть меньше чем у исходной версии (компонентов блока «Цифровые индикаторы») Системы, за метрику качества берется количество подтвержденных срабатываний по отношению к общему числу проверенных записей на выборке размером не менее 1000.</w:t>
      </w:r>
      <w:bookmarkEnd w:id="193"/>
    </w:p>
    <w:p>
      <w:pPr>
        <w:pStyle w:val="Style47"/>
        <w:rPr/>
      </w:pPr>
      <w:r>
        <w:rPr/>
        <w:t>Для каждого учтенного отслеживаемого факта в карточке сработавшего цифрового индикатора должна быть возможность отметки как неподтвержденного (с сохранением совершившего данное действие пользователя и его аргументации), по умолчанию все отслеживаемые факты считаются подтвержденными. При наличии неподтвержденных отслеживаемых фактов должен быть осуществлен пересчет корректности срабатывания. 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pPr>
        <w:pStyle w:val="Style47"/>
        <w:rPr/>
      </w:pPr>
      <w:r>
        <w:rPr/>
        <w:t>У сработавших цифровых индикаторов, по которым была направлена информация о сработавшем цифровом индикаторе в соответствии с требованиями раздела 7 «Требования к интеграционному взаимодействию», должна быть заблокирована и возможность изменения статуса учтенного отслеживаемого факта, и пересчета (как автоматического, так и по инициативе пользователей).</w:t>
      </w:r>
    </w:p>
    <w:p>
      <w:pPr>
        <w:pStyle w:val="Style47"/>
        <w:rPr/>
      </w:pPr>
      <w:r>
        <w:rPr/>
        <w:t>Для каждого сработавшего цифрового индикатора должны быть сохранены следующие сведения:</w:t>
      </w:r>
    </w:p>
    <w:p>
      <w:pPr>
        <w:pStyle w:val="Style47"/>
        <w:numPr>
          <w:ilvl w:val="0"/>
          <w:numId w:val="60"/>
        </w:numPr>
        <w:rPr>
          <w:color w:val="000000"/>
        </w:rPr>
      </w:pPr>
      <w:r>
        <w:rPr>
          <w:color w:val="000000"/>
        </w:rPr>
        <w:t xml:space="preserve">идентификационные данные о подтвержденном инциденте; </w:t>
      </w:r>
    </w:p>
    <w:p>
      <w:pPr>
        <w:pStyle w:val="Style47"/>
        <w:numPr>
          <w:ilvl w:val="0"/>
          <w:numId w:val="60"/>
        </w:numPr>
        <w:rPr>
          <w:color w:val="000000"/>
        </w:rPr>
      </w:pPr>
      <w:r>
        <w:rPr>
          <w:color w:val="000000"/>
        </w:rPr>
        <w:t xml:space="preserve">сведения об объекте/субъекте контроля; </w:t>
      </w:r>
    </w:p>
    <w:p>
      <w:pPr>
        <w:pStyle w:val="Style47"/>
        <w:numPr>
          <w:ilvl w:val="0"/>
          <w:numId w:val="60"/>
        </w:numPr>
        <w:rPr>
          <w:color w:val="000000"/>
        </w:rPr>
      </w:pPr>
      <w:r>
        <w:rPr>
          <w:color w:val="000000"/>
        </w:rPr>
        <w:t xml:space="preserve">вид индикатора (с учетом 732 приказа и требований к интеграционному взаимодействию); </w:t>
      </w:r>
    </w:p>
    <w:p>
      <w:pPr>
        <w:pStyle w:val="Style47"/>
        <w:numPr>
          <w:ilvl w:val="0"/>
          <w:numId w:val="60"/>
        </w:numPr>
        <w:rPr>
          <w:color w:val="000000"/>
        </w:rPr>
      </w:pPr>
      <w:r>
        <w:rPr>
          <w:color w:val="000000"/>
        </w:rPr>
        <w:t xml:space="preserve">дата и время проведения расчета; </w:t>
      </w:r>
    </w:p>
    <w:p>
      <w:pPr>
        <w:pStyle w:val="Style47"/>
        <w:numPr>
          <w:ilvl w:val="0"/>
          <w:numId w:val="60"/>
        </w:numPr>
        <w:rPr>
          <w:color w:val="000000"/>
        </w:rPr>
      </w:pPr>
      <w:r>
        <w:rPr>
          <w:color w:val="000000"/>
        </w:rPr>
        <w:t>сведения, образующие доказательную базу (идентификаторы операций для направления в подсистему автоматического сбора доказательной базы по сработавшим цифровым индикаторам рисков);</w:t>
      </w:r>
    </w:p>
    <w:p>
      <w:pPr>
        <w:pStyle w:val="Style47"/>
        <w:numPr>
          <w:ilvl w:val="0"/>
          <w:numId w:val="60"/>
        </w:numPr>
        <w:rPr>
          <w:color w:val="000000"/>
        </w:rPr>
      </w:pPr>
      <w:r>
        <w:rPr>
          <w:color w:val="000000"/>
        </w:rPr>
        <w:t>потенциально нарушенные требования действующего законодательства;</w:t>
      </w:r>
    </w:p>
    <w:p>
      <w:pPr>
        <w:pStyle w:val="Style47"/>
        <w:numPr>
          <w:ilvl w:val="0"/>
          <w:numId w:val="60"/>
        </w:numPr>
        <w:rPr>
          <w:color w:val="000000"/>
        </w:rPr>
      </w:pPr>
      <w:r>
        <w:rPr>
          <w:color w:val="000000"/>
        </w:rPr>
        <w:t>другие сведения, необходимые для взаимодействия с подсистемой автоматического сбора доказательной базы по сработавшим цифровым индикаторам рисков, а также для осуществления интеграционного взаимодействия, описанного в разделе «7. Требования к интеграционному взаимодействию».</w:t>
      </w:r>
    </w:p>
    <w:p>
      <w:pPr>
        <w:pStyle w:val="NormalWeb"/>
        <w:spacing w:beforeAutospacing="0" w:before="0" w:afterAutospacing="0" w:after="0"/>
        <w:ind w:firstLine="708"/>
        <w:jc w:val="both"/>
        <w:textAlignment w:val="baseline"/>
        <w:rPr>
          <w:color w:val="000000"/>
        </w:rPr>
      </w:pPr>
      <w:r>
        <w:rPr>
          <w:color w:val="000000"/>
        </w:rPr>
        <w:t>На этапе обследования отраслевых технологических процессов должны быть описаны:</w:t>
      </w:r>
    </w:p>
    <w:p>
      <w:pPr>
        <w:pStyle w:val="Style47"/>
        <w:numPr>
          <w:ilvl w:val="0"/>
          <w:numId w:val="60"/>
        </w:numPr>
        <w:rPr>
          <w:color w:val="000000"/>
        </w:rPr>
      </w:pPr>
      <w:r>
        <w:rPr>
          <w:color w:val="000000"/>
        </w:rPr>
        <w:t>Правила поиска исходных (входных) данных для каждого цифрового индикатора, включая правила их выбора из компонентов ФГИС «ВетИС», хранилища системы и иных источников в составе инфраструктуры Россельхознадзора;</w:t>
      </w:r>
    </w:p>
    <w:p>
      <w:pPr>
        <w:pStyle w:val="Style47"/>
        <w:numPr>
          <w:ilvl w:val="0"/>
          <w:numId w:val="60"/>
        </w:numPr>
        <w:rPr>
          <w:color w:val="000000"/>
        </w:rPr>
      </w:pPr>
      <w:r>
        <w:rPr>
          <w:color w:val="000000"/>
        </w:rPr>
        <w:t>Порядок подтверждения/отклонения инспектором автоматически рассчитанных цифровых индикаторов рисков;</w:t>
      </w:r>
    </w:p>
    <w:p>
      <w:pPr>
        <w:pStyle w:val="Style47"/>
        <w:numPr>
          <w:ilvl w:val="0"/>
          <w:numId w:val="60"/>
        </w:numPr>
        <w:rPr>
          <w:color w:val="000000"/>
        </w:rPr>
      </w:pPr>
      <w:r>
        <w:rPr>
          <w:color w:val="000000"/>
        </w:rPr>
        <w:t>Порядок подтверждения/отклонения инспектором отслеживаемых фактов отклонений, включая указание на потенциально нарушенные требования действующего законодательства;</w:t>
      </w:r>
    </w:p>
    <w:p>
      <w:pPr>
        <w:pStyle w:val="Style47"/>
        <w:numPr>
          <w:ilvl w:val="0"/>
          <w:numId w:val="60"/>
        </w:numPr>
        <w:rPr>
          <w:color w:val="000000"/>
        </w:rPr>
      </w:pPr>
      <w:r>
        <w:rPr>
          <w:color w:val="000000"/>
        </w:rPr>
        <w:t>Состав выходных данных для каждого цифрового индикатора.</w:t>
      </w:r>
    </w:p>
    <w:p>
      <w:pPr>
        <w:pStyle w:val="Style47"/>
        <w:rPr/>
      </w:pPr>
      <w:bookmarkStart w:id="194" w:name="TZ_B0317"/>
      <w:r>
        <w:rPr/>
        <w:t>В случае, если для повышения качества работы цифровых индикаторов необходима загрузка дополнительных сведений в хранилище данных Системы:</w:t>
      </w:r>
      <w:bookmarkEnd w:id="194"/>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каждого цифрового индикатора по результатам модернизации должна быть возможность вызова подсистемы автоматического сбора доказательной базы по сработавшим цифровым индикаторам рисков, а также осуществления интеграционного взаимодействия в соответствии с требованиями раздела «</w:t>
      </w:r>
      <w:r>
        <w:rPr>
          <w:color w:val="000000"/>
        </w:rPr>
        <w:t>7. Требования к интеграционному взаимодействию»</w:t>
      </w:r>
      <w:r>
        <w:rPr/>
        <w:t>.</w:t>
      </w:r>
    </w:p>
    <w:p>
      <w:pPr>
        <w:pStyle w:val="BodyText"/>
        <w:rPr>
          <w:lang w:eastAsia="en-US"/>
        </w:rPr>
      </w:pPr>
      <w:r>
        <w:rPr>
          <w:lang w:eastAsia="en-US"/>
        </w:rPr>
      </w:r>
    </w:p>
    <w:p>
      <w:pPr>
        <w:pStyle w:val="Style47"/>
        <w:numPr>
          <w:ilvl w:val="2"/>
          <w:numId w:val="50"/>
        </w:numPr>
        <w:rPr>
          <w:b/>
        </w:rPr>
      </w:pPr>
      <w:bookmarkStart w:id="195" w:name="TZ_B0323"/>
      <w:r>
        <w:rPr>
          <w:b/>
        </w:rPr>
        <w:t>Создание технических справочников</w:t>
      </w:r>
      <w:bookmarkEnd w:id="195"/>
    </w:p>
    <w:p>
      <w:pPr>
        <w:pStyle w:val="BodyText"/>
        <w:ind w:firstLine="708"/>
        <w:rPr/>
      </w:pPr>
      <w:r>
        <w:rPr/>
        <w:t>Должны быть созданы технические справочники и таблицы, необходимые для функционирования модернизированных ИИ-моделей, модернизированных цифровых индикаторов, работы с модернизированными согласно требованиям раздела «2.3. Требования к интерфейсу» интерфейсами, а также для осуществления интеграционного взаимодействия согласно требованиям раздела «</w:t>
      </w:r>
      <w:r>
        <w:rPr>
          <w:color w:val="000000"/>
        </w:rPr>
        <w:t>7. Требования к интеграционному взаимодействию»</w:t>
      </w:r>
      <w:r>
        <w:rPr/>
        <w:t>.</w:t>
      </w:r>
    </w:p>
    <w:p>
      <w:pPr>
        <w:pStyle w:val="BodyText"/>
        <w:rPr/>
      </w:pPr>
      <w:r>
        <w:rPr/>
        <w:t xml:space="preserve"> </w:t>
      </w:r>
      <w:r>
        <w:rPr/>
        <w:tab/>
        <w:t>В качестве приоритетных должны быть рассмотрены следующие технические справочники и таблицы: «Нормативные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«Пункт нормативного документа»).</w:t>
      </w:r>
    </w:p>
    <w:p>
      <w:pPr>
        <w:pStyle w:val="BodyText"/>
        <w:rPr/>
      </w:pPr>
      <w:r>
        <w:rPr/>
        <w:tab/>
        <w:t>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согласуется с Заказчиком.</w:t>
      </w:r>
    </w:p>
    <w:p>
      <w:pPr>
        <w:pStyle w:val="BodyText"/>
        <w:rPr/>
      </w:pPr>
      <w:r>
        <w:rPr/>
        <w:tab/>
        <w:t>Правила взаимодействия со справочниками, включая их наполнение, корректировку и использование, определяются на этапе технического проектирования.</w:t>
      </w:r>
    </w:p>
    <w:p>
      <w:pPr>
        <w:pStyle w:val="BodyText"/>
        <w:rPr/>
      </w:pPr>
      <w:r>
        <w:rPr/>
      </w:r>
    </w:p>
    <w:p>
      <w:pPr>
        <w:pStyle w:val="Heading3"/>
        <w:numPr>
          <w:ilvl w:val="1"/>
          <w:numId w:val="50"/>
        </w:numPr>
        <w:spacing w:lineRule="auto" w:line="276" w:before="200" w:after="0"/>
        <w:jc w:val="start"/>
        <w:rPr>
          <w:rFonts w:cs="Times New Roman"/>
          <w:b/>
          <w:szCs w:val="24"/>
        </w:rPr>
      </w:pPr>
      <w:r>
        <w:rPr>
          <w:rFonts w:cs="Times New Roman"/>
          <w:b/>
          <w:szCs w:val="24"/>
        </w:rPr>
        <w:t>Требования к интерфейсу</w:t>
      </w:r>
    </w:p>
    <w:p>
      <w:pPr>
        <w:pStyle w:val="Style47"/>
        <w:rPr/>
      </w:pPr>
      <w:r>
        <w:rPr/>
      </w:r>
    </w:p>
    <w:p>
      <w:pPr>
        <w:pStyle w:val="Style47"/>
        <w:numPr>
          <w:ilvl w:val="2"/>
          <w:numId w:val="50"/>
        </w:numPr>
        <w:rPr>
          <w:b/>
        </w:rPr>
      </w:pPr>
      <w:bookmarkStart w:id="196" w:name="TZ_B0331"/>
      <w:r>
        <w:rPr>
          <w:b/>
        </w:rPr>
        <w:t>Интерфейсы работы со сценарными ИИ-моделями</w:t>
      </w:r>
      <w:bookmarkEnd w:id="196"/>
    </w:p>
    <w:p>
      <w:pPr>
        <w:pStyle w:val="Style47"/>
        <w:rPr/>
      </w:pPr>
      <w:r>
        <w:rPr/>
        <w:t>Должны быть доработаны экранные формы одиночной и групповой обработки подозрительных операций в АРМ Эксперта и АРМ Инспектора блока «Искусственный интеллект» Системы.</w:t>
      </w:r>
    </w:p>
    <w:p>
      <w:pPr>
        <w:pStyle w:val="Style47"/>
        <w:rPr/>
      </w:pPr>
      <w:r>
        <w:rPr/>
        <w:t>При обработке подозрительных операций из всех ИИ-моделей должна быть возможность:</w:t>
      </w:r>
    </w:p>
    <w:p>
      <w:pPr>
        <w:pStyle w:val="Style47"/>
        <w:numPr>
          <w:ilvl w:val="0"/>
          <w:numId w:val="64"/>
        </w:numPr>
        <w:rPr/>
      </w:pPr>
      <w:r>
        <w:rPr/>
        <w:t>Для кластерных нарушений (когда группа подозрительных операций относится фактически к одному нарушению) - указания идентификатора основной связанной подозрительной операции. При групповой обработке должна быть возможность указать основную связанную операцию сразу всем обрабатываемым и подтверждаемым нарушениям;</w:t>
      </w:r>
    </w:p>
    <w:p>
      <w:pPr>
        <w:pStyle w:val="Style47"/>
        <w:numPr>
          <w:ilvl w:val="0"/>
          <w:numId w:val="64"/>
        </w:numPr>
        <w:rPr/>
      </w:pPr>
      <w:r>
        <w:rPr/>
        <w:t>В АРМ Инспектора - указания подтверждения принятых мер;</w:t>
      </w:r>
    </w:p>
    <w:p>
      <w:pPr>
        <w:pStyle w:val="Style47"/>
        <w:numPr>
          <w:ilvl w:val="0"/>
          <w:numId w:val="64"/>
        </w:numPr>
        <w:rPr/>
      </w:pPr>
      <w:r>
        <w:rPr/>
        <w:t>При отметке подозрительной операции как неподтвержденного нарушения - указания причины отклонения подозрительной операции из справочника;</w:t>
      </w:r>
    </w:p>
    <w:p>
      <w:pPr>
        <w:pStyle w:val="Style47"/>
        <w:numPr>
          <w:ilvl w:val="0"/>
          <w:numId w:val="64"/>
        </w:numPr>
        <w:rPr/>
      </w:pPr>
      <w:bookmarkStart w:id="197" w:name="TZ_B0337"/>
      <w:r>
        <w:rPr/>
        <w:t>Выбора из списка документов (нормативных, внутренних и других) тех позиций, которые использовались при принятии решения. В случае отсутствия значения в списке необходимо дать возможность ввести значение вручную;</w:t>
      </w:r>
      <w:bookmarkEnd w:id="197"/>
    </w:p>
    <w:p>
      <w:pPr>
        <w:pStyle w:val="Style47"/>
        <w:numPr>
          <w:ilvl w:val="0"/>
          <w:numId w:val="64"/>
        </w:numPr>
        <w:rPr/>
      </w:pPr>
      <w:r>
        <w:rPr/>
        <w:t>Просмотра тестового описания расчетов и иной дополнительной информации, появившейся в результате модернизации сценарных ИИ-моделей.</w:t>
      </w:r>
    </w:p>
    <w:p>
      <w:pPr>
        <w:pStyle w:val="Style47"/>
        <w:rPr/>
      </w:pPr>
      <w:r>
        <w:rPr/>
        <w:t>При обработке подозрительных операций из ИИ-моделей, которые потенциально могут формировать отслеживаемые факты для цифровых индикаторов (перечень согласуется с Заказчиком с учетом выполнения пункта «2.2.1. Модернизация сценарных ИИ-моделей») должна быть возможность:</w:t>
      </w:r>
    </w:p>
    <w:p>
      <w:pPr>
        <w:pStyle w:val="Style47"/>
        <w:numPr>
          <w:ilvl w:val="0"/>
          <w:numId w:val="63"/>
        </w:numPr>
        <w:rPr/>
      </w:pPr>
      <w:r>
        <w:rPr/>
        <w:t>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формировании материалов КНМ», «Нарушения, относящиеся к срабатыванию цифровых индикаторов»);</w:t>
      </w:r>
    </w:p>
    <w:p>
      <w:pPr>
        <w:pStyle w:val="Style47"/>
        <w:numPr>
          <w:ilvl w:val="0"/>
          <w:numId w:val="63"/>
        </w:numPr>
        <w:rPr/>
      </w:pPr>
      <w:r>
        <w:rPr/>
        <w:t>Выбора конкретных нарушенных нормативно-правовых актов и/или обязательных требований;</w:t>
      </w:r>
    </w:p>
    <w:p>
      <w:pPr>
        <w:pStyle w:val="Style47"/>
        <w:numPr>
          <w:ilvl w:val="0"/>
          <w:numId w:val="63"/>
        </w:numPr>
        <w:rPr/>
      </w:pPr>
      <w:r>
        <w:rPr/>
        <w:t>Выбора предполагаемых мер для принятия в случае срабатывания индикатора.</w:t>
      </w:r>
    </w:p>
    <w:p>
      <w:pPr>
        <w:pStyle w:val="Style47"/>
        <w:rPr/>
      </w:pPr>
      <w:r>
        <w:rPr/>
        <w:t>Видимость полей в зависимости от сценарной ИИ-модели, а также макеты экранных форм и атрибуты данных, а также особенности реализации определяются на этапе технического проектирования.</w:t>
      </w:r>
    </w:p>
    <w:p>
      <w:pPr>
        <w:pStyle w:val="Style47"/>
        <w:rPr/>
      </w:pPr>
      <w:r>
        <w:rPr/>
      </w:r>
    </w:p>
    <w:p>
      <w:pPr>
        <w:pStyle w:val="Style47"/>
        <w:numPr>
          <w:ilvl w:val="2"/>
          <w:numId w:val="50"/>
        </w:numPr>
        <w:rPr>
          <w:b/>
        </w:rPr>
      </w:pPr>
      <w:bookmarkStart w:id="198" w:name="TZ_B0345"/>
      <w:r>
        <w:rPr>
          <w:b/>
        </w:rPr>
        <w:t>Интерфейсы работы с цифровыми индикаторами</w:t>
      </w:r>
      <w:bookmarkEnd w:id="198"/>
    </w:p>
    <w:p>
      <w:pPr>
        <w:pStyle w:val="Style47"/>
        <w:ind w:hanging="0"/>
        <w:rPr/>
      </w:pPr>
      <w:r>
        <w:rPr/>
      </w:r>
    </w:p>
    <w:p>
      <w:pPr>
        <w:pStyle w:val="Style47"/>
        <w:rPr/>
      </w:pPr>
      <w:r>
        <w:rPr/>
        <w:t>Для каждого цифрового индикатора риска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w:t>
      </w:r>
    </w:p>
    <w:p>
      <w:pPr>
        <w:pStyle w:val="Style47"/>
        <w:numPr>
          <w:ilvl w:val="0"/>
          <w:numId w:val="65"/>
        </w:numPr>
        <w:rPr/>
      </w:pPr>
      <w:r>
        <w:rPr/>
        <w:t>Просмотр информации о сработавшем индикаторе рисков;</w:t>
      </w:r>
    </w:p>
    <w:p>
      <w:pPr>
        <w:pStyle w:val="Style47"/>
        <w:numPr>
          <w:ilvl w:val="0"/>
          <w:numId w:val="65"/>
        </w:numPr>
        <w:rPr/>
      </w:pPr>
      <w:r>
        <w:rPr/>
        <w:t>Просмотр детальной информации об отслеживаемых фактах, учтенных в сработавшем цифровом индикаторе, а также деталей по каждому отслеживаемому факту;</w:t>
      </w:r>
    </w:p>
    <w:p>
      <w:pPr>
        <w:pStyle w:val="Style47"/>
        <w:numPr>
          <w:ilvl w:val="0"/>
          <w:numId w:val="65"/>
        </w:numPr>
        <w:rPr/>
      </w:pPr>
      <w:r>
        <w:rPr/>
        <w:t>Изменение статуса учета отслеживаемых фактов;</w:t>
      </w:r>
    </w:p>
    <w:p>
      <w:pPr>
        <w:pStyle w:val="Style47"/>
        <w:numPr>
          <w:ilvl w:val="0"/>
          <w:numId w:val="65"/>
        </w:numPr>
        <w:rPr/>
      </w:pPr>
      <w:r>
        <w:rPr/>
        <w:t>Просмотр нормативной информации по цифровому индикатору и учтенных в нем отслеживаемых фактах.</w:t>
      </w:r>
    </w:p>
    <w:p>
      <w:pPr>
        <w:pStyle w:val="Style47"/>
        <w:rPr/>
      </w:pPr>
      <w:r>
        <w:rPr/>
        <w:t>Должны быть созданы новые экранные формы обработки цифровых индикаторов рисков, имеющие в том числе возможность указания статуса рассмотрения и позиции инспектора (включая пункты соответствующих нормативных правовых актов), а также возможность вызова подсистемы автоматического сбора доказательной базы по сработавшим цифровым индикаторам рисков и отправки сведений о сработавшем индикаторе риска согласно пункту «7. Требования к интеграционному взаимодействию». Также для каждого учтенного в сработавшем цифровом индикаторе отслеживаемого факта должна быть возможность отметки как неподтвержденного с указанием причины установки такой отметки.</w:t>
      </w:r>
    </w:p>
    <w:p>
      <w:pPr>
        <w:pStyle w:val="Style47"/>
        <w:rPr/>
      </w:pPr>
      <w:r>
        <w:rPr/>
        <w:t xml:space="preserve">Сработавший цифровой индикатор, имеющий расхождения по результатам вызова подсистемы автоматического сбора доказательной базы по сработавшим цифровым индикаторам рисков, не должен иметь возможность отправки сведений о сработавшем цифровом индикаторе. </w:t>
      </w:r>
    </w:p>
    <w:p>
      <w:pPr>
        <w:pStyle w:val="Style47"/>
        <w:rPr/>
      </w:pPr>
      <w:r>
        <w:rP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pPr>
        <w:pStyle w:val="Style47"/>
        <w:ind w:hanging="0"/>
        <w:rPr/>
      </w:pPr>
      <w:r>
        <w:rPr/>
        <w:tab/>
        <w:t>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w:t>
      </w:r>
    </w:p>
    <w:p>
      <w:pPr>
        <w:pStyle w:val="Style47"/>
        <w:rPr/>
      </w:pPr>
      <w:bookmarkStart w:id="199" w:name="TZ_B0356"/>
      <w:r>
        <w:rPr/>
        <w:t>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 включая действия пользователей и вызовы внутренних/внешних сервисов.</w:t>
      </w:r>
      <w:bookmarkEnd w:id="199"/>
    </w:p>
    <w:p>
      <w:pPr>
        <w:pStyle w:val="Style47"/>
        <w:rPr/>
      </w:pPr>
      <w:r>
        <w:rPr/>
        <w:t>Макеты обновленных экранных форм, особенности вызова функций и их состав должны быть подготовлены на этапе технического проектирования.</w:t>
      </w:r>
    </w:p>
    <w:p>
      <w:pPr>
        <w:pStyle w:val="BodyText"/>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200" w:name="_Toc240723517"/>
      <w:bookmarkStart w:id="201" w:name="TZ_B0359"/>
      <w:r>
        <w:rPr>
          <w:rFonts w:cs="Times New Roman"/>
          <w:szCs w:val="24"/>
        </w:rPr>
        <w:t>Требования к подсистеме автоматического сбора доказательной базы по сработавшим цифровым индикаторам рисков</w:t>
      </w:r>
      <w:bookmarkEnd w:id="200"/>
      <w:bookmarkEnd w:id="201"/>
    </w:p>
    <w:p>
      <w:pPr>
        <w:pStyle w:val="Style47"/>
        <w:rPr/>
      </w:pPr>
      <w:r>
        <w:rPr/>
      </w:r>
    </w:p>
    <w:p>
      <w:pPr>
        <w:pStyle w:val="Style47"/>
        <w:rPr/>
      </w:pPr>
      <w:r>
        <w:rPr/>
        <w:t>Подсистема автоматического сбора доказательной базы по сработавшим цифровым индикаторам рисков должна</w:t>
      </w:r>
      <w:r>
        <w:rPr>
          <w:color w:val="000000"/>
        </w:rPr>
        <w:t xml:space="preserve"> </w:t>
      </w:r>
      <w:r>
        <w:rPr/>
        <w:t xml:space="preserve">включать в себя совокупность алгоритмических моделей для сбора доказательной базы по подтвержденным сработавшим цифровым индикаторам рисков. </w:t>
      </w:r>
    </w:p>
    <w:p>
      <w:pPr>
        <w:pStyle w:val="Style47"/>
        <w:rPr/>
      </w:pPr>
      <w:r>
        <w:rPr/>
        <w:t>Основными функциями подсистемы являются:</w:t>
      </w:r>
    </w:p>
    <w:p>
      <w:pPr>
        <w:pStyle w:val="Style47"/>
        <w:numPr>
          <w:ilvl w:val="0"/>
          <w:numId w:val="65"/>
        </w:numPr>
        <w:rPr/>
      </w:pPr>
      <w:r>
        <w:rPr/>
        <w:t>Проверка актуальности сведений в отслеживаемых фактах путем сопоставления сохраненной информации о входящих в них операциях со сведениями о вышеуказанных операциях в хранилище Системы на момент вызова функции. В случае, если обнаружены расхождения, подсистема должна сообщить об этом;</w:t>
      </w:r>
    </w:p>
    <w:p>
      <w:pPr>
        <w:pStyle w:val="Style47"/>
        <w:numPr>
          <w:ilvl w:val="0"/>
          <w:numId w:val="65"/>
        </w:numPr>
        <w:rPr/>
      </w:pPr>
      <w:r>
        <w:rPr/>
        <w:t>Формирование сведений о субъекте/объекте контроля, в отношении которого сработал индикатор риска, на основании сведений в аналитическом хранилище Системы;</w:t>
      </w:r>
    </w:p>
    <w:p>
      <w:pPr>
        <w:pStyle w:val="Style47"/>
        <w:numPr>
          <w:ilvl w:val="0"/>
          <w:numId w:val="65"/>
        </w:numPr>
        <w:rPr/>
      </w:pPr>
      <w:r>
        <w:rPr/>
        <w:t>Формирование сведений об операциях, входящих в состав отслеживаемых фактов, включая основные и детальные сведения об операциях. В случае наличия технической возможности также должны формироваться сведения о связанных операциях (в ситуациях, когда это целесообразно);</w:t>
      </w:r>
    </w:p>
    <w:p>
      <w:pPr>
        <w:pStyle w:val="Style47"/>
        <w:numPr>
          <w:ilvl w:val="0"/>
          <w:numId w:val="65"/>
        </w:numPr>
        <w:rPr/>
      </w:pPr>
      <w:bookmarkStart w:id="202" w:name="TZ_B0366"/>
      <w:r>
        <w:rPr/>
        <w:t xml:space="preserve">Формирование пакета прилагаемых файлов в формате </w:t>
      </w:r>
      <w:r>
        <w:rPr>
          <w:lang w:val="en-US"/>
        </w:rPr>
        <w:t>PDF</w:t>
      </w:r>
      <w:r>
        <w:rPr/>
        <w:t xml:space="preserve">, подписанных подписью системы. Сервис подписания </w:t>
      </w:r>
      <w:r>
        <w:rPr>
          <w:lang w:val="en-US"/>
        </w:rPr>
        <w:t>PDF</w:t>
      </w:r>
      <w:r>
        <w:rPr/>
        <w:t xml:space="preserve">-документов предоставляет Заказчик. Должна быть реализована возможность включать и отключать обязательное подписание </w:t>
      </w:r>
      <w:r>
        <w:rPr>
          <w:lang w:val="en-US"/>
        </w:rPr>
        <w:t>PDF</w:t>
      </w:r>
      <w:r>
        <w:rPr/>
        <w:t>-документов;</w:t>
      </w:r>
      <w:bookmarkEnd w:id="202"/>
    </w:p>
    <w:p>
      <w:pPr>
        <w:pStyle w:val="Style47"/>
        <w:numPr>
          <w:ilvl w:val="0"/>
          <w:numId w:val="65"/>
        </w:numPr>
        <w:rPr/>
      </w:pPr>
      <w:r>
        <w:rPr/>
        <w:t xml:space="preserve">Формирование структурированных сведений в формате </w:t>
      </w:r>
      <w:r>
        <w:rPr>
          <w:lang w:val="en-US"/>
        </w:rPr>
        <w:t>JSON</w:t>
      </w:r>
      <w:r>
        <w:rPr/>
        <w:t>/</w:t>
      </w:r>
      <w:r>
        <w:rPr>
          <w:lang w:val="en-US"/>
        </w:rPr>
        <w:t>XML</w:t>
      </w:r>
      <w:r>
        <w:rPr/>
        <w:t>/ином об операциях в составе сработавшего цифрового индикатора, отслеживаемых фактах и других сведениях, совокупно составляющих доказательную базу по подтвержденным сработавшим цифровым индикаторам.</w:t>
      </w:r>
    </w:p>
    <w:p>
      <w:pPr>
        <w:pStyle w:val="Style47"/>
        <w:rPr/>
      </w:pPr>
      <w:r>
        <w:rPr/>
        <w:t>Сбор доказательной базы осуществляется путем дообогащения полученных сведений о сработавшем цифровом индикаторе данными из аналитического хранилища Системы, и/или внешних систем и/или вызова внешних сервисов. Для каждого элемента доказательной базы должна быть указана информация о его роли в доказательной базе. Описание источников возможного</w:t>
      </w:r>
      <w:r>
        <w:rPr>
          <w:color w:val="000000"/>
        </w:rPr>
        <w:t xml:space="preserve"> дообогащения информации, порядка их использования, а также описание порядка принятия решения о необходимости дообогащения происходит на этапе технического проектирования для каждого цифрового индикатора и входящих в его состав разновидностей отслеживаемых фактов.</w:t>
      </w:r>
    </w:p>
    <w:p>
      <w:pPr>
        <w:pStyle w:val="Style47"/>
        <w:rPr>
          <w:color w:val="000000"/>
        </w:rPr>
      </w:pPr>
      <w:r>
        <w:rPr/>
        <w:t>Сформированный набор сведений должен позволять использовать результат вызова функций подсистемы автоматического сбора доказательной базы по сработавшим цифровым индикаторам рисков при передаче информации о сработавших индикаторах риска согласно требованиям раздела «7.</w:t>
        <w:tab/>
        <w:t>Требования к интеграционному взаимодействию».</w:t>
      </w:r>
    </w:p>
    <w:p>
      <w:pPr>
        <w:pStyle w:val="Style47"/>
        <w:ind w:hanging="0"/>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203" w:name="_Toc240723518"/>
      <w:bookmarkStart w:id="204" w:name="TZ_B0371"/>
      <w:r>
        <w:rPr>
          <w:rFonts w:cs="Times New Roman"/>
          <w:szCs w:val="24"/>
        </w:rPr>
        <w:t>Требования к подсистеме автоматизированного отслеживания факторов изменения категорий риска</w:t>
      </w:r>
      <w:bookmarkEnd w:id="203"/>
      <w:bookmarkEnd w:id="204"/>
    </w:p>
    <w:p>
      <w:pPr>
        <w:pStyle w:val="Style47"/>
        <w:ind w:hanging="0"/>
        <w:rPr>
          <w:lang w:eastAsia="en-US"/>
        </w:rPr>
      </w:pPr>
      <w:r>
        <w:rPr>
          <w:lang w:eastAsia="en-US"/>
        </w:rPr>
      </w:r>
    </w:p>
    <w:p>
      <w:pPr>
        <w:pStyle w:val="Style47"/>
        <w:rPr>
          <w:color w:val="000000"/>
        </w:rPr>
      </w:pPr>
      <w:r>
        <w:rPr/>
        <w:t>Подсистема автоматизированного отслеживания факторов изменения категорий риска предназначена для автоматизированного к</w:t>
      </w:r>
      <w:r>
        <w:rPr>
          <w:color w:val="000000"/>
        </w:rPr>
        <w:t xml:space="preserve">атегорирования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должен быть реализован в соответствии с разделом II Положения о федеральном государственном ветеринарном контроле (надзоре),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ind w:firstLine="708"/>
        <w:rPr/>
      </w:pPr>
      <w:bookmarkStart w:id="205" w:name="Q_TZ_1097_CURRENT"/>
      <w:r>
        <w:rPr/>
        <w:t>Создание подсистемы должно осуществляться с учетом актуальной</w:t>
      </w:r>
      <w:bookmarkEnd w:id="205"/>
      <w:r>
        <w:rPr/>
        <w:t xml:space="preserve"> на момент технического проектирования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 (далее – положение 1097). В случае, если по информации от Заказчика планируется внесение изменений в положение 1097, Исполнитель по согласованию с Заказчиком может применять подходы к разработке алгоритмов и структур данных с учетом планируемых изменений.</w:t>
        <w:tab/>
      </w:r>
    </w:p>
    <w:p>
      <w:pPr>
        <w:pStyle w:val="Style47"/>
        <w:rPr/>
      </w:pPr>
      <w:bookmarkStart w:id="206" w:name="TZ_B0375"/>
      <w:r>
        <w:rPr/>
        <w:t>Для корректного расчета категорий рисков и отслеживания изменения категорий рисков должен вестись и синхронизироваться с ЕРВК локальный реестр объектов контроля. Атрибутивный состав реестра должен позволять передавать сведения при выполнении требований раздела 4 «Требования к подсистеме автоматизированного отслеживания факторов изменения категорий риска» и с учетом требований раздела 7 «Требования к интеграционному взаимодействию». Реестр должен быть доступен только для просмотра и только для отдельных ролей уровня «Администратор» или «Аналитик», обновление реестра должно осуществляться автоматически с использованием СМЭВ 3 или иного релевантного способа. При расчете категорий или изменения категорий сведения об объекте контроля должны быть в статусе «актуальные», т.е. загруженные не позднее 1 дня до момента проведения расчета.</w:t>
      </w:r>
      <w:bookmarkEnd w:id="206"/>
    </w:p>
    <w:p>
      <w:pPr>
        <w:pStyle w:val="Style47"/>
        <w:rPr>
          <w:color w:val="000000"/>
        </w:rPr>
      </w:pPr>
      <w:r>
        <w:rPr>
          <w:color w:val="000000"/>
        </w:rPr>
        <w:t>Основными функциями подсистемы являются:</w:t>
      </w:r>
    </w:p>
    <w:p>
      <w:pPr>
        <w:pStyle w:val="Style47"/>
        <w:numPr>
          <w:ilvl w:val="0"/>
          <w:numId w:val="65"/>
        </w:numPr>
        <w:rPr/>
      </w:pPr>
      <w:r>
        <w:rPr/>
        <w:t>Выполнение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pPr>
        <w:pStyle w:val="Style47"/>
        <w:numPr>
          <w:ilvl w:val="0"/>
          <w:numId w:val="65"/>
        </w:numPr>
        <w:rPr/>
      </w:pPr>
      <w:r>
        <w:rPr/>
        <w:t xml:space="preserve">Выполнение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rPr/>
      </w:pPr>
      <w:r>
        <w:rPr/>
        <w:t>Источником сведений для расчетов является аналитическое хранилище Системы и иные источники, в том числе ручной ввод. 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rPr/>
      </w:pPr>
      <w:r>
        <w:rPr/>
        <w:t xml:space="preserve">Для осуществления расчетов должны быть созданы </w:t>
      </w:r>
      <w:r>
        <w:rPr>
          <w:color w:val="000000"/>
        </w:rPr>
        <w:t>системные справочники и технические таблицы (в том числе критериев тяжести потенциальных негативных последствий возможного несоблюдения обязательных требований), необходимые для расчета категорий рисков. Перечень справочников технических таблиц, а также их атрибутивный состав должны быть определены на этапе технического проектирования.</w:t>
      </w:r>
    </w:p>
    <w:p>
      <w:pPr>
        <w:pStyle w:val="Style47"/>
        <w:rPr>
          <w:color w:val="000000"/>
        </w:rPr>
      </w:pPr>
      <w:r>
        <w:rPr/>
        <w:t>Расчеты должны осуществляться следующим образом:</w:t>
      </w:r>
    </w:p>
    <w:p>
      <w:pPr>
        <w:pStyle w:val="Style47"/>
        <w:numPr>
          <w:ilvl w:val="0"/>
          <w:numId w:val="65"/>
        </w:numPr>
        <w:rPr/>
      </w:pPr>
      <w:r>
        <w:rPr/>
        <w:t>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(потенциальной новой категорией); </w:t>
      </w:r>
    </w:p>
    <w:p>
      <w:pPr>
        <w:pStyle w:val="Style47"/>
        <w:numPr>
          <w:ilvl w:val="0"/>
          <w:numId w:val="65"/>
        </w:numPr>
        <w:rPr/>
      </w:pPr>
      <w:bookmarkStart w:id="207" w:name="TZ_B0386"/>
      <w:r>
        <w:rPr/>
        <w:t>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определить на этапе технического проектирования) для последующей обработки 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иметь возможность внесения вручную специалистами с приложением обосновывающих материалов,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соответствующие функции обработки.</w:t>
      </w:r>
      <w:bookmarkEnd w:id="207"/>
    </w:p>
    <w:p>
      <w:pPr>
        <w:pStyle w:val="Style47"/>
        <w:ind w:firstLine="708"/>
        <w:rPr/>
      </w:pPr>
      <w:r>
        <w:rPr/>
        <w:t>Окончательный состав экранных форм, описание их элементов и функций для взаимодействия с подсистемой должны быть определены на этапе технического проектирования.</w:t>
      </w:r>
    </w:p>
    <w:p>
      <w:pPr>
        <w:pStyle w:val="Style47"/>
        <w:ind w:firstLine="708"/>
        <w:rPr>
          <w:color w:val="000000"/>
        </w:rPr>
      </w:pPr>
      <w:bookmarkStart w:id="208" w:name="TZ_B0388"/>
      <w:r>
        <w:rPr/>
        <w:t xml:space="preserve">Для каждого расчета должно быть обеспечено </w:t>
      </w:r>
      <w:r>
        <w:rPr>
          <w:color w:val="000000"/>
        </w:rPr>
        <w:t>сохранение результатов расчета категорий риска и их обоснований в привязке к дате расчета и объекту контроля. Состав выходных данных должен позволять осуществить передачу сведений об изменениях категорий рисков в соответствии с требованиями раздела «7. Требования к интеграционному взаимодействию».</w:t>
      </w:r>
      <w:bookmarkEnd w:id="208"/>
    </w:p>
    <w:p>
      <w:pPr>
        <w:pStyle w:val="NormalWeb"/>
        <w:spacing w:beforeAutospacing="0" w:before="0" w:afterAutospacing="0" w:after="0"/>
        <w:ind w:firstLine="708"/>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209" w:name="TZ_B0390"/>
      <w:bookmarkStart w:id="210" w:name="_Toc240723519"/>
      <w:r>
        <w:rPr>
          <w:rFonts w:cs="Times New Roman"/>
          <w:szCs w:val="24"/>
        </w:rPr>
        <w:t>Требования к функционалу расчета и объемов подконтрольной продукции</w:t>
      </w:r>
      <w:bookmarkEnd w:id="210"/>
      <w:r>
        <w:rPr>
          <w:rFonts w:cs="Times New Roman"/>
          <w:szCs w:val="24"/>
        </w:rPr>
        <w:t xml:space="preserve"> </w:t>
      </w:r>
      <w:bookmarkEnd w:id="209"/>
    </w:p>
    <w:p>
      <w:pPr>
        <w:pStyle w:val="Style47"/>
        <w:ind w:hanging="0"/>
        <w:rPr>
          <w:lang w:eastAsia="en-US"/>
        </w:rPr>
      </w:pPr>
      <w:r>
        <w:rPr>
          <w:lang w:eastAsia="en-US"/>
        </w:rPr>
      </w:r>
    </w:p>
    <w:p>
      <w:pPr>
        <w:pStyle w:val="NormalWeb"/>
        <w:spacing w:lineRule="auto" w:line="360" w:beforeAutospacing="0" w:before="0" w:afterAutospacing="0" w:after="0"/>
        <w:ind w:firstLine="709"/>
        <w:jc w:val="both"/>
        <w:textAlignment w:val="baseline"/>
        <w:rPr>
          <w:color w:val="000000"/>
        </w:rPr>
      </w:pPr>
      <w:r>
        <w:rPr>
          <w:color w:val="000000"/>
        </w:rPr>
        <w:t>Должен быть реализован справочник продукции, по которой возможно доначисление НДС в случае несоответствия характеристик (например, молочная продукция). Позиции справочника должны быть определены с учетом маппинга справочных значений компонента ФГИС «ВетИС» «Меркурий» и положений пункта 2 статьи 164 «Налоговые ставки» Налогового кодекса Российской Федерации (часть вторая) от 05.08.2000 № 117-ФЗ. Также должен быть создан справочник средних цен на продукцию на основании сведений о средних потребительских ценах из Росстата (</w:t>
      </w:r>
      <w:hyperlink r:id="rId11">
        <w:r>
          <w:rPr>
            <w:rStyle w:val="Hyperlink"/>
          </w:rPr>
          <w:t>https://rosstat.gov.ru/statistics/price</w:t>
        </w:r>
      </w:hyperlink>
      <w:r>
        <w:rPr>
          <w:color w:val="000000"/>
        </w:rPr>
        <w:t xml:space="preserve">). </w:t>
      </w:r>
    </w:p>
    <w:p>
      <w:pPr>
        <w:pStyle w:val="NormalWeb"/>
        <w:spacing w:lineRule="auto" w:line="480" w:beforeAutospacing="0" w:before="0" w:afterAutospacing="0" w:after="0"/>
        <w:ind w:firstLine="709"/>
        <w:jc w:val="both"/>
        <w:textAlignment w:val="baseline"/>
        <w:rPr>
          <w:color w:val="000000"/>
        </w:rPr>
      </w:pPr>
      <w:r>
        <w:rPr>
          <w:color w:val="000000"/>
        </w:rPr>
        <w:t>Основными функциями в сервисе расчета объемов подконтрольной продукции для ФНС являются:</w:t>
      </w:r>
    </w:p>
    <w:p>
      <w:pPr>
        <w:pStyle w:val="Style47"/>
        <w:numPr>
          <w:ilvl w:val="0"/>
          <w:numId w:val="65"/>
        </w:numPr>
        <w:rPr/>
      </w:pPr>
      <w:r>
        <w:rPr/>
        <w:t xml:space="preserve">Управление справочником </w:t>
      </w:r>
      <w:r>
        <w:rPr>
          <w:color w:val="000000"/>
        </w:rPr>
        <w:t>продукции, по которой возможно доначисление НДС, в случае несоответствия характеристик;</w:t>
      </w:r>
    </w:p>
    <w:p>
      <w:pPr>
        <w:pStyle w:val="Style47"/>
        <w:numPr>
          <w:ilvl w:val="0"/>
          <w:numId w:val="65"/>
        </w:numPr>
        <w:rPr/>
      </w:pPr>
      <w:r>
        <w:rPr/>
        <w:t>Управление справочником средних потребительских цен;</w:t>
      </w:r>
    </w:p>
    <w:p>
      <w:pPr>
        <w:pStyle w:val="Style47"/>
        <w:numPr>
          <w:ilvl w:val="0"/>
          <w:numId w:val="65"/>
        </w:numPr>
        <w:rPr/>
      </w:pPr>
      <w:r>
        <w:rPr/>
        <w:t xml:space="preserve">Сбор из подтвержденных нарушений, выявленных сценарными ИИ-моделями, а также из иных источников информации о хоз. субъектах-нарушителях и объемах продукции с нарушениями. Перечень ИИ-моделей, подтвержденные нарушения из которых должны попадать в выборку, определяется на этапе технического проектирования. При сборе также должен учитываться </w:t>
      </w:r>
      <w:r>
        <w:rPr>
          <w:color w:val="000000"/>
        </w:rPr>
        <w:t>справочник продукции, по которой возможно доначисление НДС в случае несоответствия характеристик. У каждого учитываемого нарушения должна сохраняться дата</w:t>
      </w:r>
      <w:r>
        <w:rPr/>
        <w:t>;</w:t>
      </w:r>
    </w:p>
    <w:p>
      <w:pPr>
        <w:pStyle w:val="Style47"/>
        <w:numPr>
          <w:ilvl w:val="0"/>
          <w:numId w:val="65"/>
        </w:numPr>
        <w:rPr/>
      </w:pPr>
      <w:r>
        <w:rPr/>
        <w:t>Агрегация сведений об объемах продукции с нарушениями с детализацией потенциального экономического ущерба, рассчитанного с помощью значений справочника средних потребительских цен. Агрегация должна происходить как минимум в разрезах «хозсубъект», «хозсубъект и объект», «хозсубъект и объект и продукция»;</w:t>
      </w:r>
    </w:p>
    <w:p>
      <w:pPr>
        <w:pStyle w:val="Style47"/>
        <w:numPr>
          <w:ilvl w:val="0"/>
          <w:numId w:val="65"/>
        </w:numPr>
        <w:rPr/>
      </w:pPr>
      <w:r>
        <w:rPr/>
        <w:t>Обеспечение доступа к данным для внешних потребителей. Способ обеспечения доступа, ролевая модель доступа и целевые показатели скорости ответа определяются на этапе технического проектирования;</w:t>
      </w:r>
    </w:p>
    <w:p>
      <w:pPr>
        <w:pStyle w:val="Style47"/>
        <w:numPr>
          <w:ilvl w:val="0"/>
          <w:numId w:val="65"/>
        </w:numPr>
        <w:rPr/>
      </w:pPr>
      <w:r>
        <w:rPr/>
        <w:t>Обеспечение возможности поиска сведений по критериям. Перечень возможных критериев отбора определяется на этапе технического проектирования.</w:t>
      </w:r>
    </w:p>
    <w:p>
      <w:pPr>
        <w:pStyle w:val="Style47"/>
        <w:rPr/>
      </w:pPr>
      <w:r>
        <w:rPr/>
        <w:t>Источником сведений для расчетов объемов небезопасной продукции с потенциальным доначислением НДС является аналитическое хранилище Системы и иные источники, в том числе ручной ввод. В случае, если для повышения качества первичного и/или повторного расчета категорий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211" w:name="_Toc240723520"/>
      <w:bookmarkStart w:id="212" w:name="TZ_B0405"/>
      <w:r>
        <w:rPr>
          <w:rFonts w:cs="Times New Roman"/>
          <w:szCs w:val="24"/>
        </w:rPr>
        <w:t>Требования к статистическим и техническим отчетам</w:t>
      </w:r>
      <w:bookmarkEnd w:id="211"/>
      <w:bookmarkEnd w:id="212"/>
    </w:p>
    <w:p>
      <w:pPr>
        <w:pStyle w:val="Style47"/>
        <w:ind w:hanging="0"/>
        <w:rPr>
          <w:lang w:eastAsia="en-US"/>
        </w:rPr>
      </w:pPr>
      <w:r>
        <w:rPr>
          <w:lang w:eastAsia="en-US"/>
        </w:rPr>
      </w:r>
    </w:p>
    <w:p>
      <w:pPr>
        <w:pStyle w:val="Style47"/>
        <w:rPr>
          <w:lang w:eastAsia="en-US"/>
        </w:rPr>
      </w:pPr>
      <w:r>
        <w:rPr>
          <w:lang w:eastAsia="en-US"/>
        </w:rPr>
        <w:t>Должны быть созданы статистические и технические отчеты в общем количестве 10 штук.</w:t>
      </w:r>
    </w:p>
    <w:p>
      <w:pPr>
        <w:pStyle w:val="Style47"/>
        <w:rPr>
          <w:lang w:eastAsia="en-US"/>
        </w:rPr>
      </w:pPr>
      <w:r>
        <w:rPr>
          <w:lang w:eastAsia="en-US"/>
        </w:rPr>
        <w:t>К техническим отчетам в приоритетном порядке относятся:</w:t>
      </w:r>
    </w:p>
    <w:p>
      <w:pPr>
        <w:pStyle w:val="Style47"/>
        <w:numPr>
          <w:ilvl w:val="0"/>
          <w:numId w:val="59"/>
        </w:numPr>
        <w:rPr/>
      </w:pPr>
      <w:r>
        <w:rPr/>
        <w:t>Статистика вызова внешних и внутренних сервисов;</w:t>
      </w:r>
    </w:p>
    <w:p>
      <w:pPr>
        <w:pStyle w:val="Style47"/>
        <w:numPr>
          <w:ilvl w:val="0"/>
          <w:numId w:val="59"/>
        </w:numPr>
        <w:rPr/>
      </w:pPr>
      <w:r>
        <w:rPr/>
        <w:t>Статистика взаимодействия пользователей с цифровыми индикаторами рисков;</w:t>
      </w:r>
    </w:p>
    <w:p>
      <w:pPr>
        <w:pStyle w:val="Style47"/>
        <w:numPr>
          <w:ilvl w:val="0"/>
          <w:numId w:val="59"/>
        </w:numPr>
        <w:rPr/>
      </w:pPr>
      <w:r>
        <w:rPr/>
        <w:t>Статистика обращений к сведениям об объемах продукции с потенциальным доначислением НДС.</w:t>
      </w:r>
    </w:p>
    <w:p>
      <w:pPr>
        <w:pStyle w:val="Style47"/>
        <w:rPr>
          <w:lang w:eastAsia="en-US"/>
        </w:rPr>
      </w:pPr>
      <w:r>
        <w:rPr>
          <w:lang w:eastAsia="en-US"/>
        </w:rPr>
        <w:t>К статистическим отчетам в приоритетном порядке относятся:</w:t>
      </w:r>
    </w:p>
    <w:p>
      <w:pPr>
        <w:pStyle w:val="Style47"/>
        <w:numPr>
          <w:ilvl w:val="0"/>
          <w:numId w:val="59"/>
        </w:numPr>
        <w:rPr/>
      </w:pPr>
      <w:r>
        <w:rPr>
          <w:color w:val="000000"/>
        </w:rPr>
        <w:t>Сводная отчетность о проведенных КНМ, выявленных правонарушениях и принятых мерах в разрезе по регионам и по стране в целом</w:t>
      </w:r>
      <w:r>
        <w:rPr/>
        <w:t>;</w:t>
      </w:r>
    </w:p>
    <w:p>
      <w:pPr>
        <w:pStyle w:val="Style47"/>
        <w:numPr>
          <w:ilvl w:val="0"/>
          <w:numId w:val="59"/>
        </w:numPr>
        <w:rPr/>
      </w:pPr>
      <w:r>
        <w:rPr/>
        <w:t>Статистика о выявленной продукции с потенциальным доначислением НДС;</w:t>
      </w:r>
    </w:p>
    <w:p>
      <w:pPr>
        <w:pStyle w:val="Style47"/>
        <w:numPr>
          <w:ilvl w:val="0"/>
          <w:numId w:val="59"/>
        </w:numPr>
        <w:rPr/>
      </w:pPr>
      <w:r>
        <w:rPr/>
        <w:t>Статистика эффективности цифровых индикаторов рисков;</w:t>
      </w:r>
    </w:p>
    <w:p>
      <w:pPr>
        <w:pStyle w:val="Style47"/>
        <w:numPr>
          <w:ilvl w:val="0"/>
          <w:numId w:val="59"/>
        </w:numPr>
        <w:rPr/>
      </w:pPr>
      <w:r>
        <w:rPr/>
        <w:t>Статистика работы инспекторского состава со сценарными ИИ-моделями и цифровыми индикаторами рисков.</w:t>
      </w:r>
    </w:p>
    <w:p>
      <w:pPr>
        <w:pStyle w:val="Style47"/>
        <w:rPr>
          <w:color w:val="000000"/>
        </w:rPr>
      </w:pPr>
      <w:r>
        <w:rPr/>
        <w:t xml:space="preserve">Источником сведений для отчетов является аналитическое хранилище Системы. </w:t>
      </w:r>
      <w:r>
        <w:rPr>
          <w:lang w:eastAsia="en-US"/>
        </w:rPr>
        <w:t xml:space="preserve">Перечень реализуемых отчетов и их наполнение согласуется с Заказчиком на этапе обследования отраслевых технологических процессов. </w:t>
      </w:r>
      <w:r>
        <w:rPr>
          <w:color w:val="000000"/>
        </w:rPr>
        <w:t>Макеты и их предварительная структура должны быть подготовлены и согласованы с Заказчиком на этапе технического проектирования.</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213" w:name="_Toc240723521"/>
      <w:r>
        <w:rPr>
          <w:rFonts w:cs="Times New Roman"/>
          <w:szCs w:val="24"/>
        </w:rPr>
        <w:t>Требования к интеграционному взаимодействию</w:t>
      </w:r>
      <w:bookmarkEnd w:id="213"/>
    </w:p>
    <w:p>
      <w:pPr>
        <w:pStyle w:val="NormalWeb"/>
        <w:spacing w:beforeAutospacing="0" w:before="0" w:afterAutospacing="0" w:after="0"/>
        <w:ind w:firstLine="708"/>
        <w:jc w:val="both"/>
        <w:textAlignment w:val="baseline"/>
        <w:rPr>
          <w:color w:val="000000"/>
        </w:rPr>
      </w:pPr>
      <w:r>
        <w:rPr>
          <w:color w:val="000000"/>
        </w:rPr>
      </w:r>
    </w:p>
    <w:p>
      <w:pPr>
        <w:pStyle w:val="Style47"/>
        <w:rPr/>
      </w:pPr>
      <w:bookmarkStart w:id="214" w:name="TZ_B0421"/>
      <w:r>
        <w:rPr/>
        <w:t xml:space="preserve">Должна быть обеспечена передача сведений о сработавших индикаторах риска с помощью универсального вида сведений СМЭВ 3 - </w:t>
      </w:r>
      <w:r>
        <w:fldChar w:fldCharType="begin"/>
      </w:r>
      <w:r>
        <w:rPr>
          <w:rStyle w:val="Hyperlink"/>
        </w:rPr>
        <w:instrText xml:space="preserve"> HYPERLINK "https://nsud.gosuslugi.ru/pud/" \l "/inquiries/87fa99ec-cc91-4eff-99ce-b5f83c4ae2da/versions/e6fd8102-59a1-4e53-acf4-3086ff866a44?area=PROD"</w:instrText>
      </w:r>
      <w:r>
        <w:rPr>
          <w:rStyle w:val="Hyperlink"/>
        </w:rPr>
        <w:fldChar w:fldCharType="separate"/>
      </w:r>
      <w:r>
        <w:rPr>
          <w:rStyle w:val="Hyperlink"/>
        </w:rPr>
        <w:t>https://nsud.gosuslugi.ru/pud/#/inquiries/87fa99ec-cc91-4eff-99ce-b5f83c4ae2da/versions/e6fd8102-59a1-4e53-acf4-3086ff866a44?area=PROD</w:t>
      </w:r>
      <w:r>
        <w:rPr>
          <w:rStyle w:val="Hyperlink"/>
        </w:rPr>
        <w:fldChar w:fldCharType="end"/>
      </w:r>
      <w:r>
        <w:rPr/>
        <w:t xml:space="preserve"> или релевантного ему. Конкретный универсальный вид сведений для передачи сведений о сработавших индикаторах риска определяется на этапе технического проектирования.</w:t>
      </w:r>
      <w:bookmarkEnd w:id="214"/>
    </w:p>
    <w:p>
      <w:pPr>
        <w:pStyle w:val="Normal"/>
        <w:widowControl/>
        <w:ind w:firstLine="708"/>
        <w:rPr/>
      </w:pPr>
      <w:bookmarkStart w:id="215" w:name="TZ_B0422"/>
      <w:r>
        <w:rPr/>
        <w:t>Также должна быть обеспечена передача сведений об изменении категорий риска с помощью вида сведений СМЭВ, предполагаемый состав сведений:</w:t>
      </w:r>
      <w:bookmarkEnd w:id="215"/>
    </w:p>
    <w:p>
      <w:pPr>
        <w:pStyle w:val="Style47"/>
        <w:numPr>
          <w:ilvl w:val="0"/>
          <w:numId w:val="59"/>
        </w:numPr>
        <w:rPr/>
      </w:pPr>
      <w:r>
        <w:rPr/>
        <w:t>Вид объекта (из справочника)</w:t>
      </w:r>
      <w:r>
        <w:rPr>
          <w:lang w:val="en-US"/>
        </w:rPr>
        <w:t>;</w:t>
      </w:r>
    </w:p>
    <w:p>
      <w:pPr>
        <w:pStyle w:val="Style47"/>
        <w:numPr>
          <w:ilvl w:val="0"/>
          <w:numId w:val="59"/>
        </w:numPr>
        <w:rPr/>
      </w:pPr>
      <w:r>
        <w:rPr/>
        <w:t>Подвид объекта (из справочника)</w:t>
      </w:r>
      <w:r>
        <w:rPr>
          <w:lang w:val="en-US"/>
        </w:rPr>
        <w:t>;</w:t>
      </w:r>
    </w:p>
    <w:p>
      <w:pPr>
        <w:pStyle w:val="Style47"/>
        <w:numPr>
          <w:ilvl w:val="0"/>
          <w:numId w:val="59"/>
        </w:numPr>
        <w:rPr/>
      </w:pPr>
      <w:r>
        <w:rPr/>
        <w:t>Наименование объекта (текст)</w:t>
      </w:r>
      <w:r>
        <w:rPr>
          <w:lang w:val="en-US"/>
        </w:rPr>
        <w:t>;</w:t>
      </w:r>
    </w:p>
    <w:p>
      <w:pPr>
        <w:pStyle w:val="Style47"/>
        <w:numPr>
          <w:ilvl w:val="0"/>
          <w:numId w:val="59"/>
        </w:numPr>
        <w:rPr/>
      </w:pPr>
      <w:r>
        <w:rPr/>
        <w:t>Краткое наименование (опционально) (текст)</w:t>
      </w:r>
      <w:r>
        <w:rPr>
          <w:lang w:val="en-US"/>
        </w:rPr>
        <w:t>;</w:t>
      </w:r>
    </w:p>
    <w:p>
      <w:pPr>
        <w:pStyle w:val="Style47"/>
        <w:numPr>
          <w:ilvl w:val="0"/>
          <w:numId w:val="59"/>
        </w:numPr>
        <w:rPr/>
      </w:pPr>
      <w:r>
        <w:rPr/>
        <w:t xml:space="preserve"> </w:t>
      </w:r>
      <w:r>
        <w:rPr/>
        <w:t>Адрес (ФИАС)</w:t>
      </w:r>
      <w:r>
        <w:rPr>
          <w:lang w:val="en-US"/>
        </w:rPr>
        <w:t>;</w:t>
      </w:r>
    </w:p>
    <w:p>
      <w:pPr>
        <w:pStyle w:val="Style47"/>
        <w:numPr>
          <w:ilvl w:val="0"/>
          <w:numId w:val="59"/>
        </w:numPr>
        <w:rPr/>
      </w:pPr>
      <w:r>
        <w:rPr/>
        <w:t>Информация о субъекте: ИНН, ОГРН, КПП (3 поля: текст);</w:t>
      </w:r>
    </w:p>
    <w:p>
      <w:pPr>
        <w:pStyle w:val="Style47"/>
        <w:numPr>
          <w:ilvl w:val="0"/>
          <w:numId w:val="59"/>
        </w:numPr>
        <w:rPr/>
      </w:pPr>
      <w:r>
        <w:rPr/>
        <w:t>Тип контролируемого лица (из справочника);</w:t>
      </w:r>
    </w:p>
    <w:p>
      <w:pPr>
        <w:pStyle w:val="Style47"/>
        <w:numPr>
          <w:ilvl w:val="0"/>
          <w:numId w:val="59"/>
        </w:numPr>
        <w:rPr/>
      </w:pPr>
      <w:r>
        <w:rPr/>
        <w:t xml:space="preserve"> </w:t>
      </w:r>
      <w:r>
        <w:rPr/>
        <w:t>Баллы для расчета категории;</w:t>
      </w:r>
    </w:p>
    <w:p>
      <w:pPr>
        <w:pStyle w:val="Style47"/>
        <w:numPr>
          <w:ilvl w:val="0"/>
          <w:numId w:val="59"/>
        </w:numPr>
        <w:rPr/>
      </w:pPr>
      <w:r>
        <w:rPr/>
        <w:t>Дополнительная информация для отображения инспектору (напр. url-ссылки на источники расчета в Аналитической системе Россельхознадзора или ФГИС «ВетИС»).</w:t>
      </w:r>
    </w:p>
    <w:p>
      <w:pPr>
        <w:pStyle w:val="Style47"/>
        <w:ind w:firstLine="708"/>
        <w:rPr/>
      </w:pPr>
      <w:r>
        <w:rPr/>
        <w:t>Конкретный вид сведений для передачи сведений об изменении категорий риска определяется на этапе технического проектирования.</w:t>
        <w:tab/>
      </w:r>
    </w:p>
    <w:p>
      <w:pPr>
        <w:pStyle w:val="Style47"/>
        <w:ind w:firstLine="708"/>
        <w:rPr/>
      </w:pPr>
      <w:bookmarkStart w:id="216" w:name="TZ_B0433"/>
      <w:r>
        <w:rPr/>
        <w:t xml:space="preserve">Для первичного наполнения и автоматической синхронизации локального реестра объектов контроля из ЕРВК должен использоваться вид сведений СМЭВ 3 - </w:t>
      </w:r>
      <w:r>
        <w:fldChar w:fldCharType="begin"/>
      </w:r>
      <w:r>
        <w:rPr>
          <w:rStyle w:val="Hyperlink"/>
        </w:rPr>
        <w:instrText xml:space="preserve"> HYPERLINK "https://nsud.gosuslugi.ru/pud/paip-portal/" \l "/inquiries/card/67fc5d77-bdcf-4017-8aa8-c834e049375e"</w:instrText>
      </w:r>
      <w:r>
        <w:rPr>
          <w:rStyle w:val="Hyperlink"/>
        </w:rPr>
        <w:fldChar w:fldCharType="separate"/>
      </w:r>
      <w:r>
        <w:rPr>
          <w:rStyle w:val="Hyperlink"/>
        </w:rPr>
        <w:t>https://nsud.gosuslugi.ru/pud/paip-portal/#/inquiries/card/67fc5d77-bdcf-4017-8aa8-c834e049375e</w:t>
      </w:r>
      <w:r>
        <w:rPr>
          <w:rStyle w:val="Hyperlink"/>
        </w:rPr>
        <w:fldChar w:fldCharType="end"/>
      </w:r>
      <w:r>
        <w:rPr/>
        <w:t xml:space="preserve"> или релевантные ему. Конкретный вид сведений для первичного наполнения и автоматической синхронизации локального реестра объектов контроля из ЕРВК определяется на этапе технического проектирования.</w:t>
      </w:r>
      <w:bookmarkEnd w:id="216"/>
    </w:p>
    <w:p>
      <w:pPr>
        <w:pStyle w:val="Style47"/>
        <w:ind w:firstLine="708"/>
        <w:rPr/>
      </w:pPr>
      <w:bookmarkStart w:id="217" w:name="TZ_B0434"/>
      <w:r>
        <w:rPr/>
        <w:t>Интеграционное взаимодействие с видами сведений СМЭВ 3 Системой осуществляется согласно форматам самих вдов сведений СМЭВ 3 через ведомственный интеграционный шлюз. Адреса направления запросов предоставляются Исполнителю Заказчиком на этапе обследования отраслевых технических процессов. Построение и конфигурация защищенного канала в среду СМЭВ не является предметом настоящего технического задания – ведомственный интеграционный шлюз уже обеспечивает взаимодействие со СМЭВ 3 при условии соответствия направляемого запроса схемы целевого вида сведений СМЭВ 3. Получение доступа к видам сведений СМЭВ 3 в продуктивной среде СМЭВ осуществляется Заказчиком самостоятельно.</w:t>
      </w:r>
      <w:bookmarkStart w:id="218" w:name="_GoBack"/>
      <w:bookmarkEnd w:id="217"/>
      <w:bookmarkEnd w:id="218"/>
    </w:p>
    <w:p>
      <w:pPr>
        <w:pStyle w:val="Style47"/>
        <w:ind w:hanging="0"/>
        <w:rPr/>
      </w:pPr>
      <w:bookmarkStart w:id="219" w:name="TZ_B0435"/>
      <w:r>
        <w:rPr/>
        <w:tab/>
        <w:t>Кроме того, должны быть реализованы внутренние интеграционные механизмы в количестве, достаточном для выполнения требований настоящего ТЗ, в том числе:</w:t>
      </w:r>
      <w:bookmarkEnd w:id="219"/>
    </w:p>
    <w:p>
      <w:pPr>
        <w:pStyle w:val="Style47"/>
        <w:numPr>
          <w:ilvl w:val="0"/>
          <w:numId w:val="59"/>
        </w:numPr>
        <w:rPr/>
      </w:pPr>
      <w:r>
        <w:rPr/>
        <w:t>Вызова пересчета сработавшего цифрового индикатора рисков;</w:t>
      </w:r>
    </w:p>
    <w:p>
      <w:pPr>
        <w:pStyle w:val="Style47"/>
        <w:numPr>
          <w:ilvl w:val="0"/>
          <w:numId w:val="59"/>
        </w:numPr>
        <w:rPr/>
      </w:pPr>
      <w:r>
        <w:rPr/>
        <w:t>Вызова подсистемы автоматического сбора доказательной базы по сработавшим цифровым индикаторам рисков;</w:t>
      </w:r>
    </w:p>
    <w:p>
      <w:pPr>
        <w:pStyle w:val="Style47"/>
        <w:numPr>
          <w:ilvl w:val="0"/>
          <w:numId w:val="59"/>
        </w:numPr>
        <w:rPr/>
      </w:pPr>
      <w:r>
        <w:rPr/>
        <w:t>Вызова функций получения справочных значений;</w:t>
      </w:r>
    </w:p>
    <w:p>
      <w:pPr>
        <w:pStyle w:val="Style47"/>
        <w:numPr>
          <w:ilvl w:val="0"/>
          <w:numId w:val="59"/>
        </w:numPr>
        <w:rPr/>
      </w:pPr>
      <w:r>
        <w:rPr/>
        <w:t>Получения сведений из внешних источников (при необходимости).</w:t>
      </w:r>
    </w:p>
    <w:p>
      <w:pPr>
        <w:pStyle w:val="NormalWeb"/>
        <w:spacing w:beforeAutospacing="0" w:before="0" w:afterAutospacing="0" w:after="0"/>
        <w:jc w:val="both"/>
        <w:textAlignment w:val="baseline"/>
        <w:rPr>
          <w:color w:val="000000"/>
        </w:rPr>
      </w:pPr>
      <w:r>
        <w:rPr>
          <w:color w:val="000000"/>
        </w:rPr>
      </w:r>
    </w:p>
    <w:p>
      <w:pPr>
        <w:pStyle w:val="Style47"/>
        <w:spacing w:before="0" w:after="0"/>
        <w:ind w:firstLine="708"/>
        <w:rPr/>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9" w:top="1440" w:footer="709" w:bottom="1440"/>
          <w:pgNumType w:start="1" w:fmt="decimal"/>
          <w:formProt w:val="false"/>
          <w:titlePg/>
          <w:textDirection w:val="lrTb"/>
          <w:docGrid w:type="default" w:linePitch="360" w:charSpace="0"/>
        </w:sectPr>
      </w:pPr>
      <w:bookmarkStart w:id="220" w:name="TZ_B0441"/>
      <w:r>
        <w:rPr>
          <w:color w:val="000000"/>
        </w:rPr>
        <w:t xml:space="preserve">Перечень необходимых интеграций определяется на этапе технического проектирования. </w:t>
      </w:r>
      <w:r>
        <w:rPr/>
        <w:t xml:space="preserve">Должны быть обеспечены прием и сохранение сведений, полученных в результате выполнения всех внутренних и внешних запросов (в том числе направленных через интеграционные шлюзы Россельхознадзора). </w:t>
      </w:r>
      <w:bookmarkEnd w:id="220"/>
    </w:p>
    <w:p>
      <w:pPr>
        <w:pStyle w:val="114"/>
        <w:numPr>
          <w:ilvl w:val="0"/>
          <w:numId w:val="17"/>
        </w:numPr>
        <w:ind w:firstLine="8789" w:start="2835"/>
        <w:rPr>
          <w:color w:themeColor="text1" w:val="000000"/>
        </w:rPr>
      </w:pPr>
      <w:r>
        <w:rPr>
          <w:rFonts w:ascii="Calibri" w:hAnsi="Calibri" w:asciiTheme="minorHAnsi" w:hAnsiTheme="minorHAnsi"/>
          <w:color w:themeColor="text1" w:val="000000"/>
        </w:rPr>
        <w:br/>
      </w:r>
      <w:bookmarkStart w:id="221" w:name="_Toc240723522"/>
      <w:r>
        <w:rPr>
          <w:color w:themeColor="text1" w:val="000000"/>
        </w:rPr>
        <w:t>Форма Перечня представителей Исполнителя</w:t>
      </w:r>
      <w:bookmarkEnd w:id="221"/>
      <w:r>
        <w:rPr>
          <w:color w:themeColor="text1" w:val="000000"/>
        </w:rPr>
        <w:t xml:space="preserve"> </w:t>
      </w:r>
    </w:p>
    <w:p>
      <w:pPr>
        <w:pStyle w:val="Style66"/>
        <w:rPr>
          <w:color w:themeColor="text1" w:val="000000"/>
        </w:rPr>
      </w:pPr>
      <w:r>
        <w:rPr>
          <w:color w:themeColor="text1" w:val="000000"/>
        </w:rPr>
        <w:t>Таблица 3.1 – Перечень представителей Исполнителя, уполномоченных на осуществление взаимодействия с Заказчиком при исполнении Контракта</w:t>
      </w:r>
    </w:p>
    <w:tbl>
      <w:tblPr>
        <w:tblW w:w="14601" w:type="dxa"/>
        <w:jc w:val="start"/>
        <w:tblInd w:w="-11" w:type="dxa"/>
        <w:tblLayout w:type="fixed"/>
        <w:tblCellMar>
          <w:top w:w="9" w:type="dxa"/>
          <w:start w:w="108" w:type="dxa"/>
          <w:bottom w:w="0" w:type="dxa"/>
          <w:end w:w="94" w:type="dxa"/>
        </w:tblCellMar>
        <w:tblLook w:noHBand="0" w:noVBand="1" w:firstColumn="1" w:lastRow="0" w:lastColumn="0" w:firstRow="1" w:val="04a0"/>
      </w:tblPr>
      <w:tblGrid>
        <w:gridCol w:w="546"/>
        <w:gridCol w:w="3270"/>
        <w:gridCol w:w="3230"/>
        <w:gridCol w:w="2523"/>
        <w:gridCol w:w="1593"/>
        <w:gridCol w:w="3439"/>
      </w:tblGrid>
      <w:tr>
        <w:trPr>
          <w:trHeight w:val="1154" w:hRule="atLeast"/>
        </w:trPr>
        <w:tc>
          <w:tcPr>
            <w:tcW w:w="546"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 xml:space="preserve">№ </w:t>
            </w:r>
            <w:r>
              <w:rPr>
                <w:rFonts w:eastAsia="Calibri"/>
                <w:color w:themeColor="text1" w:val="000000"/>
                <w:lang w:eastAsia="zh-CN" w:bidi="hi-IN"/>
              </w:rPr>
              <w:t>п/п</w:t>
            </w:r>
          </w:p>
        </w:tc>
        <w:tc>
          <w:tcPr>
            <w:tcW w:w="327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ФИО</w:t>
            </w:r>
          </w:p>
        </w:tc>
        <w:tc>
          <w:tcPr>
            <w:tcW w:w="323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Должность</w:t>
            </w:r>
          </w:p>
        </w:tc>
        <w:tc>
          <w:tcPr>
            <w:tcW w:w="252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Контактный номер телефона</w:t>
            </w:r>
          </w:p>
        </w:tc>
        <w:tc>
          <w:tcPr>
            <w:tcW w:w="159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Адрес электронной почты</w:t>
            </w:r>
          </w:p>
        </w:tc>
        <w:tc>
          <w:tcPr>
            <w:tcW w:w="3439"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Вид взаимодействия, на которые уполномочено лицо (функционирование службы технической поддержки, руководитель проекта и т.д.), а также роль в проектной команде</w:t>
            </w:r>
          </w:p>
        </w:tc>
      </w:tr>
      <w:tr>
        <w:trPr>
          <w:trHeight w:val="299" w:hRule="atLeast"/>
        </w:trPr>
        <w:tc>
          <w:tcPr>
            <w:tcW w:w="546"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7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3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252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159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439"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b/>
                <w:color w:themeColor="text1" w:val="000000"/>
                <w:lang w:eastAsia="zh-CN" w:bidi="hi-IN"/>
              </w:rPr>
            </w:pPr>
            <w:r>
              <w:rPr>
                <w:rFonts w:eastAsia="Calibri"/>
                <w:b/>
                <w:color w:themeColor="text1" w:val="000000"/>
                <w:lang w:eastAsia="zh-CN" w:bidi="hi-IN"/>
              </w:rPr>
            </w:r>
          </w:p>
        </w:tc>
      </w:tr>
    </w:tbl>
    <w:p>
      <w:pPr>
        <w:sectPr>
          <w:headerReference w:type="even" r:id="rId18"/>
          <w:headerReference w:type="default" r:id="rId19"/>
          <w:headerReference w:type="first" r:id="rId20"/>
          <w:footerReference w:type="even" r:id="rId21"/>
          <w:footerReference w:type="default" r:id="rId22"/>
          <w:footerReference w:type="first" r:id="rId23"/>
          <w:type w:val="nextPage"/>
          <w:pgSz w:orient="landscape" w:w="16838" w:h="11906"/>
          <w:pgMar w:left="1440" w:right="1440" w:gutter="0" w:header="709" w:top="1440" w:footer="709" w:bottom="1440"/>
          <w:pgNumType w:fmt="decimal"/>
          <w:formProt w:val="false"/>
          <w:textDirection w:val="lrTb"/>
          <w:docGrid w:type="default" w:linePitch="360" w:charSpace="0"/>
        </w:sectPr>
      </w:pPr>
    </w:p>
    <w:p>
      <w:pPr>
        <w:pStyle w:val="114"/>
        <w:numPr>
          <w:ilvl w:val="0"/>
          <w:numId w:val="17"/>
        </w:numPr>
        <w:ind w:start="0"/>
        <w:rPr>
          <w:color w:themeColor="text1" w:val="000000"/>
        </w:rPr>
      </w:pPr>
      <w:bookmarkStart w:id="222" w:name="_Toc158643988"/>
      <w:bookmarkStart w:id="223" w:name="_Toc158884688"/>
      <w:bookmarkStart w:id="224" w:name="_Toc158884689"/>
      <w:bookmarkEnd w:id="223"/>
      <w:bookmarkEnd w:id="224"/>
      <w:r>
        <w:rPr>
          <w:rFonts w:ascii="Calibri" w:hAnsi="Calibri" w:asciiTheme="minorHAnsi" w:hAnsiTheme="minorHAnsi"/>
          <w:color w:themeColor="text1" w:val="000000"/>
        </w:rPr>
        <w:br/>
      </w:r>
      <w:bookmarkStart w:id="225" w:name="_Ref158902517"/>
      <w:bookmarkStart w:id="226" w:name="_Ref158904371"/>
      <w:bookmarkStart w:id="227" w:name="_Toc158900074"/>
      <w:bookmarkStart w:id="228" w:name="_Toc240723523"/>
      <w:r>
        <w:rPr>
          <w:color w:themeColor="text1" w:val="000000"/>
        </w:rPr>
        <w:t>Перечень руководящих документов</w:t>
      </w:r>
      <w:bookmarkEnd w:id="222"/>
      <w:bookmarkEnd w:id="225"/>
      <w:bookmarkEnd w:id="226"/>
      <w:bookmarkEnd w:id="227"/>
      <w:bookmarkEnd w:id="228"/>
    </w:p>
    <w:p>
      <w:pPr>
        <w:pStyle w:val="17"/>
        <w:numPr>
          <w:ilvl w:val="0"/>
          <w:numId w:val="71"/>
        </w:numPr>
        <w:rPr>
          <w:color w:themeColor="text1" w:val="000000"/>
        </w:rPr>
      </w:pPr>
      <w:r>
        <w:rPr>
          <w:color w:themeColor="text1" w:val="000000"/>
        </w:rPr>
        <w:t>Федеральный закон от 27.07.2006 № 149-ФЗ «Об информации, информационных технологиях и о защите информации».</w:t>
      </w:r>
    </w:p>
    <w:p>
      <w:pPr>
        <w:pStyle w:val="17"/>
        <w:numPr>
          <w:ilvl w:val="0"/>
          <w:numId w:val="8"/>
        </w:numPr>
        <w:rPr>
          <w:color w:themeColor="text1" w:val="000000"/>
        </w:rPr>
      </w:pPr>
      <w:r>
        <w:rPr>
          <w:color w:themeColor="text1" w:val="000000"/>
        </w:rPr>
        <w:t>Федеральный закон от 27.07.2006 № 152-ФЗ «О персональных данных».</w:t>
      </w:r>
    </w:p>
    <w:p>
      <w:pPr>
        <w:pStyle w:val="17"/>
        <w:numPr>
          <w:ilvl w:val="0"/>
          <w:numId w:val="8"/>
        </w:numPr>
        <w:rPr>
          <w:color w:themeColor="text1" w:val="000000"/>
        </w:rPr>
      </w:pPr>
      <w:r>
        <w:rPr>
          <w:color w:themeColor="text1" w:val="000000"/>
        </w:rPr>
        <w:t>Федеральный закон от 06.04.2011 № 63-ФЗ «Об электронной подписи».</w:t>
      </w:r>
    </w:p>
    <w:p>
      <w:pPr>
        <w:pStyle w:val="17"/>
        <w:numPr>
          <w:ilvl w:val="0"/>
          <w:numId w:val="8"/>
        </w:numPr>
        <w:rPr>
          <w:color w:themeColor="text1" w:val="000000"/>
        </w:rPr>
      </w:pPr>
      <w:r>
        <w:rPr>
          <w:color w:themeColor="text1" w:val="000000"/>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p>
      <w:pPr>
        <w:pStyle w:val="17"/>
        <w:numPr>
          <w:ilvl w:val="0"/>
          <w:numId w:val="8"/>
        </w:numPr>
        <w:rPr>
          <w:color w:themeColor="text1" w:val="000000"/>
        </w:rPr>
      </w:pPr>
      <w:r>
        <w:rPr>
          <w:color w:themeColor="text1" w:val="000000"/>
        </w:rPr>
        <w:t>Постановление Правительства Российской Федерации от 30.06.2004 № 327 «Об утверждении Положения о Федеральной службе по ветеринарному и фитосанитарному надзору».</w:t>
      </w:r>
    </w:p>
    <w:p>
      <w:pPr>
        <w:pStyle w:val="17"/>
        <w:numPr>
          <w:ilvl w:val="0"/>
          <w:numId w:val="8"/>
        </w:numPr>
        <w:rPr>
          <w:color w:themeColor="text1" w:val="000000"/>
        </w:rPr>
      </w:pPr>
      <w:r>
        <w:rPr>
          <w:color w:themeColor="text1" w:val="000000"/>
        </w:rPr>
        <w:t>Постановление Правительства Российской Федерации от 25.04.2012 № 394 «О мерах по совершенствованию использования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16.10.2012 № 1050 «О некоторых вопросах координации мероприятий по использованию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30.01.2013 № 62 «О национальном фонде алгоритмов и программ для электронных вычислительных машин».</w:t>
      </w:r>
    </w:p>
    <w:p>
      <w:pPr>
        <w:pStyle w:val="17"/>
        <w:numPr>
          <w:ilvl w:val="0"/>
          <w:numId w:val="8"/>
        </w:numPr>
        <w:rPr>
          <w:color w:themeColor="text1" w:val="000000"/>
        </w:rPr>
      </w:pPr>
      <w:r>
        <w:rPr>
          <w:color w:themeColor="text1" w:val="000000"/>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pPr>
        <w:pStyle w:val="17"/>
        <w:numPr>
          <w:ilvl w:val="0"/>
          <w:numId w:val="8"/>
        </w:numPr>
        <w:rPr>
          <w:color w:themeColor="text1" w:val="000000"/>
        </w:rPr>
      </w:pPr>
      <w:r>
        <w:rPr>
          <w:color w:themeColor="text1" w:val="000000"/>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926 «Об утверждении Общих правил определения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927 «Об определении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 xml:space="preserve">Постановление Правительства Российской Федерации от 16.11.2015 № 1236 </w:t>
      </w:r>
      <w:r>
        <w:rPr/>
        <w:t>«Об утверждении Правил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rPr>
          <w:color w:themeColor="text1" w:val="000000"/>
        </w:rPr>
        <w:t>.</w:t>
      </w:r>
    </w:p>
    <w:p>
      <w:pPr>
        <w:pStyle w:val="17"/>
        <w:numPr>
          <w:ilvl w:val="0"/>
          <w:numId w:val="8"/>
        </w:numPr>
        <w:rPr>
          <w:color w:themeColor="text1" w:val="000000"/>
        </w:rPr>
      </w:pPr>
      <w:r>
        <w:rPr>
          <w:color w:themeColor="text1" w:val="000000"/>
        </w:rPr>
        <w:t>Постановление Правительства Российской Федерации от 05.05.2016 № 392 «О приоритетных направлениях использования и развития информационно-коммуникационных технологий в федеральных органах исполнительной власти и органах управления государственными внебюджетными фондами и о внесении изменений в некоторые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10.10.2020 № 1646 «О мерах по обеспечению эффективности мероприятий по использованию информационно-коммуникационных технологий в деятельности федеральных органов исполнительной власти и органов управления государственными внебюджетными фондами».</w:t>
      </w:r>
    </w:p>
    <w:p>
      <w:pPr>
        <w:pStyle w:val="17"/>
        <w:numPr>
          <w:ilvl w:val="0"/>
          <w:numId w:val="8"/>
        </w:numPr>
        <w:rPr>
          <w:color w:themeColor="text1" w:val="000000"/>
        </w:rPr>
      </w:pPr>
      <w:r>
        <w:rPr>
          <w:color w:themeColor="text1" w:val="000000"/>
        </w:rPr>
        <w:t>Постановление Правительства Российской Федерации от 23.12.2021 № 2403 «О повышении эффективности учёта и использования программ для электронных вычислительных машин и баз данных, созданных или приобретённых с привлечением средств федерального бюджета или бюджетов государственных внебюджетных фондов, а также внесении изменений в отдельные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19.01.2005 № 30 «О Типовом регламенте взаимодействия федеральных органов исполнительной власти».</w:t>
      </w:r>
    </w:p>
    <w:p>
      <w:pPr>
        <w:pStyle w:val="17"/>
        <w:numPr>
          <w:ilvl w:val="0"/>
          <w:numId w:val="8"/>
        </w:numPr>
        <w:rPr>
          <w:color w:themeColor="text1" w:val="000000"/>
        </w:rPr>
      </w:pPr>
      <w:r>
        <w:rPr>
          <w:color w:themeColor="text1" w:val="000000"/>
        </w:rPr>
        <w:t>Постановление Правительства Российской Федерации от 22.09.2009 № 754 «Об утверждении Положения о системе межведомственного электронного документооборота».</w:t>
      </w:r>
    </w:p>
    <w:p>
      <w:pPr>
        <w:pStyle w:val="17"/>
        <w:numPr>
          <w:ilvl w:val="0"/>
          <w:numId w:val="8"/>
        </w:numPr>
        <w:rPr>
          <w:color w:themeColor="text1" w:val="000000"/>
        </w:rPr>
      </w:pPr>
      <w:bookmarkStart w:id="229" w:name="_Hlk162502219"/>
      <w:bookmarkStart w:id="230" w:name="_Hlk162503224"/>
      <w:r>
        <w:rPr>
          <w:color w:themeColor="text1" w:val="000000"/>
        </w:rPr>
        <w:t>ГОСТ Р 59793-2021</w:t>
      </w:r>
      <w:bookmarkEnd w:id="230"/>
      <w:r>
        <w:rPr>
          <w:color w:themeColor="text1" w:val="000000"/>
        </w:rPr>
        <w:t xml:space="preserve"> «Информационные технологии. Комплекс стандартов на автоматизированные системы. Автоматизированные системы. Стадии создания».</w:t>
      </w:r>
      <w:bookmarkEnd w:id="229"/>
    </w:p>
    <w:p>
      <w:pPr>
        <w:pStyle w:val="17"/>
        <w:numPr>
          <w:ilvl w:val="0"/>
          <w:numId w:val="8"/>
        </w:numPr>
        <w:rPr>
          <w:color w:themeColor="text1" w:val="000000"/>
        </w:rPr>
      </w:pPr>
      <w:bookmarkStart w:id="231" w:name="_Hlk162503088"/>
      <w:r>
        <w:rPr>
          <w:color w:themeColor="text1" w:val="000000"/>
        </w:rPr>
        <w:t>ГОСТ Р 59853-2021</w:t>
      </w:r>
      <w:bookmarkEnd w:id="231"/>
      <w:r>
        <w:rPr>
          <w:color w:themeColor="text1" w:val="000000"/>
        </w:rPr>
        <w:t xml:space="preserve"> «Информационные технологии. Комплекс стандартов на автоматизированные системы. Автоматизированные системы. Термины и определения».</w:t>
      </w:r>
    </w:p>
    <w:p>
      <w:pPr>
        <w:pStyle w:val="17"/>
        <w:numPr>
          <w:ilvl w:val="0"/>
          <w:numId w:val="8"/>
        </w:numPr>
        <w:rPr>
          <w:color w:themeColor="text1" w:val="000000"/>
        </w:rPr>
      </w:pPr>
      <w:bookmarkStart w:id="232" w:name="_Hlk162502299"/>
      <w:bookmarkStart w:id="233" w:name="_Hlk162503354"/>
      <w:r>
        <w:rPr>
          <w:color w:themeColor="text1" w:val="000000"/>
        </w:rPr>
        <w:t>ГОСТ Р </w:t>
      </w:r>
      <w:bookmarkStart w:id="234" w:name="_Hlk162503547"/>
      <w:r>
        <w:rPr>
          <w:color w:themeColor="text1" w:val="000000"/>
        </w:rPr>
        <w:t>59792-2021</w:t>
      </w:r>
      <w:bookmarkEnd w:id="233"/>
      <w:r>
        <w:rPr>
          <w:color w:themeColor="text1" w:val="000000"/>
        </w:rPr>
        <w:t xml:space="preserve"> </w:t>
      </w:r>
      <w:bookmarkEnd w:id="234"/>
      <w:r>
        <w:rPr>
          <w:color w:themeColor="text1" w:val="000000"/>
        </w:rPr>
        <w:t>«Информационные технологии. Комплекс стандартов на автоматизированные системы. Виды испытаний автоматизированных систем».</w:t>
      </w:r>
      <w:bookmarkEnd w:id="232"/>
    </w:p>
    <w:p>
      <w:pPr>
        <w:pStyle w:val="17"/>
        <w:numPr>
          <w:ilvl w:val="0"/>
          <w:numId w:val="8"/>
        </w:numPr>
        <w:rPr>
          <w:color w:themeColor="text1" w:val="000000"/>
        </w:rPr>
      </w:pPr>
      <w:r>
        <w:rPr>
          <w:color w:themeColor="text1" w:val="000000"/>
        </w:rPr>
        <w:t>ГОСТ 2.301-68 «Единая система конструкторской документации. Форматы».</w:t>
      </w:r>
    </w:p>
    <w:p>
      <w:pPr>
        <w:pStyle w:val="17"/>
        <w:numPr>
          <w:ilvl w:val="0"/>
          <w:numId w:val="8"/>
        </w:numPr>
        <w:rPr>
          <w:color w:themeColor="text1" w:val="000000"/>
        </w:rPr>
      </w:pPr>
      <w:bookmarkStart w:id="235" w:name="_Hlk162502489"/>
      <w:bookmarkStart w:id="236" w:name="_Hlk162503176"/>
      <w:r>
        <w:rPr>
          <w:color w:themeColor="text1" w:val="000000"/>
        </w:rPr>
        <w:t>ГОСТ 34.201-2020</w:t>
      </w:r>
      <w:bookmarkEnd w:id="236"/>
      <w:r>
        <w:rPr>
          <w:color w:themeColor="text1" w:val="000000"/>
        </w:rPr>
        <w:t>.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bookmarkEnd w:id="235"/>
    </w:p>
    <w:p>
      <w:pPr>
        <w:pStyle w:val="17"/>
        <w:numPr>
          <w:ilvl w:val="0"/>
          <w:numId w:val="8"/>
        </w:numPr>
        <w:rPr>
          <w:color w:themeColor="text1" w:val="000000"/>
        </w:rPr>
      </w:pPr>
      <w:bookmarkStart w:id="237" w:name="_Hlk162502565"/>
      <w:r>
        <w:rPr>
          <w:color w:themeColor="text1" w:val="000000"/>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bookmarkEnd w:id="237"/>
    </w:p>
    <w:p>
      <w:pPr>
        <w:pStyle w:val="17"/>
        <w:numPr>
          <w:ilvl w:val="0"/>
          <w:numId w:val="8"/>
        </w:numPr>
        <w:rPr>
          <w:color w:themeColor="text1" w:val="000000"/>
        </w:rPr>
      </w:pPr>
      <w:r>
        <w:rPr>
          <w:color w:themeColor="text1" w:val="000000"/>
        </w:rPr>
        <w:t>ГОСТ 19.101-2024. «Единая система программной документации. Виды программ и программных документов».</w:t>
      </w:r>
    </w:p>
    <w:p>
      <w:pPr>
        <w:pStyle w:val="17"/>
        <w:numPr>
          <w:ilvl w:val="0"/>
          <w:numId w:val="8"/>
        </w:numPr>
        <w:rPr>
          <w:color w:themeColor="text1" w:val="000000"/>
        </w:rPr>
      </w:pPr>
      <w:r>
        <w:rPr>
          <w:color w:themeColor="text1" w:val="000000"/>
        </w:rPr>
        <w:t xml:space="preserve">Приказ ФСТЭК России </w:t>
      </w:r>
      <w:r>
        <w:rPr/>
        <w:t>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r>
        <w:rPr>
          <w:color w:themeColor="text1" w:val="000000"/>
        </w:rPr>
        <w:t>.</w:t>
      </w:r>
    </w:p>
    <w:p>
      <w:pPr>
        <w:pStyle w:val="17"/>
        <w:numPr>
          <w:ilvl w:val="0"/>
          <w:numId w:val="8"/>
        </w:numPr>
        <w:rPr>
          <w:color w:themeColor="text1" w:val="000000"/>
        </w:rPr>
      </w:pPr>
      <w:r>
        <w:rPr>
          <w:color w:themeColor="text1" w:val="000000"/>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Приказ ФСТЭК России от 03.04.2018 № 55 «Об утверждении Положения о системе сертификации средств защиты информации».</w:t>
      </w:r>
    </w:p>
    <w:p>
      <w:pPr>
        <w:pStyle w:val="17"/>
        <w:numPr>
          <w:ilvl w:val="0"/>
          <w:numId w:val="8"/>
        </w:numPr>
        <w:rPr>
          <w:color w:themeColor="text1" w:val="000000"/>
        </w:rPr>
      </w:pPr>
      <w:r>
        <w:rPr>
          <w:color w:themeColor="text1" w:val="000000"/>
        </w:rPr>
        <w:t>Приказ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pPr>
        <w:pStyle w:val="17"/>
        <w:numPr>
          <w:ilvl w:val="0"/>
          <w:numId w:val="8"/>
        </w:numPr>
        <w:rPr>
          <w:color w:themeColor="text1" w:val="000000"/>
        </w:rPr>
      </w:pPr>
      <w:r>
        <w:rPr>
          <w:color w:themeColor="text1" w:val="000000"/>
        </w:rPr>
        <w:t>Приказ Росстандарта от 31.01.2014 № 14-ст «О принятии и введении в действие Общероссийского классификатора видов экономической деятельности (ОКВЭД2) ОК 029-2014 и Общероссийского классификатора продукции по видам экономической деятельности (ОКПД2) ОК 034-2014 (КПЕС 2008)».</w:t>
      </w:r>
    </w:p>
    <w:p>
      <w:pPr>
        <w:pStyle w:val="17"/>
        <w:numPr>
          <w:ilvl w:val="0"/>
          <w:numId w:val="8"/>
        </w:numPr>
        <w:rPr>
          <w:color w:themeColor="text1" w:val="000000"/>
        </w:rPr>
      </w:pPr>
      <w:r>
        <w:rPr>
          <w:color w:themeColor="text1" w:val="000000"/>
        </w:rPr>
        <w:t>Приказ Россельхознадзора от 14.09.2016 № 663 «О Регламенте Федеральной службы по ветеринарному и фитосанитарному надзору».</w:t>
      </w:r>
    </w:p>
    <w:p>
      <w:pPr>
        <w:pStyle w:val="17"/>
        <w:numPr>
          <w:ilvl w:val="0"/>
          <w:numId w:val="8"/>
        </w:numPr>
        <w:spacing w:before="0" w:after="0"/>
        <w:contextualSpacing/>
        <w:rPr/>
      </w:pPr>
      <w:r>
        <w:rPr/>
        <w:t>Кодекс Российской Федерации об административных правонарушениях от 30.12.2001 № 195-ФЗ (с изменениями на 6 ноября 2024 года).</w:t>
      </w:r>
    </w:p>
    <w:p>
      <w:pPr>
        <w:pStyle w:val="17"/>
        <w:numPr>
          <w:ilvl w:val="0"/>
          <w:numId w:val="8"/>
        </w:numPr>
        <w:spacing w:before="0" w:after="0"/>
        <w:contextualSpacing/>
        <w:rPr/>
      </w:pPr>
      <w:r>
        <w:rPr/>
        <w:t>Федеральный закон от 31.07.2020 № 248-ФЗ «О государственном контроле (надзоре) и муниципальном контроле в Российской Федерации» (далее – Закон 248-ФЗ).</w:t>
      </w:r>
    </w:p>
    <w:p>
      <w:pPr>
        <w:pStyle w:val="17"/>
        <w:numPr>
          <w:ilvl w:val="0"/>
          <w:numId w:val="8"/>
        </w:numPr>
        <w:spacing w:before="0" w:after="0"/>
        <w:contextualSpacing/>
        <w:rPr/>
      </w:pPr>
      <w:r>
        <w:rPr/>
        <w:t>Закон РФ «О ветеринарии» от 14.05.1993 № 4979-1.</w:t>
      </w:r>
    </w:p>
    <w:p>
      <w:pPr>
        <w:pStyle w:val="17"/>
        <w:numPr>
          <w:ilvl w:val="0"/>
          <w:numId w:val="8"/>
        </w:numPr>
        <w:spacing w:before="0" w:after="0"/>
        <w:contextualSpacing/>
        <w:rPr/>
      </w:pPr>
      <w:r>
        <w:rPr/>
        <w:t>Федеральный закон от 02.01.2000 № 29 «О качестве и безопасности пищевых продуктов».</w:t>
      </w:r>
    </w:p>
    <w:p>
      <w:pPr>
        <w:pStyle w:val="17"/>
        <w:numPr>
          <w:ilvl w:val="0"/>
          <w:numId w:val="8"/>
        </w:numPr>
        <w:spacing w:before="0" w:after="0"/>
        <w:contextualSpacing/>
        <w:rPr/>
      </w:pPr>
      <w:r>
        <w:rPr/>
        <w:t>Постановление Правительства РФ от 10.03.2022 № 336 «Об особенностях организации и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30.06.2010 № 489 «Об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w:t>
      </w:r>
    </w:p>
    <w:p>
      <w:pPr>
        <w:pStyle w:val="17"/>
        <w:numPr>
          <w:ilvl w:val="0"/>
          <w:numId w:val="8"/>
        </w:numPr>
        <w:spacing w:before="0" w:after="0"/>
        <w:contextualSpacing/>
        <w:rPr/>
      </w:pPr>
      <w:r>
        <w:rPr/>
        <w:t>Постановление Правительства Российской Федерации от 30.06.2021 № 1097 «О федеральном государственном ветеринарном контроле (надзоре)».</w:t>
      </w:r>
    </w:p>
    <w:p>
      <w:pPr>
        <w:pStyle w:val="17"/>
        <w:numPr>
          <w:ilvl w:val="0"/>
          <w:numId w:val="8"/>
        </w:numPr>
        <w:spacing w:before="0" w:after="0"/>
        <w:contextualSpacing/>
        <w:rPr/>
      </w:pPr>
      <w:r>
        <w:rPr/>
        <w:t>Постановление Правительства РФ от 31.12.2020 № 2428 «О порядке формирования плана проведения плановых контрольных (надзорных) мероприятий на очередной календарный год, его согласования с органами прокуратуры, включения в него и исключения из него контрольных (надзорных) мероприятий в течение года».</w:t>
      </w:r>
    </w:p>
    <w:p>
      <w:pPr>
        <w:pStyle w:val="17"/>
        <w:numPr>
          <w:ilvl w:val="0"/>
          <w:numId w:val="8"/>
        </w:numPr>
        <w:spacing w:before="0" w:after="0"/>
        <w:contextualSpacing/>
        <w:rPr/>
      </w:pPr>
      <w:r>
        <w:rPr/>
        <w:t>Постановление Правительства РФ от 26.11.2015 № 1268 «Об утверждении Правил подачи и рассмотрения заявления об исключении проверки в отношении юридического лица, индивидуального предпринимателя из ежегодного плана проведения плановых проверок и о внесении изменений в постановление Правительства Российской Федерации от 30 июня 2010 г. № 489».</w:t>
      </w:r>
    </w:p>
    <w:p>
      <w:pPr>
        <w:pStyle w:val="17"/>
        <w:numPr>
          <w:ilvl w:val="0"/>
          <w:numId w:val="8"/>
        </w:numPr>
        <w:spacing w:before="0" w:after="0"/>
        <w:contextualSpacing/>
        <w:rPr/>
      </w:pPr>
      <w:r>
        <w:rPr/>
        <w:t>Постановление Правительства РФ от 16.04.2021 № 604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28.04.2015 г. № 415».</w:t>
      </w:r>
    </w:p>
    <w:p>
      <w:pPr>
        <w:pStyle w:val="17"/>
        <w:numPr>
          <w:ilvl w:val="0"/>
          <w:numId w:val="8"/>
        </w:numPr>
        <w:spacing w:before="0" w:after="0"/>
        <w:contextualSpacing/>
        <w:rPr/>
      </w:pPr>
      <w:r>
        <w:rPr/>
        <w:t>Постановление Правительства РФ от 06.03.2021 № 338 «О межведомственном информационном взаимодействии в рамках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06.02.2021 № 128 «Об утверждении Правил формирования, ведения и актуализации реестра обязательных требований».</w:t>
      </w:r>
    </w:p>
    <w:p>
      <w:pPr>
        <w:pStyle w:val="17"/>
        <w:numPr>
          <w:ilvl w:val="0"/>
          <w:numId w:val="8"/>
        </w:numPr>
        <w:spacing w:before="0" w:after="0"/>
        <w:contextualSpacing/>
        <w:rPr/>
      </w:pPr>
      <w:r>
        <w:rPr/>
        <w:t>Приказ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16.09.2024 № 1200 «Об утверждении форм проверочных листов (списков контрольных вопросов, ответы на которые свидетельствуют о соблюдении или несоблюдении контролируемым лицом обязательных требований),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27.03.2023 № 325 «Об утверждении Порядка составления и утверждения плана финансово-хозяйственной деятельности федеральных государственных бюджетных учреждений, находящихся в ведении Федеральной службы по ветеринарному и фитосанитарному надзору».</w:t>
      </w:r>
    </w:p>
    <w:p>
      <w:pPr>
        <w:pStyle w:val="17"/>
        <w:numPr>
          <w:ilvl w:val="0"/>
          <w:numId w:val="8"/>
        </w:numPr>
        <w:spacing w:before="0" w:after="0"/>
        <w:contextualSpacing/>
        <w:rPr/>
      </w:pPr>
      <w:r>
        <w:rPr/>
        <w:t>Приказ Генпрокуратуры России от 02.06.2021 № 294 «О реализации Федерального закона от 31.07.2020 № 248-ФЗ «О государственном контроле (надзоре) и муниципальном контроле в Российской Федерации».</w:t>
      </w:r>
    </w:p>
    <w:p>
      <w:pPr>
        <w:pStyle w:val="17"/>
        <w:numPr>
          <w:ilvl w:val="0"/>
          <w:numId w:val="8"/>
        </w:numPr>
        <w:spacing w:before="0" w:after="0"/>
        <w:contextualSpacing/>
        <w:rPr/>
      </w:pPr>
      <w:r>
        <w:rPr/>
        <w:t>Указ Президента Российской Федерации от 01.05.2022 № 250 «О дополнительных мерах по обеспечению информационной безопасности Российской Федерации».</w:t>
      </w:r>
    </w:p>
    <w:p>
      <w:pPr>
        <w:pStyle w:val="17"/>
        <w:numPr>
          <w:ilvl w:val="0"/>
          <w:numId w:val="8"/>
        </w:numPr>
        <w:spacing w:before="0" w:after="0"/>
        <w:contextualSpacing/>
        <w:rPr/>
      </w:pPr>
      <w:r>
        <w:rPr/>
        <w:t xml:space="preserve">Постановление Правительства Российской Федерации от от 16.12.2022 № 2338 «Об утверждении Положения о единой цифровой платформе Российской Федерации «ГосТех», о внесении изменений в постановление Правительства Российской Федерации от 6 июля 2015 г. № 676 и признании утратившим силу пункта 6 изменений, которые вносятся в требования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утвержденных постановлением Правительства Российской Федерации от 11 мая 2017 г. № 555». </w:t>
      </w:r>
    </w:p>
    <w:p>
      <w:pPr>
        <w:pStyle w:val="17"/>
        <w:numPr>
          <w:ilvl w:val="0"/>
          <w:numId w:val="8"/>
        </w:numPr>
        <w:spacing w:before="0" w:after="0"/>
        <w:contextualSpacing/>
        <w:rPr/>
      </w:pPr>
      <w:r>
        <w:rPr/>
        <w:t xml:space="preserve">Постановление Правительства Российской Федерации от 08.02.2018 №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w:t>
      </w:r>
    </w:p>
    <w:p>
      <w:pPr>
        <w:pStyle w:val="17"/>
        <w:numPr>
          <w:ilvl w:val="0"/>
          <w:numId w:val="8"/>
        </w:numPr>
        <w:spacing w:before="0" w:after="0"/>
        <w:contextualSpacing/>
        <w:rPr/>
      </w:pPr>
      <w:r>
        <w:rPr/>
        <w:t>Постановление Правительства Российской Федерации от 08.09.2010 № 697 № 697 «О единой системе межведомственного электронного взаимодействия».</w:t>
      </w:r>
    </w:p>
    <w:p>
      <w:pPr>
        <w:pStyle w:val="17"/>
        <w:numPr>
          <w:ilvl w:val="0"/>
          <w:numId w:val="8"/>
        </w:numPr>
        <w:spacing w:before="0" w:after="0"/>
        <w:contextualSpacing/>
        <w:rPr/>
      </w:pPr>
      <w:r>
        <w:rPr/>
        <w:t>Приказ Федеральной службы безопасности Российской Федерации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pPr>
        <w:pStyle w:val="17"/>
        <w:numPr>
          <w:ilvl w:val="0"/>
          <w:numId w:val="8"/>
        </w:numPr>
        <w:spacing w:before="0" w:after="0"/>
        <w:contextualSpacing/>
        <w:rPr/>
      </w:pPr>
      <w:r>
        <w:rPr/>
        <w:t>Приказ Федеральной службы безопасности Российской Федерации от 13.02.2023 № 77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инцидентах, повлекших неправомерную передачу (предоставление, распространение, доступ) персональных данных».</w:t>
      </w:r>
    </w:p>
    <w:p>
      <w:pPr>
        <w:pStyle w:val="17"/>
        <w:numPr>
          <w:ilvl w:val="0"/>
          <w:numId w:val="8"/>
        </w:numPr>
        <w:spacing w:before="0" w:after="0"/>
        <w:contextualSpacing/>
        <w:rPr/>
      </w:pPr>
      <w:r>
        <w:rPr/>
        <w:t>Приказ Федеральной службы безопасности Российской Федерации от 24.07.2018 № 367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pPr>
        <w:pStyle w:val="17"/>
        <w:numPr>
          <w:ilvl w:val="0"/>
          <w:numId w:val="8"/>
        </w:numPr>
        <w:spacing w:before="0" w:after="0"/>
        <w:contextualSpacing/>
        <w:rPr/>
      </w:pPr>
      <w:r>
        <w:rPr/>
        <w:t>Приказ Федеральной службы безопасности Российской Федерации №416 ФСТЭК РФ № 489 от 31.08.2010 «Об утверждении Требований о защите информации, содержащейся в информационных системах общего пользования».</w:t>
      </w:r>
    </w:p>
    <w:p>
      <w:pPr>
        <w:pStyle w:val="17"/>
        <w:numPr>
          <w:ilvl w:val="0"/>
          <w:numId w:val="8"/>
        </w:numPr>
        <w:spacing w:before="0" w:after="0"/>
        <w:contextualSpacing/>
        <w:rPr/>
      </w:pPr>
      <w:r>
        <w:rPr/>
        <w:t>Приказ Федеральной службы безопасности Российской Федерации от 09.02.2005 № 66 «Об утверждении Положения о разработке, производстве, реализации и эксплуатации шифровальных (криптографических) средств защиты информации (Положение ПКЗ-2005)».</w:t>
      </w:r>
    </w:p>
    <w:p>
      <w:pPr>
        <w:pStyle w:val="17"/>
        <w:numPr>
          <w:ilvl w:val="0"/>
          <w:numId w:val="8"/>
        </w:numPr>
        <w:spacing w:before="0" w:after="0"/>
        <w:contextualSpacing/>
        <w:rPr/>
      </w:pPr>
      <w:r>
        <w:rPr/>
        <w:t>Приказ Минцифры России от 23.07.2021 № 761 «О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pPr>
        <w:pStyle w:val="17"/>
        <w:numPr>
          <w:ilvl w:val="0"/>
          <w:numId w:val="8"/>
        </w:numPr>
        <w:spacing w:before="0" w:after="0"/>
        <w:contextualSpacing/>
        <w:rPr/>
      </w:pPr>
      <w:r>
        <w:rPr/>
        <w:t>Меры защиты информации в государственных информационных системах, утвержденные ФСТЭК России 11.02.2014.</w:t>
      </w:r>
    </w:p>
    <w:p>
      <w:pPr>
        <w:pStyle w:val="Style48"/>
        <w:jc w:val="end"/>
        <w:rPr>
          <w:sz w:val="24"/>
          <w:szCs w:val="24"/>
        </w:rPr>
      </w:pPr>
      <w:bookmarkStart w:id="238" w:name="_Toc522710063"/>
      <w:bookmarkStart w:id="239" w:name="_Toc522538488"/>
      <w:bookmarkStart w:id="240" w:name="_Toc161725886"/>
      <w:bookmarkStart w:id="241" w:name="_Toc523836482"/>
      <w:bookmarkStart w:id="242" w:name="_Toc240723524"/>
      <w:bookmarkStart w:id="243" w:name="_Toc157158084"/>
      <w:bookmarkEnd w:id="243"/>
      <w:r>
        <w:rPr>
          <w:color w:themeColor="text1" w:val="000000"/>
          <w:sz w:val="24"/>
          <w:szCs w:val="24"/>
        </w:rPr>
        <w:t>Приложение 5</w:t>
        <w:br/>
      </w:r>
      <w:r>
        <w:rPr>
          <w:sz w:val="24"/>
          <w:szCs w:val="24"/>
        </w:rPr>
        <w:t>Характеристики системы</w:t>
      </w:r>
      <w:bookmarkEnd w:id="242"/>
    </w:p>
    <w:p>
      <w:pPr>
        <w:pStyle w:val="Style47"/>
        <w:numPr>
          <w:ilvl w:val="0"/>
          <w:numId w:val="51"/>
        </w:numPr>
        <w:spacing w:lineRule="exact" w:line="360" w:before="240" w:after="240"/>
        <w:rPr>
          <w:b/>
        </w:rPr>
      </w:pPr>
      <w:r>
        <w:rPr>
          <w:b/>
        </w:rPr>
        <w:t>Общие сведения</w:t>
      </w:r>
    </w:p>
    <w:p>
      <w:pPr>
        <w:pStyle w:val="Style93"/>
        <w:spacing w:lineRule="auto" w:line="276"/>
        <w:ind w:firstLine="709"/>
        <w:rPr>
          <w:szCs w:val="24"/>
        </w:rPr>
      </w:pPr>
      <w:r>
        <w:rPr>
          <w:szCs w:val="24"/>
        </w:rPr>
        <w:t>Объектом выполнения работ является Аналитическая система Россельхознадзора, которая предназначена для обеспечения возможности просмотра, сравнения, анализа и визуализации данных, накопленных в хранилище Аналитической системы в виде аналитических панелей, графиков, диаграмм, дашбордов и вывода информации на картографическую основу.</w:t>
      </w:r>
    </w:p>
    <w:p>
      <w:pPr>
        <w:pStyle w:val="Style93"/>
        <w:spacing w:lineRule="auto" w:line="276"/>
        <w:ind w:firstLine="709"/>
        <w:rPr>
          <w:szCs w:val="24"/>
        </w:rPr>
      </w:pPr>
      <w:r>
        <w:rPr>
          <w:szCs w:val="24"/>
        </w:rPr>
        <w:t>Информационное наполнение Аналитической системы представляет собой реализацию мониторингов информации по выделенным направлениям, оформленным в виде функциональных компонентов аналитического блока, расчет и предупреждение об отклонениях, признаках нарушения требований сертификации.</w:t>
      </w:r>
    </w:p>
    <w:p>
      <w:pPr>
        <w:pStyle w:val="Style93"/>
        <w:spacing w:lineRule="auto" w:line="276"/>
        <w:ind w:firstLine="709"/>
        <w:rPr>
          <w:szCs w:val="24"/>
        </w:rPr>
      </w:pPr>
      <w:r>
        <w:rPr>
          <w:szCs w:val="24"/>
        </w:rPr>
        <w:t>Пользователями Аналитической системы являются сотрудники центрального аппарата, территориальных управлений и подведомственных организаций РСХН.</w:t>
      </w:r>
    </w:p>
    <w:p>
      <w:pPr>
        <w:pStyle w:val="Style93"/>
        <w:spacing w:lineRule="auto" w:line="276"/>
        <w:ind w:firstLine="709"/>
        <w:rPr>
          <w:szCs w:val="24"/>
        </w:rPr>
      </w:pPr>
      <w:r>
        <w:rPr>
          <w:szCs w:val="24"/>
        </w:rPr>
        <w:t>Областью применения Системы является деятельность Федеральной службы по ветеринарному и фитосанитарному надзору Российской Федерации в части выполнения следующих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сбор статистики по публикуемым материалам в Системе;</w:t>
      </w:r>
    </w:p>
    <w:p>
      <w:pPr>
        <w:pStyle w:val="Style93"/>
        <w:numPr>
          <w:ilvl w:val="0"/>
          <w:numId w:val="52"/>
        </w:numPr>
        <w:tabs>
          <w:tab w:val="clear" w:pos="708"/>
          <w:tab w:val="left" w:pos="851" w:leader="none"/>
        </w:tabs>
        <w:spacing w:lineRule="auto" w:line="276"/>
        <w:ind w:firstLine="567" w:start="0"/>
        <w:rPr>
          <w:szCs w:val="24"/>
        </w:rPr>
      </w:pPr>
      <w:r>
        <w:rPr>
          <w:szCs w:val="24"/>
        </w:rPr>
        <w:t>создание отчетов и визуализация данных для представления результатов анализа в понятном и доступном формате;</w:t>
      </w:r>
    </w:p>
    <w:p>
      <w:pPr>
        <w:pStyle w:val="Style93"/>
        <w:numPr>
          <w:ilvl w:val="0"/>
          <w:numId w:val="52"/>
        </w:numPr>
        <w:tabs>
          <w:tab w:val="clear" w:pos="708"/>
          <w:tab w:val="left" w:pos="851" w:leader="none"/>
        </w:tabs>
        <w:spacing w:lineRule="auto" w:line="276"/>
        <w:ind w:firstLine="567" w:start="0"/>
        <w:rPr>
          <w:szCs w:val="24"/>
        </w:rPr>
      </w:pPr>
      <w:r>
        <w:rPr>
          <w:szCs w:val="24"/>
        </w:rPr>
        <w:t>сбор, обработка и анализ данных с целью поддержки принятия решений и улучшения бизнес-процессов;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отслеживание и анализ ключевых показателей эффективности (KPI) организации;</w:t>
      </w:r>
    </w:p>
    <w:p>
      <w:pPr>
        <w:pStyle w:val="Style93"/>
        <w:numPr>
          <w:ilvl w:val="0"/>
          <w:numId w:val="52"/>
        </w:numPr>
        <w:tabs>
          <w:tab w:val="clear" w:pos="708"/>
          <w:tab w:val="left" w:pos="851" w:leader="none"/>
        </w:tabs>
        <w:spacing w:lineRule="auto" w:line="276"/>
        <w:ind w:firstLine="567" w:start="0"/>
        <w:rPr>
          <w:szCs w:val="24"/>
        </w:rPr>
      </w:pPr>
      <w:r>
        <w:rPr>
          <w:szCs w:val="24"/>
        </w:rPr>
        <w:t>анализ текущих операций, поиска неэффективностей и предложений по улучшению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прогнозирование на основе исторических данных, что позволяет лучше планировать ресурсы и будущие стратегии;</w:t>
      </w:r>
    </w:p>
    <w:p>
      <w:pPr>
        <w:pStyle w:val="Style93"/>
        <w:numPr>
          <w:ilvl w:val="0"/>
          <w:numId w:val="52"/>
        </w:numPr>
        <w:tabs>
          <w:tab w:val="clear" w:pos="708"/>
          <w:tab w:val="left" w:pos="851" w:leader="none"/>
        </w:tabs>
        <w:spacing w:lineRule="auto" w:line="276"/>
        <w:ind w:firstLine="567" w:start="0"/>
        <w:rPr>
          <w:szCs w:val="24"/>
        </w:rPr>
      </w:pPr>
      <w:r>
        <w:rPr>
          <w:szCs w:val="24"/>
        </w:rPr>
        <w:t>агрегирование данных из разных источников и их глубокий анализ с целью выявления закономерностей, тенденций и аномалий;</w:t>
      </w:r>
    </w:p>
    <w:p>
      <w:pPr>
        <w:pStyle w:val="Style93"/>
        <w:numPr>
          <w:ilvl w:val="0"/>
          <w:numId w:val="52"/>
        </w:numPr>
        <w:tabs>
          <w:tab w:val="clear" w:pos="708"/>
          <w:tab w:val="left" w:pos="851" w:leader="none"/>
        </w:tabs>
        <w:spacing w:lineRule="auto" w:line="276"/>
        <w:ind w:firstLine="567" w:start="0"/>
        <w:rPr>
          <w:szCs w:val="24"/>
        </w:rPr>
      </w:pPr>
      <w:r>
        <w:rPr>
          <w:szCs w:val="24"/>
        </w:rPr>
        <w:t>взаимодействие с ведомственными и сторонними информационными системами.</w:t>
      </w:r>
    </w:p>
    <w:p>
      <w:pPr>
        <w:pStyle w:val="Style47"/>
        <w:numPr>
          <w:ilvl w:val="0"/>
          <w:numId w:val="51"/>
        </w:numPr>
        <w:spacing w:lineRule="exact" w:line="360" w:before="240" w:after="240"/>
        <w:rPr>
          <w:b/>
        </w:rPr>
      </w:pPr>
      <w:bookmarkStart w:id="244" w:name="_Toc532571474"/>
      <w:bookmarkStart w:id="245" w:name="_Toc53591401"/>
      <w:bookmarkStart w:id="246" w:name="_Toc178698608"/>
      <w:r>
        <w:rPr>
          <w:b/>
        </w:rPr>
        <w:t>Структура Системы, состав компонентов</w:t>
      </w:r>
      <w:bookmarkEnd w:id="244"/>
      <w:bookmarkEnd w:id="245"/>
      <w:bookmarkEnd w:id="246"/>
    </w:p>
    <w:p>
      <w:pPr>
        <w:pStyle w:val="Style93"/>
        <w:spacing w:lineRule="auto" w:line="276"/>
        <w:ind w:firstLine="709"/>
        <w:rPr>
          <w:szCs w:val="24"/>
        </w:rPr>
      </w:pPr>
      <w:bookmarkStart w:id="247" w:name="_Toc178003701"/>
      <w:bookmarkStart w:id="248" w:name="_Toc177985911"/>
      <w:bookmarkEnd w:id="247"/>
      <w:bookmarkEnd w:id="248"/>
      <w:r>
        <w:rPr>
          <w:szCs w:val="24"/>
        </w:rPr>
        <w:t>Система реализована в виде отдельного программного модуля на базе технологических решений BI-платформы из реестра российского программного обеспечения.</w:t>
      </w:r>
    </w:p>
    <w:p>
      <w:pPr>
        <w:pStyle w:val="phnormal1"/>
        <w:spacing w:lineRule="auto" w:line="276"/>
        <w:rPr>
          <w:rFonts w:eastAsia="Arial" w:eastAsiaTheme="minorEastAsia"/>
          <w:sz w:val="24"/>
          <w:szCs w:val="24"/>
        </w:rPr>
      </w:pPr>
      <w:r>
        <w:rPr>
          <w:rFonts w:eastAsia="Arial" w:eastAsiaTheme="minorEastAsia"/>
          <w:sz w:val="24"/>
          <w:szCs w:val="24"/>
        </w:rPr>
        <w:t>Система состоит из следующих подсистем:</w:t>
      </w:r>
    </w:p>
    <w:p>
      <w:pPr>
        <w:pStyle w:val="phlistitemized11"/>
        <w:numPr>
          <w:ilvl w:val="0"/>
          <w:numId w:val="34"/>
        </w:numPr>
        <w:spacing w:lineRule="auto" w:line="276"/>
        <w:ind w:hanging="464" w:start="1315" w:end="0"/>
        <w:rPr>
          <w:sz w:val="24"/>
          <w:szCs w:val="24"/>
        </w:rPr>
      </w:pPr>
      <w:r>
        <w:rPr>
          <w:rStyle w:val="Style45"/>
          <w:sz w:val="24"/>
          <w:szCs w:val="24"/>
        </w:rPr>
        <w:t>подсистема анализа данных искусственным интеллектом для выявления нарушений при обороте продукции животного происхождения (далее – Подсистема ИИ);</w:t>
      </w:r>
    </w:p>
    <w:p>
      <w:pPr>
        <w:pStyle w:val="phlistitemized11"/>
        <w:numPr>
          <w:ilvl w:val="0"/>
          <w:numId w:val="34"/>
        </w:numPr>
        <w:spacing w:lineRule="auto" w:line="276"/>
        <w:ind w:hanging="464" w:start="1315" w:end="0"/>
        <w:rPr>
          <w:sz w:val="24"/>
          <w:szCs w:val="24"/>
        </w:rPr>
      </w:pPr>
      <w:r>
        <w:rPr>
          <w:sz w:val="24"/>
          <w:szCs w:val="24"/>
        </w:rPr>
        <w:t>подсистема отчетности, статистики и аналитики (далее – ПОСА).</w:t>
      </w:r>
    </w:p>
    <w:p>
      <w:pPr>
        <w:pStyle w:val="phnormal1"/>
        <w:spacing w:lineRule="auto" w:line="276"/>
        <w:rPr>
          <w:rFonts w:eastAsia="Arial" w:eastAsiaTheme="minorEastAsia"/>
          <w:sz w:val="24"/>
          <w:szCs w:val="24"/>
        </w:rPr>
      </w:pPr>
      <w:r>
        <w:rPr>
          <w:rFonts w:eastAsia="Arial" w:eastAsiaTheme="minorEastAsia"/>
          <w:sz w:val="24"/>
          <w:szCs w:val="24"/>
        </w:rPr>
        <w:t>Система решает следующие задачи: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конструирование отчетов по работе Системы;</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конструирование, публикация, сбор и сведение форм отчетности от территориальных управлений и подведомственных учреждений Россельхознадзора;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аналитика и визуализация информации в виде таблиц, отчетов, графиков и диаграмм;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сбор информации из ведомственных ИС Россельхознадзора и различных федеральных и региональных источников информации.</w:t>
      </w:r>
    </w:p>
    <w:p>
      <w:pPr>
        <w:pStyle w:val="phnormal1"/>
        <w:spacing w:lineRule="auto" w:line="276"/>
        <w:rPr>
          <w:sz w:val="24"/>
          <w:szCs w:val="24"/>
        </w:rPr>
      </w:pPr>
      <w:r>
        <w:rPr>
          <w:sz w:val="24"/>
          <w:szCs w:val="24"/>
        </w:rPr>
        <w:t>Подсистема отчетности, статистики и аналитики</w:t>
      </w:r>
      <w:r>
        <w:rPr>
          <w:rFonts w:eastAsia="Arial" w:eastAsiaTheme="minorEastAsia"/>
          <w:sz w:val="24"/>
          <w:szCs w:val="24"/>
        </w:rPr>
        <w:t xml:space="preserve"> состоит из следующих компонентов: </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организации процессов ETL;</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визуализации;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организации хранилища данных;</w:t>
      </w:r>
    </w:p>
    <w:p>
      <w:pPr>
        <w:pStyle w:val="phlistitemized11"/>
        <w:numPr>
          <w:ilvl w:val="0"/>
          <w:numId w:val="34"/>
        </w:numPr>
        <w:spacing w:lineRule="auto" w:line="276"/>
        <w:ind w:hanging="464" w:start="1315" w:end="0"/>
        <w:rPr>
          <w:sz w:val="24"/>
          <w:szCs w:val="24"/>
        </w:rPr>
      </w:pPr>
      <w:r>
        <w:rPr>
          <w:sz w:val="24"/>
          <w:szCs w:val="24"/>
        </w:rPr>
        <w:t>Компонент Отчетных форм.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процессов ETL:</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загрузки данных из файлов формата csv, xlsx;</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обработки полученных данных по предварительно настроенным правилам;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результатов в базу данных хранилища;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 xml:space="preserve">функция выгрузки данных из хранилища в файлы формата csv, xlsx. </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визуализации: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отображения данных хранилища;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настройки отчетов (преднастроенные отчеты);</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данных/отчетов Пользователем;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выгрузки данных отчета в формат xlsx;</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отчета в формате pdf, jpeg, png;</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авторизации доступа к отчетам;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разграничения доступа к данным.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хранилища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хранения текущих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хранения архивных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предоставления данных для отображения.</w:t>
      </w:r>
    </w:p>
    <w:p>
      <w:pPr>
        <w:pStyle w:val="phnormal1"/>
        <w:spacing w:lineRule="auto" w:line="276"/>
        <w:rPr>
          <w:rFonts w:eastAsia="Arial" w:eastAsiaTheme="minorEastAsia"/>
          <w:sz w:val="24"/>
          <w:szCs w:val="24"/>
        </w:rPr>
      </w:pPr>
      <w:r>
        <w:rPr>
          <w:rFonts w:eastAsia="Arial" w:eastAsiaTheme="minorEastAsia"/>
          <w:sz w:val="24"/>
          <w:szCs w:val="24"/>
        </w:rPr>
        <w:t xml:space="preserve">Функции </w:t>
      </w:r>
      <w:bookmarkStart w:id="249" w:name="_Hlk119206231"/>
      <w:r>
        <w:rPr>
          <w:rFonts w:eastAsia="Arial" w:eastAsiaTheme="minorEastAsia"/>
          <w:sz w:val="24"/>
          <w:szCs w:val="24"/>
        </w:rPr>
        <w:t>компонента Отчетных форм</w:t>
      </w:r>
      <w:bookmarkEnd w:id="249"/>
      <w:r>
        <w:rPr>
          <w:rFonts w:eastAsia="Arial" w:eastAsiaTheme="minorEastAsia"/>
          <w:sz w:val="24"/>
          <w:szCs w:val="24"/>
        </w:rPr>
        <w:t>:</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формирование структуры хранения вручную через специальный интерфейс;</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формирование структуры хранения путем загрузки шаблона из файла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настройка макета формы с помощью конструктора форм;</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рассылка требований заполнения форм отчетности по расписанию;</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подтверждение принятия или отклонения заполненных данных отчета;</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выгрузка шаблона формы для заполнения в формат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загрузка заполненных данных в форму из файла формата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заполнение данных в форме вручную в веб-интерфейсе.</w:t>
      </w:r>
    </w:p>
    <w:p>
      <w:pPr>
        <w:pStyle w:val="phlistitemized11"/>
        <w:numPr>
          <w:ilvl w:val="0"/>
          <w:numId w:val="0"/>
        </w:numPr>
        <w:spacing w:lineRule="auto" w:line="276"/>
        <w:ind w:hanging="0" w:start="1315" w:end="0"/>
        <w:rPr>
          <w:rFonts w:eastAsia="Arial" w:eastAsiaTheme="minorEastAsia"/>
          <w:sz w:val="24"/>
          <w:szCs w:val="24"/>
        </w:rPr>
      </w:pPr>
      <w:r>
        <w:rPr>
          <w:rFonts w:eastAsia="Arial" w:eastAsiaTheme="minorEastAsia"/>
          <w:sz w:val="24"/>
          <w:szCs w:val="24"/>
        </w:rPr>
      </w:r>
    </w:p>
    <w:p>
      <w:pPr>
        <w:pStyle w:val="phnormal1"/>
        <w:spacing w:lineRule="auto" w:line="276"/>
        <w:rPr>
          <w:rStyle w:val="--14"/>
          <w:rFonts w:eastAsia="Arial" w:eastAsiaTheme="minorEastAsia"/>
          <w:sz w:val="24"/>
          <w:szCs w:val="24"/>
        </w:rPr>
      </w:pPr>
      <w:r>
        <w:rPr>
          <w:rStyle w:val="--14"/>
          <w:sz w:val="24"/>
          <w:szCs w:val="24"/>
        </w:rPr>
        <w:t>Права доступа регулируются стандартными средствами СУБД. Схема взаимодействия компонентов Системы и внешних систем показана на</w:t>
      </w:r>
      <w:r>
        <w:rPr>
          <w:rStyle w:val="--14"/>
          <w:rFonts w:eastAsia="Arial" w:eastAsiaTheme="minorEastAsia"/>
          <w:sz w:val="24"/>
          <w:szCs w:val="24"/>
        </w:rPr>
        <w:t xml:space="preserve"> рисунке ниже.</w:t>
      </w:r>
    </w:p>
    <w:p>
      <w:pPr>
        <w:pStyle w:val="Normal"/>
        <w:spacing w:lineRule="auto" w:line="259"/>
        <w:jc w:val="center"/>
        <w:rPr>
          <w:rFonts w:eastAsia="Arial" w:eastAsiaTheme="minorEastAsia"/>
        </w:rPr>
      </w:pPr>
      <w:r>
        <w:rPr/>
        <w:object>
          <v:shapetype id="_x0000_tole_rId24" coordsize="21600,21600" o:spt="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470.25pt;height:303.75pt;mso-wrap-distance-right:0pt" filled="f" o:ole="">
            <v:imagedata r:id="rId25" o:title=""/>
          </v:shape>
          <o:OLEObject Type="Embed" ProgID="Visio.Drawing.15" ShapeID="ole_rId24" DrawAspect="Content" ObjectID="_540569701" r:id="rId24"/>
        </w:object>
      </w:r>
    </w:p>
    <w:p>
      <w:pPr>
        <w:pStyle w:val="-11"/>
        <w:numPr>
          <w:ilvl w:val="0"/>
          <w:numId w:val="0"/>
        </w:numPr>
        <w:spacing w:lineRule="auto" w:line="360"/>
        <w:ind w:hanging="0" w:start="180"/>
        <w:rPr>
          <w:sz w:val="24"/>
          <w:szCs w:val="24"/>
        </w:rPr>
      </w:pPr>
      <w:r>
        <w:rPr>
          <w:sz w:val="24"/>
          <w:szCs w:val="24"/>
        </w:rPr>
      </w:r>
    </w:p>
    <w:p>
      <w:pPr>
        <w:pStyle w:val="Caption"/>
        <w:spacing w:lineRule="auto" w:line="276"/>
        <w:ind w:firstLine="567"/>
        <w:jc w:val="center"/>
        <w:rPr>
          <w:b/>
          <w:iCs w:val="false"/>
          <w:sz w:val="24"/>
          <w:szCs w:val="24"/>
        </w:rPr>
      </w:pPr>
      <w:bookmarkStart w:id="250" w:name="_Ref57013910"/>
      <w:r>
        <w:rPr>
          <w:sz w:val="24"/>
          <w:szCs w:val="24"/>
        </w:rPr>
        <w:t xml:space="preserve">Рисунок </w:t>
      </w:r>
      <w:bookmarkEnd w:id="250"/>
      <w:r>
        <w:rPr>
          <w:sz w:val="24"/>
          <w:szCs w:val="24"/>
        </w:rPr>
        <w:t xml:space="preserve">1 - Схема </w:t>
      </w:r>
      <w:r>
        <w:rPr>
          <w:rStyle w:val="--14"/>
          <w:sz w:val="24"/>
          <w:szCs w:val="24"/>
        </w:rPr>
        <w:t>взаимодействия компонентов Системы и внешних систем</w:t>
      </w:r>
      <w:r>
        <w:rPr>
          <w:sz w:val="24"/>
          <w:szCs w:val="24"/>
        </w:rPr>
        <w:t xml:space="preserve"> </w:t>
      </w:r>
    </w:p>
    <w:p>
      <w:pPr>
        <w:pStyle w:val="Style93"/>
        <w:spacing w:lineRule="auto" w:line="276" w:before="120" w:after="120"/>
        <w:ind w:firstLine="567"/>
        <w:rPr>
          <w:szCs w:val="24"/>
        </w:rPr>
      </w:pPr>
      <w:r>
        <w:rPr>
          <w:szCs w:val="24"/>
        </w:rPr>
        <w:t xml:space="preserve">В качестве источника данных может быть использована любая </w:t>
      </w:r>
      <w:r>
        <w:rPr>
          <w:szCs w:val="24"/>
          <w:lang w:val="en-US"/>
        </w:rPr>
        <w:t>SQL</w:t>
      </w:r>
      <w:r>
        <w:rPr>
          <w:szCs w:val="24"/>
        </w:rPr>
        <w:t xml:space="preserve"> база данных (Vertica, MS SQL, PostgreSQL, ADB, ADQM и т.д.). В одном проекте можно подключать несколько различных источников данных (количество источников не ограничено), можно создавать неограниченное количество наборов данных. Аналитическая часть Системы позволяет создавать неограниченное количество дашбордов.</w:t>
      </w:r>
      <w:r>
        <w:rPr>
          <w:bCs/>
          <w:szCs w:val="24"/>
        </w:rPr>
        <w:t xml:space="preserve"> </w:t>
      </w:r>
      <w:r>
        <w:rPr>
          <w:szCs w:val="24"/>
        </w:rPr>
        <w:t xml:space="preserve">На каждом дашборде можно настроить неограниченное количество элементов для визуализации данных. Аналитическая часть Системы позволяет создавать неограниченное количество форм ввода данных. </w:t>
      </w:r>
    </w:p>
    <w:p>
      <w:pPr>
        <w:pStyle w:val="Style93"/>
        <w:spacing w:lineRule="auto" w:line="276" w:before="120" w:after="120"/>
        <w:ind w:firstLine="567"/>
        <w:rPr>
          <w:szCs w:val="24"/>
        </w:rPr>
      </w:pPr>
      <w:r>
        <w:rPr>
          <w:szCs w:val="24"/>
        </w:rPr>
        <w:t>Реализовано управление правами доступа к Системе на уровне доступного функционала и на уровне видимости компонентов:</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дашбордам и группам дашбордов;</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наборам данных;</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форматам выгрузки данных;</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формам ввода данных (ФВД).</w:t>
      </w:r>
    </w:p>
    <w:p>
      <w:pPr>
        <w:pStyle w:val="Style93"/>
        <w:spacing w:lineRule="auto" w:line="276" w:before="120" w:after="120"/>
        <w:ind w:firstLine="567"/>
        <w:rPr>
          <w:szCs w:val="24"/>
        </w:rPr>
      </w:pPr>
      <w:r>
        <w:rPr>
          <w:szCs w:val="24"/>
        </w:rPr>
        <w:t>Состав общесистемного и прикладного программного обеспечения Системы:</w:t>
      </w:r>
    </w:p>
    <w:p>
      <w:pPr>
        <w:pStyle w:val="phlistitemized11"/>
        <w:numPr>
          <w:ilvl w:val="0"/>
          <w:numId w:val="53"/>
        </w:numPr>
        <w:spacing w:lineRule="auto" w:line="276" w:before="0" w:after="0"/>
        <w:ind w:hanging="426" w:start="993" w:end="0"/>
        <w:contextualSpacing/>
        <w:rPr>
          <w:sz w:val="24"/>
          <w:szCs w:val="24"/>
          <w:lang w:val="en-US"/>
        </w:rPr>
      </w:pPr>
      <w:r>
        <w:rPr>
          <w:sz w:val="24"/>
          <w:szCs w:val="24"/>
        </w:rPr>
        <w:t>ОС</w:t>
      </w:r>
      <w:r>
        <w:rPr>
          <w:sz w:val="24"/>
          <w:szCs w:val="24"/>
          <w:lang w:val="en-US"/>
        </w:rPr>
        <w:t xml:space="preserve"> Astra Linux Special Edition. </w:t>
      </w:r>
      <w:r>
        <w:rPr>
          <w:sz w:val="24"/>
          <w:szCs w:val="24"/>
        </w:rPr>
        <w:t>Релиз</w:t>
      </w:r>
      <w:r>
        <w:rPr>
          <w:sz w:val="24"/>
          <w:szCs w:val="24"/>
          <w:lang w:val="en-US"/>
        </w:rPr>
        <w:t xml:space="preserve"> "</w:t>
      </w:r>
      <w:r>
        <w:rPr>
          <w:sz w:val="24"/>
          <w:szCs w:val="24"/>
        </w:rPr>
        <w:t>Смоленск</w:t>
      </w:r>
      <w:r>
        <w:rPr>
          <w:sz w:val="24"/>
          <w:szCs w:val="24"/>
          <w:lang w:val="en-US"/>
        </w:rPr>
        <w:t>" v.1.</w:t>
      </w:r>
      <w:r>
        <w:rPr>
          <w:sz w:val="24"/>
          <w:szCs w:val="24"/>
        </w:rPr>
        <w:t>7.5</w:t>
      </w:r>
      <w:r>
        <w:rPr>
          <w:sz w:val="24"/>
          <w:szCs w:val="24"/>
          <w:lang w:val="en-US"/>
        </w:rPr>
        <w:t>;</w:t>
      </w:r>
    </w:p>
    <w:p>
      <w:pPr>
        <w:pStyle w:val="phlistitemized11"/>
        <w:numPr>
          <w:ilvl w:val="0"/>
          <w:numId w:val="53"/>
        </w:numPr>
        <w:spacing w:lineRule="auto" w:line="276" w:before="0" w:after="0"/>
        <w:ind w:hanging="426" w:start="993" w:end="0"/>
        <w:contextualSpacing/>
        <w:rPr>
          <w:sz w:val="24"/>
          <w:szCs w:val="24"/>
        </w:rPr>
      </w:pPr>
      <w:r>
        <w:rPr>
          <w:sz w:val="24"/>
          <w:szCs w:val="24"/>
        </w:rPr>
        <w:t>веб-сервер: HTTP-сервер Nginx 1.14;</w:t>
      </w:r>
    </w:p>
    <w:p>
      <w:pPr>
        <w:pStyle w:val="phlistitemized11"/>
        <w:numPr>
          <w:ilvl w:val="0"/>
          <w:numId w:val="53"/>
        </w:numPr>
        <w:spacing w:lineRule="auto" w:line="276" w:before="0" w:after="0"/>
        <w:ind w:hanging="426" w:start="993" w:end="0"/>
        <w:contextualSpacing/>
        <w:rPr>
          <w:sz w:val="24"/>
          <w:szCs w:val="24"/>
        </w:rPr>
      </w:pPr>
      <w:r>
        <w:rPr>
          <w:sz w:val="24"/>
          <w:szCs w:val="24"/>
        </w:rPr>
        <w:t>сервер приложений: сервер приложений PHP 7.2;</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СУБД1: СУБД PostgreSQL;</w:t>
      </w:r>
    </w:p>
    <w:p>
      <w:pPr>
        <w:pStyle w:val="phlistitemized11"/>
        <w:numPr>
          <w:ilvl w:val="0"/>
          <w:numId w:val="53"/>
        </w:numPr>
        <w:spacing w:lineRule="auto" w:line="276" w:before="0" w:after="0"/>
        <w:ind w:hanging="426" w:start="993" w:end="0"/>
        <w:contextualSpacing/>
        <w:rPr>
          <w:sz w:val="24"/>
          <w:szCs w:val="24"/>
        </w:rPr>
      </w:pPr>
      <w:r>
        <w:rPr>
          <w:sz w:val="24"/>
          <w:szCs w:val="24"/>
        </w:rPr>
        <w:t xml:space="preserve">сервер СУБД2: СУБД </w:t>
      </w:r>
      <w:bookmarkStart w:id="251" w:name="_Hlk178071437"/>
      <w:r>
        <w:rPr>
          <w:sz w:val="24"/>
          <w:szCs w:val="24"/>
          <w:lang w:val="en-US"/>
        </w:rPr>
        <w:t>ADB</w:t>
      </w:r>
      <w:bookmarkEnd w:id="251"/>
      <w:r>
        <w:rPr>
          <w:sz w:val="24"/>
          <w:szCs w:val="24"/>
        </w:rPr>
        <w:t>;</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w:t>
      </w:r>
      <w:r>
        <w:rPr>
          <w:sz w:val="24"/>
          <w:szCs w:val="24"/>
          <w:lang w:val="en-US"/>
        </w:rPr>
        <w:t>3</w:t>
      </w:r>
      <w:r>
        <w:rPr>
          <w:sz w:val="24"/>
          <w:szCs w:val="24"/>
        </w:rPr>
        <w:t xml:space="preserve">: СУБД </w:t>
      </w:r>
      <w:r>
        <w:rPr>
          <w:sz w:val="24"/>
          <w:szCs w:val="24"/>
          <w:lang w:val="en-US"/>
        </w:rPr>
        <w:t>ADQM</w:t>
      </w:r>
      <w:r>
        <w:rPr>
          <w:sz w:val="24"/>
          <w:szCs w:val="24"/>
        </w:rPr>
        <w:t>;</w:t>
      </w:r>
    </w:p>
    <w:p>
      <w:pPr>
        <w:pStyle w:val="-11"/>
        <w:numPr>
          <w:ilvl w:val="0"/>
          <w:numId w:val="53"/>
        </w:numPr>
        <w:tabs>
          <w:tab w:val="clear" w:pos="708"/>
          <w:tab w:val="left" w:pos="993" w:leader="none"/>
        </w:tabs>
        <w:spacing w:lineRule="auto" w:line="276"/>
        <w:ind w:hanging="426" w:start="993"/>
        <w:rPr>
          <w:sz w:val="24"/>
          <w:szCs w:val="24"/>
        </w:rPr>
      </w:pPr>
      <w:r>
        <w:rPr>
          <w:sz w:val="24"/>
          <w:szCs w:val="24"/>
        </w:rPr>
        <w:t>сервер поиска: Apache Solr 7;</w:t>
      </w:r>
    </w:p>
    <w:p>
      <w:pPr>
        <w:pStyle w:val="-11"/>
        <w:numPr>
          <w:ilvl w:val="0"/>
          <w:numId w:val="53"/>
        </w:numPr>
        <w:tabs>
          <w:tab w:val="clear" w:pos="708"/>
          <w:tab w:val="left" w:pos="993" w:leader="none"/>
        </w:tabs>
        <w:spacing w:lineRule="auto" w:line="276"/>
        <w:ind w:hanging="426" w:start="993"/>
        <w:rPr>
          <w:sz w:val="24"/>
          <w:szCs w:val="24"/>
        </w:rPr>
      </w:pPr>
      <w:r>
        <w:rPr>
          <w:sz w:val="24"/>
          <w:szCs w:val="24"/>
        </w:rPr>
        <w:t xml:space="preserve">сервер </w:t>
      </w:r>
      <w:r>
        <w:rPr>
          <w:sz w:val="24"/>
          <w:szCs w:val="24"/>
          <w:lang w:val="en-US"/>
        </w:rPr>
        <w:t>Apache Kafka;</w:t>
      </w:r>
    </w:p>
    <w:p>
      <w:pPr>
        <w:pStyle w:val="-11"/>
        <w:numPr>
          <w:ilvl w:val="0"/>
          <w:numId w:val="53"/>
        </w:numPr>
        <w:tabs>
          <w:tab w:val="clear" w:pos="708"/>
          <w:tab w:val="left" w:pos="993" w:leader="none"/>
        </w:tabs>
        <w:spacing w:lineRule="auto" w:line="276"/>
        <w:ind w:hanging="426" w:start="993"/>
        <w:rPr>
          <w:sz w:val="24"/>
          <w:szCs w:val="24"/>
        </w:rPr>
      </w:pPr>
      <w:r>
        <w:rPr>
          <w:sz w:val="24"/>
          <w:szCs w:val="24"/>
        </w:rPr>
        <w:t xml:space="preserve">сервер </w:t>
      </w:r>
      <w:r>
        <w:rPr>
          <w:sz w:val="24"/>
          <w:szCs w:val="24"/>
          <w:lang w:val="en-US"/>
        </w:rPr>
        <w:t>Debezium;</w:t>
      </w:r>
      <w:r>
        <w:rPr>
          <w:sz w:val="24"/>
          <w:szCs w:val="24"/>
        </w:rPr>
        <w:t xml:space="preserve"> </w:t>
      </w:r>
    </w:p>
    <w:p>
      <w:pPr>
        <w:pStyle w:val="-11"/>
        <w:numPr>
          <w:ilvl w:val="0"/>
          <w:numId w:val="53"/>
        </w:numPr>
        <w:tabs>
          <w:tab w:val="clear" w:pos="708"/>
          <w:tab w:val="left" w:pos="993" w:leader="none"/>
        </w:tabs>
        <w:spacing w:lineRule="auto" w:line="276"/>
        <w:ind w:firstLine="567" w:start="0"/>
        <w:rPr>
          <w:sz w:val="24"/>
          <w:szCs w:val="24"/>
        </w:rPr>
      </w:pPr>
      <w:r>
        <w:rPr>
          <w:sz w:val="24"/>
          <w:szCs w:val="24"/>
        </w:rPr>
        <w:t>сервер приложений ETL: Модус:Управление корпоративным хранилищем данных (ETL);</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сервер приложений АП: Модус:Аналитический портал.</w:t>
      </w:r>
    </w:p>
    <w:p>
      <w:pPr>
        <w:pStyle w:val="Style93"/>
        <w:spacing w:lineRule="auto" w:line="276" w:before="120" w:after="120"/>
        <w:ind w:firstLine="567"/>
        <w:rPr>
          <w:szCs w:val="24"/>
        </w:rPr>
      </w:pPr>
      <w:r>
        <w:rPr>
          <w:szCs w:val="24"/>
        </w:rPr>
        <w:t>Языки программирования, которые были использованы для разработки ПОСА:</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Javascript;</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GoLang;</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1С.</w:t>
      </w:r>
    </w:p>
    <w:p>
      <w:pPr>
        <w:pStyle w:val="phnormal1"/>
        <w:spacing w:lineRule="auto" w:line="276"/>
        <w:ind w:firstLine="567" w:end="-1"/>
        <w:rPr>
          <w:sz w:val="24"/>
          <w:szCs w:val="24"/>
        </w:rPr>
      </w:pPr>
      <w:r>
        <w:rPr>
          <w:sz w:val="24"/>
          <w:szCs w:val="24"/>
        </w:rPr>
        <w:t>Компонент для организации процессов ETL написан на языках 1С:Предприятие и GoLang, в качестве СУБД используется ADB.</w:t>
      </w:r>
    </w:p>
    <w:p>
      <w:pPr>
        <w:pStyle w:val="phnormal1"/>
        <w:spacing w:lineRule="auto" w:line="276"/>
        <w:ind w:firstLine="567" w:end="-1"/>
        <w:rPr>
          <w:sz w:val="24"/>
          <w:szCs w:val="24"/>
        </w:rPr>
      </w:pPr>
      <w:r>
        <w:rPr>
          <w:sz w:val="24"/>
          <w:szCs w:val="24"/>
        </w:rPr>
        <w:t>Компонент для визуализации в части FrontEnd интерфейса написан на языке Javascript с использованием библиотек React JS, amcharts, D3, echarts,</w:t>
      </w:r>
      <w:r>
        <w:rPr/>
        <w:t xml:space="preserve"> </w:t>
      </w:r>
      <w:r>
        <w:rPr>
          <w:sz w:val="24"/>
          <w:szCs w:val="24"/>
        </w:rPr>
        <w:t xml:space="preserve">OpenStreetMap и Leaflet (геокарты), GoJS (визуализация графов), в части Backend интерфейса написан на языке GoLang, в качестве СУБД используются ADB, </w:t>
      </w:r>
      <w:r>
        <w:rPr>
          <w:sz w:val="24"/>
          <w:szCs w:val="24"/>
          <w:lang w:val="en-US"/>
        </w:rPr>
        <w:t>ADQM</w:t>
      </w:r>
      <w:r>
        <w:rPr>
          <w:sz w:val="24"/>
          <w:szCs w:val="24"/>
        </w:rPr>
        <w:t xml:space="preserve"> и PostgreSQL.</w:t>
      </w:r>
    </w:p>
    <w:p>
      <w:pPr>
        <w:pStyle w:val="phnormal1"/>
        <w:spacing w:lineRule="auto" w:line="276"/>
        <w:ind w:firstLine="567" w:end="-1"/>
        <w:rPr>
          <w:rStyle w:val="Style45"/>
          <w:bCs w:val="false"/>
          <w:sz w:val="24"/>
          <w:szCs w:val="24"/>
        </w:rPr>
      </w:pPr>
      <w:r>
        <w:rPr>
          <w:rStyle w:val="Style45"/>
          <w:sz w:val="24"/>
          <w:szCs w:val="24"/>
        </w:rPr>
        <w:t>Структура подсистемы ИИ Аналитической системы Россельхознадзора  приведена на рисунке ниже (</w:t>
      </w:r>
      <w:r>
        <w:rPr>
          <w:sz w:val="24"/>
          <w:szCs w:val="24"/>
        </w:rPr>
        <w:t>Рисунок 2</w:t>
      </w:r>
      <w:r>
        <w:rPr>
          <w:rStyle w:val="Style45"/>
          <w:sz w:val="24"/>
          <w:szCs w:val="24"/>
        </w:rPr>
        <w:t>).</w:t>
      </w:r>
    </w:p>
    <w:p>
      <w:pPr>
        <w:pStyle w:val="phfiguretitle"/>
        <w:spacing w:lineRule="auto" w:line="276"/>
        <w:ind w:firstLine="567"/>
        <w:rPr>
          <w:sz w:val="24"/>
          <w:szCs w:val="24"/>
        </w:rPr>
      </w:pPr>
      <w:r>
        <w:rPr>
          <w:sz w:val="24"/>
          <w:szCs w:val="24"/>
        </w:rPr>
        <w:t xml:space="preserve"> </w:t>
      </w:r>
      <w:r>
        <w:rPr/>
        <w:drawing>
          <wp:inline distT="0" distB="0" distL="0" distR="0">
            <wp:extent cx="6334125" cy="3190875"/>
            <wp:effectExtent l="0" t="0" r="0" b="0"/>
            <wp:docPr id="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pic:cNvPicPr>
                      <a:picLocks noChangeAspect="1" noChangeArrowheads="1"/>
                    </pic:cNvPicPr>
                  </pic:nvPicPr>
                  <pic:blipFill>
                    <a:blip r:embed="rId26"/>
                    <a:stretch>
                      <a:fillRect/>
                    </a:stretch>
                  </pic:blipFill>
                  <pic:spPr bwMode="auto">
                    <a:xfrm>
                      <a:off x="0" y="0"/>
                      <a:ext cx="6334125" cy="3190875"/>
                    </a:xfrm>
                    <a:prstGeom prst="rect">
                      <a:avLst/>
                    </a:prstGeom>
                    <a:noFill/>
                  </pic:spPr>
                </pic:pic>
              </a:graphicData>
            </a:graphic>
          </wp:inline>
        </w:drawing>
      </w:r>
    </w:p>
    <w:p>
      <w:pPr>
        <w:pStyle w:val="Caption"/>
        <w:spacing w:lineRule="auto" w:line="276"/>
        <w:ind w:firstLine="567"/>
        <w:jc w:val="center"/>
        <w:rPr>
          <w:sz w:val="24"/>
          <w:szCs w:val="24"/>
        </w:rPr>
      </w:pPr>
      <w:bookmarkStart w:id="252" w:name="_Ref144800932"/>
      <w:bookmarkStart w:id="253" w:name="_Ref178153891"/>
      <w:r>
        <w:rPr>
          <w:sz w:val="24"/>
          <w:szCs w:val="24"/>
        </w:rPr>
        <w:t xml:space="preserve">Рисунок </w:t>
      </w:r>
      <w:bookmarkEnd w:id="253"/>
      <w:r>
        <w:rPr>
          <w:sz w:val="24"/>
          <w:szCs w:val="24"/>
        </w:rPr>
        <w:t xml:space="preserve">2 </w:t>
      </w:r>
      <w:r>
        <w:rPr>
          <w:bCs/>
        </w:rPr>
        <w:t>–</w:t>
      </w:r>
      <w:r>
        <w:rPr>
          <w:sz w:val="24"/>
          <w:szCs w:val="24"/>
        </w:rPr>
        <w:t xml:space="preserve"> Структура Подсистемы ИИ</w:t>
      </w:r>
      <w:bookmarkEnd w:id="252"/>
    </w:p>
    <w:p>
      <w:pPr>
        <w:pStyle w:val="14"/>
        <w:numPr>
          <w:ilvl w:val="0"/>
          <w:numId w:val="0"/>
        </w:numPr>
        <w:ind w:hanging="0" w:start="0"/>
        <w:rPr/>
      </w:pPr>
      <w:r>
        <w:rPr/>
      </w:r>
    </w:p>
    <w:p>
      <w:pPr>
        <w:pStyle w:val="phnormal1"/>
        <w:spacing w:lineRule="auto" w:line="276"/>
        <w:rPr>
          <w:sz w:val="24"/>
          <w:szCs w:val="24"/>
        </w:rPr>
      </w:pPr>
      <w:r>
        <w:rPr>
          <w:sz w:val="24"/>
          <w:szCs w:val="24"/>
        </w:rPr>
        <w:t>Подсистема ИИ включает в себя совокупность математических моделей, реализованных с использованием методов машинного обучения (в том числе нейронных сетей).</w:t>
      </w:r>
    </w:p>
    <w:p>
      <w:pPr>
        <w:pStyle w:val="phnormal1"/>
        <w:spacing w:lineRule="auto" w:line="276"/>
        <w:rPr>
          <w:sz w:val="24"/>
          <w:szCs w:val="24"/>
        </w:rPr>
      </w:pPr>
      <w:r>
        <w:rPr>
          <w:sz w:val="24"/>
          <w:szCs w:val="24"/>
        </w:rPr>
        <w:t>Подсистема ИИ в качестве пользовательского интерфейса использует блок компонентов «Искусственный интеллект» в ПОСА.</w:t>
      </w:r>
    </w:p>
    <w:p>
      <w:pPr>
        <w:pStyle w:val="phnormal1"/>
        <w:spacing w:lineRule="auto" w:line="276"/>
        <w:rPr>
          <w:sz w:val="24"/>
          <w:szCs w:val="24"/>
        </w:rPr>
      </w:pPr>
      <w:bookmarkStart w:id="254" w:name="_Toc87854411"/>
      <w:r>
        <w:rPr>
          <w:sz w:val="24"/>
          <w:szCs w:val="24"/>
        </w:rPr>
        <w:t>Программное обеспечение, необходимое для функционирования Подсистемы ИИ</w:t>
      </w:r>
      <w:bookmarkEnd w:id="254"/>
      <w:r>
        <w:rPr>
          <w:sz w:val="24"/>
          <w:szCs w:val="24"/>
        </w:rPr>
        <w:t>, приведено в таблице ниже (Таблица 1).</w:t>
      </w:r>
    </w:p>
    <w:p>
      <w:pPr>
        <w:pStyle w:val="phtabletitle1"/>
        <w:spacing w:lineRule="auto" w:line="276"/>
        <w:rPr>
          <w:rFonts w:eastAsia="Arial" w:eastAsiaTheme="minorEastAsia"/>
          <w:sz w:val="24"/>
        </w:rPr>
      </w:pPr>
      <w:bookmarkStart w:id="255" w:name="_Ref178154033"/>
      <w:r>
        <w:rPr>
          <w:sz w:val="24"/>
        </w:rPr>
        <w:t>Таблица 1</w:t>
      </w:r>
      <w:bookmarkEnd w:id="255"/>
      <w:r>
        <w:rPr>
          <w:rStyle w:val="Style45"/>
          <w:sz w:val="24"/>
        </w:rPr>
        <w:t xml:space="preserve">– </w:t>
      </w:r>
      <w:r>
        <w:rPr>
          <w:rFonts w:eastAsia="Arial" w:eastAsiaTheme="minorEastAsia"/>
          <w:sz w:val="24"/>
        </w:rPr>
        <w:t xml:space="preserve">Используемое в </w:t>
      </w:r>
      <w:r>
        <w:rPr>
          <w:sz w:val="24"/>
        </w:rPr>
        <w:t xml:space="preserve">Подсистеме ИИ </w:t>
      </w:r>
      <w:r>
        <w:rPr>
          <w:rFonts w:eastAsia="Arial" w:eastAsiaTheme="minorEastAsia"/>
          <w:sz w:val="24"/>
        </w:rPr>
        <w:t>программное обеспечение</w:t>
      </w:r>
    </w:p>
    <w:tbl>
      <w:tblPr>
        <w:tblStyle w:val="afff6"/>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53"/>
        <w:gridCol w:w="2845"/>
        <w:gridCol w:w="5728"/>
      </w:tblGrid>
      <w:tr>
        <w:trPr>
          <w:tblHeader w:val="true"/>
        </w:trPr>
        <w:tc>
          <w:tcPr>
            <w:tcW w:w="453"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w:t>
            </w:r>
          </w:p>
        </w:tc>
        <w:tc>
          <w:tcPr>
            <w:tcW w:w="2845"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Программное обеспечение</w:t>
            </w:r>
          </w:p>
        </w:tc>
        <w:tc>
          <w:tcPr>
            <w:tcW w:w="5728"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Назначение</w:t>
            </w:r>
          </w:p>
        </w:tc>
      </w:tr>
      <w:tr>
        <w:trPr/>
        <w:tc>
          <w:tcPr>
            <w:tcW w:w="45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1</w:t>
            </w:r>
          </w:p>
        </w:tc>
        <w:tc>
          <w:tcPr>
            <w:tcW w:w="284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 xml:space="preserve">ОС Astra Linux Special Edition. Релиз </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Смоленск</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 xml:space="preserve"> v.1.6</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Операционная система</w:t>
            </w:r>
          </w:p>
        </w:tc>
      </w:tr>
      <w:tr>
        <w:trPr/>
        <w:tc>
          <w:tcPr>
            <w:tcW w:w="453"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2</w:t>
            </w:r>
          </w:p>
        </w:tc>
        <w:tc>
          <w:tcPr>
            <w:tcW w:w="284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Docker</w:t>
            </w:r>
            <w:r>
              <w:rPr>
                <w:rFonts w:eastAsia="Arial" w:cs="Times New Roman" w:eastAsiaTheme="minorEastAsia"/>
                <w:kern w:val="0"/>
                <w:szCs w:val="24"/>
                <w:lang w:val="ru-RU" w:eastAsia="ru-RU" w:bidi="ar-SA"/>
              </w:rPr>
              <w:t xml:space="preserve"> в режиме </w:t>
            </w:r>
            <w:r>
              <w:rPr>
                <w:rFonts w:eastAsia="Arial" w:cs="Times New Roman" w:eastAsiaTheme="minorEastAsia"/>
                <w:kern w:val="0"/>
                <w:szCs w:val="24"/>
                <w:lang w:val="en-US" w:eastAsia="ru-RU" w:bidi="ar-SA"/>
              </w:rPr>
              <w:t>Swarm</w:t>
            </w:r>
            <w:r>
              <w:rPr>
                <w:rFonts w:eastAsia="Arial" w:cs="Times New Roman" w:eastAsiaTheme="minorEastAsia"/>
                <w:kern w:val="0"/>
                <w:szCs w:val="24"/>
                <w:lang w:val="ru-RU" w:eastAsia="ru-RU" w:bidi="ar-SA"/>
              </w:rPr>
              <w:t xml:space="preserve"> версии 18.03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ПО оркестрации контейнеров для размещения и исполнения упакованных моделей машинного обучения</w:t>
            </w:r>
          </w:p>
        </w:tc>
      </w:tr>
      <w:tr>
        <w:trPr/>
        <w:tc>
          <w:tcPr>
            <w:tcW w:w="45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3</w:t>
            </w:r>
          </w:p>
        </w:tc>
        <w:tc>
          <w:tcPr>
            <w:tcW w:w="284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PostgreSQL</w:t>
            </w:r>
            <w:r>
              <w:rPr>
                <w:rFonts w:eastAsia="Arial" w:cs="Times New Roman" w:eastAsiaTheme="minorEastAsia"/>
                <w:kern w:val="0"/>
                <w:szCs w:val="24"/>
                <w:lang w:val="ru-RU" w:eastAsia="ru-RU" w:bidi="ar-SA"/>
              </w:rPr>
              <w:t xml:space="preserve"> </w:t>
            </w:r>
            <w:r>
              <w:rPr>
                <w:rFonts w:eastAsia="Arial" w:cs="Times New Roman" w:eastAsiaTheme="minorEastAsia"/>
                <w:kern w:val="0"/>
                <w:szCs w:val="24"/>
                <w:lang w:val="en-US" w:eastAsia="ru-RU" w:bidi="ar-SA"/>
              </w:rPr>
              <w:t>v</w:t>
            </w:r>
            <w:r>
              <w:rPr>
                <w:rFonts w:eastAsia="Arial" w:cs="Times New Roman" w:eastAsiaTheme="minorEastAsia"/>
                <w:kern w:val="0"/>
                <w:szCs w:val="24"/>
                <w:lang w:val="ru-RU" w:eastAsia="ru-RU" w:bidi="ar-SA"/>
              </w:rPr>
              <w:t>.12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СУБД для размещения анализируемых данных и разметки</w:t>
            </w:r>
          </w:p>
        </w:tc>
      </w:tr>
      <w:tr>
        <w:trPr/>
        <w:tc>
          <w:tcPr>
            <w:tcW w:w="453"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4</w:t>
            </w:r>
          </w:p>
        </w:tc>
        <w:tc>
          <w:tcPr>
            <w:tcW w:w="284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Java v.11</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3"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5</w:t>
            </w:r>
          </w:p>
        </w:tc>
        <w:tc>
          <w:tcPr>
            <w:tcW w:w="284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Python v.3.8</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6</w:t>
            </w:r>
          </w:p>
        </w:tc>
        <w:tc>
          <w:tcPr>
            <w:tcW w:w="284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Apache AirFlow</w:t>
            </w:r>
            <w:r>
              <w:rPr>
                <w:rFonts w:eastAsia="Arial" w:cs="Times New Roman" w:eastAsiaTheme="minorEastAsia"/>
                <w:kern w:val="0"/>
                <w:szCs w:val="24"/>
                <w:lang w:val="ru-RU" w:eastAsia="ru-RU" w:bidi="ar-SA"/>
              </w:rPr>
              <w:t xml:space="preserve"> 2.1.2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импорта данных из </w:t>
            </w:r>
            <w:r>
              <w:rPr>
                <w:rFonts w:eastAsia="Arial" w:cs="Times New Roman" w:eastAsiaTheme="minorEastAsia"/>
                <w:kern w:val="0"/>
                <w:szCs w:val="24"/>
                <w:lang w:val="en-US" w:eastAsia="ru-RU" w:bidi="ar-SA"/>
              </w:rPr>
              <w:t>ODS</w:t>
            </w:r>
            <w:r>
              <w:rPr>
                <w:rFonts w:eastAsia="Arial" w:cs="Times New Roman" w:eastAsiaTheme="minorEastAsia"/>
                <w:kern w:val="0"/>
                <w:szCs w:val="24"/>
                <w:lang w:val="ru-RU" w:eastAsia="ru-RU" w:bidi="ar-SA"/>
              </w:rPr>
              <w:t xml:space="preserve"> для анализа моделью машинного обучения и экспорта результатов в </w:t>
            </w:r>
            <w:r>
              <w:rPr>
                <w:rFonts w:eastAsia="Arial" w:cs="Times New Roman" w:eastAsiaTheme="minorEastAsia"/>
                <w:kern w:val="0"/>
                <w:szCs w:val="24"/>
                <w:lang w:val="en-US" w:eastAsia="ru-RU" w:bidi="ar-SA"/>
              </w:rPr>
              <w:t>DWH</w:t>
            </w:r>
          </w:p>
        </w:tc>
      </w:tr>
      <w:tr>
        <w:trPr/>
        <w:tc>
          <w:tcPr>
            <w:tcW w:w="45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7</w:t>
            </w:r>
          </w:p>
        </w:tc>
        <w:tc>
          <w:tcPr>
            <w:tcW w:w="2845"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nginx</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шлюза безопасности для </w:t>
            </w:r>
            <w:r>
              <w:rPr>
                <w:rFonts w:eastAsia="Arial" w:cs="Times New Roman" w:eastAsiaTheme="minorEastAsia"/>
                <w:kern w:val="0"/>
                <w:szCs w:val="24"/>
                <w:lang w:val="en-US" w:eastAsia="ru-RU" w:bidi="ar-SA"/>
              </w:rPr>
              <w:t>web</w:t>
            </w:r>
          </w:p>
        </w:tc>
      </w:tr>
    </w:tbl>
    <w:p>
      <w:pPr>
        <w:pStyle w:val="phnormal1"/>
        <w:spacing w:lineRule="auto" w:line="276"/>
        <w:rPr>
          <w:sz w:val="24"/>
          <w:szCs w:val="24"/>
        </w:rPr>
      </w:pPr>
      <w:r>
        <w:rPr>
          <w:sz w:val="24"/>
          <w:szCs w:val="24"/>
        </w:rPr>
      </w:r>
    </w:p>
    <w:p>
      <w:pPr>
        <w:pStyle w:val="phnormal1"/>
        <w:spacing w:lineRule="auto" w:line="276"/>
        <w:rPr>
          <w:sz w:val="24"/>
          <w:szCs w:val="24"/>
        </w:rPr>
      </w:pPr>
      <w:r>
        <w:rPr>
          <w:sz w:val="24"/>
          <w:szCs w:val="24"/>
        </w:rPr>
        <w:t>Языки программирования, на которых написана программа:</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rPr>
        <w:t xml:space="preserve">Java </w:t>
      </w:r>
      <w:r>
        <w:rPr>
          <w:rFonts w:eastAsia="Arial" w:cs="Times New Roman" w:eastAsiaTheme="minorEastAsia"/>
          <w:sz w:val="24"/>
          <w:szCs w:val="24"/>
          <w:lang w:val="en-US"/>
        </w:rPr>
        <w:t>v.11</w:t>
      </w:r>
      <w:r>
        <w:rPr>
          <w:rFonts w:eastAsia="Arial" w:cs="Times New Roman" w:eastAsiaTheme="minorEastAsia"/>
          <w:sz w:val="24"/>
          <w:szCs w:val="24"/>
        </w:rPr>
        <w:t xml:space="preserve"> – интеграционные модули;</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lang w:val="en-US"/>
        </w:rPr>
        <w:t>Python v.3.8</w:t>
      </w:r>
      <w:r>
        <w:rPr>
          <w:rFonts w:eastAsia="Arial" w:cs="Times New Roman" w:eastAsiaTheme="minorEastAsia"/>
          <w:sz w:val="24"/>
          <w:szCs w:val="24"/>
        </w:rPr>
        <w:t xml:space="preserve"> – </w:t>
      </w:r>
      <w:r>
        <w:rPr>
          <w:rFonts w:eastAsia="Arial" w:cs="Times New Roman" w:eastAsiaTheme="minorEastAsia"/>
          <w:sz w:val="24"/>
          <w:szCs w:val="24"/>
          <w:lang w:val="en-US"/>
        </w:rPr>
        <w:t>ML-</w:t>
      </w:r>
      <w:r>
        <w:rPr>
          <w:rFonts w:eastAsia="Arial" w:cs="Times New Roman" w:eastAsiaTheme="minorEastAsia"/>
          <w:sz w:val="24"/>
          <w:szCs w:val="24"/>
        </w:rPr>
        <w:t>модели;</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rPr>
        <w:t>SQL – хранимые процедуры, скрипты PostgreSQL.</w:t>
      </w:r>
    </w:p>
    <w:p>
      <w:pPr>
        <w:pStyle w:val="Style93"/>
        <w:spacing w:lineRule="auto" w:line="276" w:before="120" w:after="120"/>
        <w:ind w:firstLine="567"/>
        <w:rPr>
          <w:szCs w:val="24"/>
        </w:rPr>
      </w:pPr>
      <w:r>
        <w:rPr>
          <w:szCs w:val="24"/>
        </w:rPr>
        <w:t>На данный момент в Аналитической системе Россельхознадзора реализованы дашборды для аналитических компонентов по следующим направлениям:</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Государственный ветеринарный надзор (32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Внешний ветеринарный надзор (11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Фитосанитарный надзор (7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Лабораторные исследования (5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Контрольно-надзорная деятельность (1 компонент);</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Документооборот (4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Финансы (10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Экспорт АПК (14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Искусственный интеллект (43 компонента);</w:t>
      </w:r>
    </w:p>
    <w:p>
      <w:pPr>
        <w:pStyle w:val="-11"/>
        <w:numPr>
          <w:ilvl w:val="0"/>
          <w:numId w:val="54"/>
        </w:numPr>
        <w:tabs>
          <w:tab w:val="clear" w:pos="708"/>
          <w:tab w:val="left" w:pos="993" w:leader="none"/>
        </w:tabs>
        <w:ind w:firstLine="567" w:start="0"/>
        <w:rPr>
          <w:sz w:val="24"/>
          <w:szCs w:val="24"/>
        </w:rPr>
      </w:pPr>
      <w:r>
        <w:rPr>
          <w:sz w:val="24"/>
          <w:szCs w:val="24"/>
        </w:rPr>
        <w:t>Агрегатор отчетности (ФВД) (агрегирующий модуль).</w:t>
      </w:r>
    </w:p>
    <w:p>
      <w:pPr>
        <w:pStyle w:val="Normal"/>
        <w:spacing w:lineRule="auto" w:line="276"/>
        <w:rPr/>
      </w:pPr>
      <w:r>
        <w:rPr/>
      </w:r>
    </w:p>
    <w:p>
      <w:pPr>
        <w:pStyle w:val="Style48"/>
        <w:rPr/>
      </w:pPr>
      <w:bookmarkStart w:id="256" w:name="_Toc240723525"/>
      <w:r>
        <w:rPr/>
        <w:t>Перечень терминов</w:t>
      </w:r>
      <w:bookmarkEnd w:id="238"/>
      <w:bookmarkEnd w:id="239"/>
      <w:bookmarkEnd w:id="240"/>
      <w:bookmarkEnd w:id="241"/>
      <w:r>
        <w:rPr/>
        <w:t xml:space="preserve"> и сокращений</w:t>
      </w:r>
      <w:bookmarkEnd w:id="256"/>
    </w:p>
    <w:tbl>
      <w:tblPr>
        <w:tblW w:w="9668" w:type="dxa"/>
        <w:jc w:val="start"/>
        <w:tblInd w:w="108" w:type="dxa"/>
        <w:tblLayout w:type="fixed"/>
        <w:tblCellMar>
          <w:top w:w="85" w:type="dxa"/>
          <w:start w:w="108" w:type="dxa"/>
          <w:bottom w:w="85" w:type="dxa"/>
          <w:end w:w="108" w:type="dxa"/>
        </w:tblCellMar>
        <w:tblLook w:noHBand="0" w:noVBand="1" w:firstColumn="1" w:lastRow="0" w:lastColumn="0" w:firstRow="1" w:val="04a0"/>
      </w:tblPr>
      <w:tblGrid>
        <w:gridCol w:w="3248"/>
        <w:gridCol w:w="6420"/>
      </w:tblGrid>
      <w:tr>
        <w:trPr>
          <w:tblHeader w:val="true"/>
        </w:trPr>
        <w:tc>
          <w:tcPr>
            <w:tcW w:w="3248"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Обозначение</w:t>
            </w:r>
          </w:p>
        </w:tc>
        <w:tc>
          <w:tcPr>
            <w:tcW w:w="6420"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Описание</w:t>
            </w:r>
          </w:p>
        </w:tc>
      </w:tr>
      <w:tr>
        <w:trPr>
          <w:trHeight w:val="53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DOCX, XLSX</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Office Open XML</w:t>
            </w:r>
          </w:p>
        </w:tc>
      </w:tr>
      <w:tr>
        <w:trPr>
          <w:trHeight w:val="185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HTTP</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 xml:space="preserve">HyperText Transfer Protocol </w:t>
            </w:r>
            <w:r>
              <w:rPr>
                <w:szCs w:val="24"/>
              </w:rPr>
              <w:t>–</w:t>
            </w:r>
            <w:r>
              <w:rPr>
                <w:bCs/>
                <w:szCs w:val="24"/>
              </w:rPr>
              <w:t xml:space="preserve">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HTTPS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HyperText Transfer Protocol Secure – расширение протокола HTTP для поддержки шифрования в целях повышения безопасности</w:t>
            </w:r>
          </w:p>
        </w:tc>
      </w:tr>
      <w:tr>
        <w:trPr>
          <w:trHeight w:val="121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KPI</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Key Performance Indicators (ключевые показатели эффективности) – числовые показатели деятельности подразделения (предприятия), которые помогают организации в достижении целей или оптимальности процесса, а именно: результативности и эффективности</w:t>
            </w:r>
          </w:p>
        </w:tc>
      </w:tr>
      <w:tr>
        <w:trPr>
          <w:trHeight w:val="51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ODT, ODS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OpenDocument Format</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PDF</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Portable Document Format – межплатформенный открытый формат электронных документов</w:t>
            </w:r>
          </w:p>
        </w:tc>
      </w:tr>
      <w:tr>
        <w:trPr>
          <w:trHeight w:val="1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АРМ</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Автоматизированное рабочее место</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Веб, web</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World Wide Web – распределённая система, предоставляющая доступ к связанным между собой документам, расположенным на различных компьютерах, подключённых к сети Интернет. Для обозначения используются слова: веб, web и аббревиатура www</w:t>
            </w:r>
          </w:p>
        </w:tc>
      </w:tr>
      <w:tr>
        <w:trPr>
          <w:trHeight w:val="60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Дашборд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Информационная панель - визуальное представление данных, сгруппированных по смыслу на одном экране для более легкого визуального восприятия информации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Документация на Систему</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Документы, предусмотренные Постановлениями Правительства Российской Федерации от 06.07.2015 № 676 и от 30.01.2013 № 62.</w:t>
            </w:r>
          </w:p>
        </w:tc>
      </w:tr>
      <w:tr>
        <w:trPr>
          <w:trHeight w:val="19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ЕСИА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Единая система идентификации и аутентификации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ЕСПД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Единая система программной документации. Комплекс государственных стандартов РФ, устанавливающих взаимосвязанные правила разработки, оформления и обращения программ и программной документации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ЗПО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t>Заказное программное обеспечение (прикладное), разработанное по специальному заказу и специально предназначенное для решения задач, следующих из полномочий Россельхознадзора, в том числе обеспечения исполнения государственных функций, предоставления государственных услуг, автоматизации типовой деятельности, включая типовые программные решения</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Идентификация</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Процедура распознавания субъекта по его идентификатору</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bCs/>
                <w:szCs w:val="24"/>
              </w:rPr>
              <w:t>Искусственный интеллект</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ИС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Информационная система</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szCs w:val="24"/>
              </w:rPr>
              <w:t>Мероприятие</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 xml:space="preserve">Реализуемое в 2026 году мероприятие по развитию Системы, предусмотренное Программой. </w:t>
            </w:r>
          </w:p>
        </w:tc>
      </w:tr>
      <w:tr>
        <w:trPr>
          <w:trHeight w:val="21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ОС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Операционная система</w:t>
            </w:r>
          </w:p>
        </w:tc>
      </w:tr>
      <w:tr>
        <w:trPr>
          <w:trHeight w:val="25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Программное обеспечение</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Пользователь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Лицо или группа лиц, использующих Систему</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rPr>
                <w:bCs/>
                <w:szCs w:val="24"/>
              </w:rPr>
            </w:pPr>
            <w:r>
              <w:rPr/>
              <w:t>Привилегированный пользователь</w:t>
            </w:r>
          </w:p>
        </w:tc>
        <w:tc>
          <w:tcPr>
            <w:tcW w:w="6420"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contextualSpacing/>
              <w:rPr>
                <w:szCs w:val="24"/>
              </w:rPr>
            </w:pPr>
            <w:r>
              <w:rPr/>
              <w:t>Пользователь Системы,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Программа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Утверждённая в установленном порядке Ведомственная программа цифровой трансформации Россельхознадзора на 2026 год и плановый период 2027-2028 годов</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анализа данных искусственным интеллектом для выявления нарушений при обороте продукции животного происхождения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ПОСА, Аналитическая подсистема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отчетности, статистики и аналитики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ЦИ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цифровых индикаторов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сбора ДБ</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w:t>
            </w:r>
            <w:r>
              <w:rPr/>
              <w:t xml:space="preserve"> </w:t>
            </w:r>
            <w:r>
              <w:rPr>
                <w:szCs w:val="24"/>
              </w:rPr>
              <w:t>автоматического сбора доказательной базы по сработавшим цифровым индикаторам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СЗИ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Система защиты информации</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Сельхозтоваропроизводитель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Производитель сельскохозяйственных товаров</w:t>
            </w:r>
          </w:p>
        </w:tc>
      </w:tr>
      <w:tr>
        <w:trPr>
          <w:trHeight w:val="3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120"/>
              <w:ind w:hanging="0"/>
              <w:rPr>
                <w:szCs w:val="24"/>
              </w:rPr>
            </w:pPr>
            <w:r>
              <w:rPr>
                <w:szCs w:val="24"/>
              </w:rPr>
              <w:t>Аналитическая система Россельхознадзора</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СУБД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Система управления базами данных – совокупность языковых и программных средств, предназначенных для создания, ведения и совместного использования баз данных многими пользователями</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Настоящее техническое задание</w:t>
            </w:r>
          </w:p>
        </w:tc>
      </w:tr>
      <w:tr>
        <w:trPr>
          <w:trHeight w:val="2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ФВД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 ввода данных</w:t>
            </w:r>
          </w:p>
        </w:tc>
      </w:tr>
      <w:tr>
        <w:trPr>
          <w:trHeight w:val="40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ФХД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Финансово-хозяйственная деятельность</w:t>
            </w:r>
          </w:p>
        </w:tc>
      </w:tr>
      <w:tr>
        <w:trPr>
          <w:trHeight w:val="1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t>ХС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Хозяйствующий субъект</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Цербер</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Компонент ФГИС «ВетИС» - «Цербер», являющийся реестром поднадзорных объектов, ХСов и площадок</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ЧТЗ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 xml:space="preserve">Частное техническое задание </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Государственный контроль (надзор)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до возникновения таких нарушений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Дорожная карта РСХН</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Дорожная карта по разработке цифровых индикаторов рисков в ветеринарном надзоре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ИИ-модель, также модель ИИ</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b/>
                <w:color w:val="000000"/>
              </w:rPr>
            </w:pPr>
            <w:r>
              <w:rPr>
                <w:color w:val="000000"/>
              </w:rPr>
              <w:t>Сценарная модель с применением правил и(или) алгоритмов и(или) методов машинного обучения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Инспектор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контрольных (надзорных) мероприятий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Инструментальное обследование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(товаров) обязательным требованиям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Испытание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контрольного (надзорного) органа, его структурного 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Истребование документов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данных, а также носителей информации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Категория риска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pPr>
              <w:pStyle w:val="Normal"/>
              <w:rPr/>
            </w:pPr>
            <w:r>
              <w:rPr/>
              <w:t>1) чрезвычайно – высокий риск;</w:t>
            </w:r>
          </w:p>
          <w:p>
            <w:pPr>
              <w:pStyle w:val="Normal"/>
              <w:rPr/>
            </w:pPr>
            <w:r>
              <w:rPr/>
              <w:t>2) высокий риск;</w:t>
            </w:r>
          </w:p>
          <w:p>
            <w:pPr>
              <w:pStyle w:val="Normal"/>
              <w:rPr/>
            </w:pPr>
            <w:r>
              <w:rPr/>
              <w:t>3) значительный риск;</w:t>
            </w:r>
          </w:p>
          <w:p>
            <w:pPr>
              <w:pStyle w:val="Normal"/>
              <w:rPr/>
            </w:pPr>
            <w:r>
              <w:rPr/>
              <w:t>4) средний риск;</w:t>
            </w:r>
          </w:p>
          <w:p>
            <w:pPr>
              <w:pStyle w:val="Normal"/>
              <w:rPr/>
            </w:pPr>
            <w:r>
              <w:rPr/>
              <w:t>5) умеренный риск;</w:t>
            </w:r>
          </w:p>
          <w:p>
            <w:pPr>
              <w:pStyle w:val="Normal"/>
              <w:rPr/>
            </w:pPr>
            <w:r>
              <w:rPr/>
              <w:t>6) низкий риск.</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КНД</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Контрольная (надзорная) деятельность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Контрольное (надзорное) мероприятие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Контролируемые лица, также – субъекты контроля</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Граждане и организации, деятельность, действия или 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действие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Применяются следующие виды контрольно-надзорных действий:</w:t>
            </w:r>
          </w:p>
          <w:p>
            <w:pPr>
              <w:pStyle w:val="NoSpacing"/>
              <w:numPr>
                <w:ilvl w:val="0"/>
                <w:numId w:val="55"/>
              </w:numPr>
              <w:jc w:val="both"/>
              <w:rPr/>
            </w:pPr>
            <w:r>
              <w:rPr/>
              <w:t>осмотр;</w:t>
            </w:r>
          </w:p>
          <w:p>
            <w:pPr>
              <w:pStyle w:val="NoSpacing"/>
              <w:numPr>
                <w:ilvl w:val="0"/>
                <w:numId w:val="55"/>
              </w:numPr>
              <w:jc w:val="both"/>
              <w:rPr/>
            </w:pPr>
            <w:r>
              <w:rPr/>
              <w:t>досмотр;</w:t>
            </w:r>
          </w:p>
          <w:p>
            <w:pPr>
              <w:pStyle w:val="NoSpacing"/>
              <w:numPr>
                <w:ilvl w:val="0"/>
                <w:numId w:val="55"/>
              </w:numPr>
              <w:jc w:val="both"/>
              <w:rPr/>
            </w:pPr>
            <w:r>
              <w:rPr/>
              <w:t>опрос;</w:t>
            </w:r>
          </w:p>
          <w:p>
            <w:pPr>
              <w:pStyle w:val="NoSpacing"/>
              <w:numPr>
                <w:ilvl w:val="0"/>
                <w:numId w:val="55"/>
              </w:numPr>
              <w:jc w:val="both"/>
              <w:rPr/>
            </w:pPr>
            <w:r>
              <w:rPr/>
              <w:t>получение письменных объяснений;</w:t>
            </w:r>
          </w:p>
          <w:p>
            <w:pPr>
              <w:pStyle w:val="NoSpacing"/>
              <w:numPr>
                <w:ilvl w:val="0"/>
                <w:numId w:val="55"/>
              </w:numPr>
              <w:jc w:val="both"/>
              <w:rPr/>
            </w:pPr>
            <w:r>
              <w:rPr/>
              <w:t>истребование документов;</w:t>
            </w:r>
          </w:p>
          <w:p>
            <w:pPr>
              <w:pStyle w:val="NoSpacing"/>
              <w:numPr>
                <w:ilvl w:val="0"/>
                <w:numId w:val="55"/>
              </w:numPr>
              <w:jc w:val="both"/>
              <w:rPr/>
            </w:pPr>
            <w:r>
              <w:rPr/>
              <w:t>отбор проб (образцов);</w:t>
            </w:r>
          </w:p>
          <w:p>
            <w:pPr>
              <w:pStyle w:val="NoSpacing"/>
              <w:numPr>
                <w:ilvl w:val="0"/>
                <w:numId w:val="55"/>
              </w:numPr>
              <w:jc w:val="both"/>
              <w:rPr/>
            </w:pPr>
            <w:r>
              <w:rPr/>
              <w:t>инструментальное обследование;</w:t>
            </w:r>
          </w:p>
          <w:p>
            <w:pPr>
              <w:pStyle w:val="NoSpacing"/>
              <w:numPr>
                <w:ilvl w:val="0"/>
                <w:numId w:val="55"/>
              </w:numPr>
              <w:jc w:val="both"/>
              <w:rPr/>
            </w:pPr>
            <w:r>
              <w:rPr/>
              <w:t>испытание;</w:t>
            </w:r>
          </w:p>
          <w:p>
            <w:pPr>
              <w:pStyle w:val="NoSpacing"/>
              <w:numPr>
                <w:ilvl w:val="0"/>
                <w:numId w:val="55"/>
              </w:numPr>
              <w:jc w:val="both"/>
              <w:rPr/>
            </w:pPr>
            <w:r>
              <w:rPr/>
              <w:t>экспертиза.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актами, с фактами причинения вреда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Объект контроля, также – подконтрольный объект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Объектами государственного контроля (надзора) являются:</w:t>
            </w:r>
          </w:p>
          <w:p>
            <w:pPr>
              <w:pStyle w:val="Normal"/>
              <w:rPr/>
            </w:pPr>
            <w:r>
              <w:rPr/>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pPr>
              <w:pStyle w:val="Normal"/>
              <w:rPr/>
            </w:pPr>
            <w:r>
              <w:rPr/>
              <w:t>2) результаты деятельности граждан и организаций, в том числе продукция (товары), работы и услуги, к которым предъявляются обязательные требования;</w:t>
            </w:r>
          </w:p>
          <w:p>
            <w:pPr>
              <w:pStyle w:val="Normal"/>
              <w:rPr/>
            </w:pPr>
            <w:r>
              <w:rPr/>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Опрос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pPr>
              <w:pStyle w:val="Normal"/>
              <w:rPr/>
            </w:pPr>
            <w:r>
              <w:rPr/>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Отбор проб</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ПМ, также – Профилактическое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Мероприятие контрольного (надзорного) органа, проводимое в отношении контролируемого лица в целях:</w:t>
            </w:r>
          </w:p>
          <w:p>
            <w:pPr>
              <w:pStyle w:val="Normal"/>
              <w:rPr/>
            </w:pPr>
            <w:r>
              <w:rPr/>
              <w:t>1) стимулирование добросовестного соблюдения обязательных требований всеми контролируемыми лицами;</w:t>
            </w:r>
          </w:p>
          <w:p>
            <w:pPr>
              <w:pStyle w:val="Normal"/>
              <w:rPr/>
            </w:pPr>
            <w:r>
              <w:rPr/>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pPr>
              <w:pStyle w:val="Normal"/>
              <w:rPr/>
            </w:pPr>
            <w:r>
              <w:rPr/>
              <w:t>3) создание условий для доведения обязательных требований до контролируемых лиц, повышение информированности о способах их соблюдения.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Получение письменный объяснений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располагающих такими сведениями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color w:val="000000"/>
              </w:rPr>
              <w:t>Предписание об устранении выявленных нарушений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устранения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Реестр контролируемых лиц / объектов контроля/КНМ /ПМ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Список всех записей о контролируемых лицах/объектах контроля/КНМ/ПМ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Рейдовый 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лиц, находящиеся на территории, на которой расположено несколько контролируемых лиц</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Риск</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Вероятность причинения вреда (ущерба) охраняемым законом ценностям, вызванного нарушениями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РСХН, Россельхознадзор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Федеральная служба по ветеринарному и фитосанитарному надзору</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СМЭВ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Единая система межведомственного электронного взаимодействия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ФГИС «ВетИС»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Федеральная государственная информационная система в области ветеринарии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Функционально-технические требования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ЧТЗ</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Частное техническое задание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Экспертиза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НДС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Налог на добавленную стоимость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ETL</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Extract, Transform, Load — извлечение, преобразование, загрузка — это процесс интеграции данных, который собирает информацию из разных источников, приводит её к единому стандарту и сохраняет в едином хранилище для анализа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СМЭВ 3</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3 версия системы межведомственного электронного взаимодействия, предназначенная для обмена данными между госорганами, ведомствами и организациями в России.</w:t>
            </w:r>
          </w:p>
        </w:tc>
      </w:tr>
    </w:tbl>
    <w:p>
      <w:pPr>
        <w:pStyle w:val="Normal"/>
        <w:rPr/>
      </w:pPr>
      <w:r>
        <w:rPr/>
      </w:r>
    </w:p>
    <w:p>
      <w:pPr>
        <w:pStyle w:val="Style49"/>
        <w:rPr>
          <w:color w:themeColor="text1" w:val="000000"/>
          <w:sz w:val="28"/>
          <w:szCs w:val="28"/>
        </w:rPr>
      </w:pPr>
      <w:r>
        <w:rPr>
          <w:color w:themeColor="text1" w:val="000000"/>
          <w:sz w:val="28"/>
          <w:szCs w:val="28"/>
        </w:rPr>
        <w:t>ЛИСТ СОГЛАСОВАНИЯ</w:t>
      </w:r>
    </w:p>
    <w:tbl>
      <w:tblPr>
        <w:tblStyle w:val="afffff7"/>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3529"/>
        <w:gridCol w:w="2743"/>
        <w:gridCol w:w="1437"/>
        <w:gridCol w:w="1317"/>
      </w:tblGrid>
      <w:tr>
        <w:trPr>
          <w:trHeight w:val="567" w:hRule="atLeast"/>
        </w:trPr>
        <w:tc>
          <w:tcPr>
            <w:tcW w:w="3529"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Должность</w:t>
            </w:r>
          </w:p>
        </w:tc>
        <w:tc>
          <w:tcPr>
            <w:tcW w:w="2743"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Фамилия, имя, отчество</w:t>
            </w:r>
          </w:p>
        </w:tc>
        <w:tc>
          <w:tcPr>
            <w:tcW w:w="1437"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Подпись</w:t>
            </w:r>
          </w:p>
        </w:tc>
        <w:tc>
          <w:tcPr>
            <w:tcW w:w="1317"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Дата</w:t>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bl>
    <w:p>
      <w:pPr>
        <w:pStyle w:val="35"/>
        <w:ind w:hanging="0" w:start="1985"/>
        <w:rPr>
          <w:color w:themeColor="text1" w:val="000000"/>
        </w:rPr>
      </w:pPr>
      <w:r>
        <w:rPr>
          <w:color w:themeColor="text1" w:val="000000"/>
        </w:rPr>
      </w:r>
      <w:bookmarkEnd w:id="5"/>
    </w:p>
    <w:sectPr>
      <w:headerReference w:type="even" r:id="rId27"/>
      <w:headerReference w:type="default" r:id="rId28"/>
      <w:headerReference w:type="first" r:id="rId29"/>
      <w:footerReference w:type="even" r:id="rId30"/>
      <w:footerReference w:type="default" r:id="rId31"/>
      <w:footerReference w:type="first" r:id="rId32"/>
      <w:type w:val="nextPage"/>
      <w:pgSz w:w="11906" w:h="16838"/>
      <w:pgMar w:left="1440" w:right="1440" w:gutter="0" w:header="709" w:top="1440" w:footer="709"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Times New Roman">
    <w:charset w:val="01"/>
    <w:family w:val="roman"/>
    <w:pitch w:val="default"/>
  </w:font>
  <w:font w:name="Arial">
    <w:charset w:val="01"/>
    <w:family w:val="swiss"/>
    <w:pitch w:val="default"/>
  </w:font>
  <w:font w:name="Times New Roman Полужирный">
    <w:charset w:val="01"/>
    <w:family w:val="roman"/>
    <w:pitch w:val="default"/>
  </w:font>
  <w:font w:name="ISOCPEUR">
    <w:charset w:val="01"/>
    <w:family w:val="swiss"/>
    <w:pitch w:val="default"/>
  </w:font>
  <w:font w:name="Tahoma">
    <w:charset w:val="01"/>
    <w:family w:val="swiss"/>
    <w:pitch w:val="default"/>
  </w:font>
  <w:font w:name="Segoe UI">
    <w:charset w:val="01"/>
    <w:family w:val="swiss"/>
    <w:pitch w:val="default"/>
  </w:font>
  <w:font w:name="OpenSymbol">
    <w:altName w:val="Arial Unicode MS"/>
    <w:charset w:val="02"/>
    <w:family w:val="swiss"/>
    <w:pitch w:val="default"/>
  </w:font>
  <w:font w:name="Liberation Sans">
    <w:altName w:val="Arial"/>
    <w:charset w:val="01"/>
    <w:family w:val="swiss"/>
    <w:pitch w:val="default"/>
  </w:font>
  <w:font w:name="Microsoft Sans Serif">
    <w:charset w:val="01"/>
    <w:family w:val="swiss"/>
    <w:pitch w:val="default"/>
  </w:font>
  <w:font w:name="Courier New">
    <w:charset w:val="01"/>
    <w:family w:val="roman"/>
    <w:pitch w:val="default"/>
  </w:font>
  <w:font w:name="GOST type A">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Матрица ответственности  ·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Матрица ответственности  ·  </w:t>
    </w:r>
    <w:r>
      <w:rPr/>
      <w:fldChar w:fldCharType="begin"/>
    </w:r>
    <w:r>
      <w:rPr/>
      <w:instrText xml:space="preserve"> PAGE </w:instrText>
    </w:r>
    <w:r>
      <w:rPr/>
      <w:fldChar w:fldCharType="separate"/>
    </w:r>
    <w:r>
      <w:rPr/>
      <w:t>4</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ТЗ  ·  </w:t>
    </w:r>
    <w:r>
      <w:rPr/>
      <w:fldChar w:fldCharType="begin"/>
    </w:r>
    <w:r>
      <w:rPr/>
      <w:instrText xml:space="preserve"> PAGE </w:instrText>
    </w:r>
    <w:r>
      <w:rPr/>
      <w:fldChar w:fldCharType="separate"/>
    </w:r>
    <w:r>
      <w:rPr/>
      <w:t>40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ТЗ  ·  </w:t>
    </w:r>
    <w:r>
      <w:rPr/>
      <w:fldChar w:fldCharType="begin"/>
    </w:r>
    <w:r>
      <w:rPr/>
      <w:instrText xml:space="preserve"> PAGE </w:instrText>
    </w:r>
    <w:r>
      <w:rPr/>
      <w:fldChar w:fldCharType="separate"/>
    </w:r>
    <w:r>
      <w:rPr/>
      <w:t>41</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ТЗ  ·  </w:t>
    </w:r>
    <w:r>
      <w:rPr/>
      <w:fldChar w:fldCharType="begin"/>
    </w:r>
    <w:r>
      <w:rPr/>
      <w:instrText xml:space="preserve"> PAGE </w:instrText>
    </w:r>
    <w:r>
      <w:rPr/>
      <w:fldChar w:fldCharType="separate"/>
    </w:r>
    <w:r>
      <w:rPr/>
      <w:t>41</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ТЗ  ·  </w:t>
    </w:r>
    <w:r>
      <w:rPr/>
      <w:fldChar w:fldCharType="begin"/>
    </w:r>
    <w:r>
      <w:rPr/>
      <w:instrText xml:space="preserve"> PAGE </w:instrText>
    </w:r>
    <w:r>
      <w:rPr/>
      <w:fldChar w:fldCharType="separate"/>
    </w:r>
    <w:r>
      <w:rPr/>
      <w:t>65</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ТЗ  ·  </w:t>
    </w:r>
    <w:r>
      <w:rPr/>
      <w:fldChar w:fldCharType="begin"/>
    </w:r>
    <w:r>
      <w:rPr/>
      <w:instrText xml:space="preserve"> PAGE </w:instrText>
    </w:r>
    <w:r>
      <w:rPr/>
      <w:fldChar w:fldCharType="separate"/>
    </w:r>
    <w:r>
      <w:rPr/>
      <w:t>65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РСХН «Цифровой надзор»  /  Распределение работ</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РСХН «Цифровой надзор»  /  Распределение работ</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 xml:space="preserve">Приложение 1  /  Текст оригинального ТЗ   ·   </w:t>
    </w:r>
    <w:hyperlink w:anchor="Матрица_ответственности">
      <w:r>
        <w:rPr>
          <w:rStyle w:val="Hyperlink"/>
          <w:rFonts w:eastAsia="Arial" w:cs="Arial"/>
          <w:color w:val="176B91"/>
          <w:sz w:val="17"/>
          <w:szCs w:val="17"/>
          <w:u w:val="single"/>
          <w:lang w:val="ru-RU"/>
        </w:rPr>
        <w:t>Вернуться к матрице</w:t>
      </w:r>
    </w:hyperlink>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 xml:space="preserve">Приложение 1  /  Текст оригинального ТЗ   ·   </w:t>
    </w:r>
    <w:hyperlink w:anchor="Matrix_Start">
      <w:r>
        <w:rPr>
          <w:rStyle w:val="Hyperlink"/>
          <w:rFonts w:eastAsia="Arial" w:cs="Arial"/>
          <w:color w:val="176B91"/>
          <w:sz w:val="17"/>
          <w:szCs w:val="17"/>
          <w:u w:val="single"/>
          <w:lang w:val="ru-RU"/>
        </w:rPr>
        <w:t>Вернуться к матрице</w:t>
      </w:r>
    </w:hyperlink>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 xml:space="preserve">Приложение 1  /  Текст оригинального ТЗ   ·   </w:t>
    </w:r>
    <w:r>
      <w:rPr>
        <w:rFonts w:eastAsia="Arial" w:cs="Arial"/>
        <w:color w:val="176B91"/>
        <w:sz w:val="17"/>
        <w:szCs w:val="17"/>
        <w:u w:val="single"/>
        <w:lang w:val="ru-RU"/>
      </w:rPr>
      <w:t>Вернуться к матрице</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 xml:space="preserve">Приложение 1  /  Текст оригинального ТЗ   ·   </w:t>
    </w:r>
    <w:r>
      <w:rPr>
        <w:rFonts w:eastAsia="Arial" w:cs="Arial"/>
        <w:color w:val="176B91"/>
        <w:sz w:val="17"/>
        <w:szCs w:val="17"/>
        <w:u w:val="single"/>
        <w:lang w:val="ru-RU"/>
      </w:rPr>
      <w:t>Вернуться к матрице</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 xml:space="preserve">Приложение 1  /  Текст оригинального ТЗ   ·   </w:t>
    </w:r>
    <w:hyperlink w:anchor="Matrix_Start">
      <w:r>
        <w:rPr>
          <w:rStyle w:val="Hyperlink"/>
          <w:rFonts w:eastAsia="Arial" w:cs="Arial"/>
          <w:color w:val="176B91"/>
          <w:sz w:val="17"/>
          <w:szCs w:val="17"/>
          <w:u w:val="single"/>
          <w:lang w:val="ru-RU"/>
        </w:rPr>
        <w:t>Вернуться к матрице</w:t>
      </w:r>
    </w:hyperlink>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 xml:space="preserve">Приложение 1  /  Текст оригинального ТЗ   ·   </w:t>
    </w:r>
    <w:hyperlink w:anchor="Matrix_Start">
      <w:r>
        <w:rPr>
          <w:rStyle w:val="Hyperlink"/>
          <w:rFonts w:eastAsia="Arial" w:cs="Arial"/>
          <w:color w:val="176B91"/>
          <w:sz w:val="17"/>
          <w:szCs w:val="17"/>
          <w:u w:val="single"/>
          <w:lang w:val="ru-RU"/>
        </w:rPr>
        <w:t>Вернуться к матрице</w:t>
      </w:r>
    </w:hyperlink>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0" w:hanging="0"/>
      </w:pPr>
      <w:rPr>
        <w:b/>
        <w:i w:val="false"/>
        <w:color w:val="auto"/>
      </w:rPr>
    </w:lvl>
    <w:lvl w:ilvl="1">
      <w:start w:val="1"/>
      <w:numFmt w:val="decimal"/>
      <w:pStyle w:val="Heading2"/>
      <w:suff w:val="space"/>
      <w:lvlText w:val="%1.%2."/>
      <w:lvlJc w:val="start"/>
      <w:pPr>
        <w:tabs>
          <w:tab w:val="num" w:pos="0"/>
        </w:tabs>
        <w:ind w:start="0"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2">
      <w:start w:val="1"/>
      <w:numFmt w:val="decimal"/>
      <w:pStyle w:val="Heading3"/>
      <w:suff w:val="space"/>
      <w:lvlText w:val="%1.%2.%3."/>
      <w:lvlJc w:val="start"/>
      <w:pPr>
        <w:tabs>
          <w:tab w:val="num" w:pos="0"/>
        </w:tabs>
        <w:ind w:start="568"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3">
      <w:start w:val="1"/>
      <w:numFmt w:val="decimal"/>
      <w:pStyle w:val="Heading4"/>
      <w:suff w:val="space"/>
      <w:lvlText w:val="%1.%2.%3.%4."/>
      <w:lvlJc w:val="start"/>
      <w:pPr>
        <w:tabs>
          <w:tab w:val="num" w:pos="0"/>
        </w:tabs>
        <w:ind w:start="0" w:firstLine="709"/>
      </w:pPr>
      <w:rPr/>
    </w:lvl>
    <w:lvl w:ilvl="4">
      <w:start w:val="1"/>
      <w:numFmt w:val="decimal"/>
      <w:pStyle w:val="Heading5"/>
      <w:suff w:val="space"/>
      <w:lvlText w:val="%1.%2.%3.%4.%5."/>
      <w:lvlJc w:val="start"/>
      <w:pPr>
        <w:tabs>
          <w:tab w:val="num" w:pos="0"/>
        </w:tabs>
        <w:ind w:start="0" w:firstLine="709"/>
      </w:pPr>
      <w:rPr/>
    </w:lvl>
    <w:lvl w:ilvl="5">
      <w:start w:val="1"/>
      <w:numFmt w:val="decimal"/>
      <w:pStyle w:val="Heading6"/>
      <w:suff w:val="space"/>
      <w:lvlText w:val="%1.%2.%3.%4.%5.%6."/>
      <w:lvlJc w:val="start"/>
      <w:pPr>
        <w:tabs>
          <w:tab w:val="num" w:pos="0"/>
        </w:tabs>
        <w:ind w:start="0" w:firstLine="709"/>
      </w:pPr>
      <w:rPr/>
    </w:lvl>
    <w:lvl w:ilvl="6">
      <w:start w:val="1"/>
      <w:numFmt w:val="decimal"/>
      <w:pStyle w:val="Heading7"/>
      <w:suff w:val="space"/>
      <w:lvlText w:val="%1.%2.%3.%4.%5.%6.%7."/>
      <w:lvlJc w:val="start"/>
      <w:pPr>
        <w:tabs>
          <w:tab w:val="num" w:pos="0"/>
        </w:tabs>
        <w:ind w:start="0" w:firstLine="709"/>
      </w:pPr>
      <w:rPr/>
    </w:lvl>
    <w:lvl w:ilvl="7">
      <w:start w:val="1"/>
      <w:numFmt w:val="decimal"/>
      <w:pStyle w:val="Heading8"/>
      <w:suff w:val="space"/>
      <w:lvlText w:val="%1.%2.%3.%4.%5.%6.%7.%8."/>
      <w:lvlJc w:val="start"/>
      <w:pPr>
        <w:tabs>
          <w:tab w:val="num" w:pos="0"/>
        </w:tabs>
        <w:ind w:start="0" w:firstLine="709"/>
      </w:pPr>
      <w:rPr/>
    </w:lvl>
    <w:lvl w:ilvl="8">
      <w:start w:val="1"/>
      <w:numFmt w:val="decimal"/>
      <w:suff w:val="space"/>
      <w:lvlText w:val="%1.%2.%3.%4.%5.%6.%7.%8.%9."/>
      <w:lvlJc w:val="start"/>
      <w:pPr>
        <w:tabs>
          <w:tab w:val="num" w:pos="0"/>
        </w:tabs>
        <w:ind w:start="2126" w:hanging="1417"/>
      </w:pPr>
      <w:rPr/>
    </w:lvl>
  </w:abstractNum>
  <w:abstractNum w:abstractNumId="2">
    <w:lvl w:ilvl="0">
      <w:start w:val="1"/>
      <w:numFmt w:val="decimal"/>
      <w:suff w:val="space"/>
      <w:lvlText w:val="%1"/>
      <w:lvlJc w:val="start"/>
      <w:pPr>
        <w:tabs>
          <w:tab w:val="num" w:pos="0"/>
        </w:tabs>
        <w:ind w:start="1359" w:hanging="432"/>
      </w:pPr>
      <w:rPr/>
    </w:lvl>
    <w:lvl w:ilvl="1">
      <w:start w:val="1"/>
      <w:numFmt w:val="decimal"/>
      <w:suff w:val="space"/>
      <w:lvlText w:val="%1.%2"/>
      <w:lvlJc w:val="start"/>
      <w:pPr>
        <w:tabs>
          <w:tab w:val="num" w:pos="0"/>
        </w:tabs>
        <w:ind w:start="1503" w:hanging="576"/>
      </w:pPr>
      <w:rPr/>
    </w:lvl>
    <w:lvl w:ilvl="2">
      <w:start w:val="1"/>
      <w:numFmt w:val="decimal"/>
      <w:suff w:val="space"/>
      <w:lvlText w:val="%1.%2.%3"/>
      <w:lvlJc w:val="start"/>
      <w:pPr>
        <w:tabs>
          <w:tab w:val="num" w:pos="0"/>
        </w:tabs>
        <w:ind w:start="1647" w:hanging="720"/>
      </w:pPr>
      <w:rPr/>
    </w:lvl>
    <w:lvl w:ilvl="3">
      <w:start w:val="1"/>
      <w:numFmt w:val="decimal"/>
      <w:suff w:val="space"/>
      <w:lvlText w:val="%1.%2.%3.%4"/>
      <w:lvlJc w:val="start"/>
      <w:pPr>
        <w:tabs>
          <w:tab w:val="num" w:pos="0"/>
        </w:tabs>
        <w:ind w:start="1791" w:hanging="864"/>
      </w:pPr>
      <w:rPr/>
    </w:lvl>
    <w:lvl w:ilvl="4">
      <w:start w:val="1"/>
      <w:numFmt w:val="decimal"/>
      <w:suff w:val="space"/>
      <w:lvlText w:val="%1.%2.%3.%4.%5"/>
      <w:lvlJc w:val="start"/>
      <w:pPr>
        <w:tabs>
          <w:tab w:val="num" w:pos="0"/>
        </w:tabs>
        <w:ind w:start="1935" w:hanging="1008"/>
      </w:pPr>
      <w:rPr/>
    </w:lvl>
    <w:lvl w:ilvl="5">
      <w:start w:val="1"/>
      <w:numFmt w:val="decimal"/>
      <w:suff w:val="space"/>
      <w:lvlText w:val="%1.%2.%3.%4.%5.%6"/>
      <w:lvlJc w:val="start"/>
      <w:pPr>
        <w:tabs>
          <w:tab w:val="num" w:pos="0"/>
        </w:tabs>
        <w:ind w:start="2079" w:hanging="1152"/>
      </w:pPr>
      <w:rPr/>
    </w:lvl>
    <w:lvl w:ilvl="6">
      <w:start w:val="1"/>
      <w:numFmt w:val="decimal"/>
      <w:suff w:val="space"/>
      <w:lvlText w:val="%1.%2.%3.%4.%5.%6.%7"/>
      <w:lvlJc w:val="start"/>
      <w:pPr>
        <w:tabs>
          <w:tab w:val="num" w:pos="0"/>
        </w:tabs>
        <w:ind w:start="2223" w:hanging="1296"/>
      </w:pPr>
      <w:rPr/>
    </w:lvl>
    <w:lvl w:ilvl="7">
      <w:start w:val="1"/>
      <w:numFmt w:val="decimal"/>
      <w:suff w:val="space"/>
      <w:lvlText w:val="%1.%2.%3.%4.%5.%6.%7.%8"/>
      <w:lvlJc w:val="start"/>
      <w:pPr>
        <w:tabs>
          <w:tab w:val="num" w:pos="0"/>
        </w:tabs>
        <w:ind w:start="2367" w:hanging="1440"/>
      </w:pPr>
      <w:rPr/>
    </w:lvl>
    <w:lvl w:ilvl="8">
      <w:start w:val="1"/>
      <w:numFmt w:val="decimal"/>
      <w:suff w:val="space"/>
      <w:lvlText w:val="%1.%2.%3.%4.%5.%6.%7.%8.%9"/>
      <w:lvlJc w:val="start"/>
      <w:pPr>
        <w:tabs>
          <w:tab w:val="num" w:pos="0"/>
        </w:tabs>
        <w:ind w:start="0" w:firstLine="709"/>
      </w:pPr>
      <w:rPr/>
    </w:lvl>
  </w:abstractNum>
  <w:abstractNum w:abstractNumId="3">
    <w:lvl w:ilvl="0">
      <w:start w:val="1"/>
      <w:numFmt w:val="bullet"/>
      <w:lvlText w:val=""/>
      <w:lvlJc w:val="start"/>
      <w:pPr>
        <w:tabs>
          <w:tab w:val="num" w:pos="643"/>
        </w:tabs>
        <w:ind w:start="643" w:hanging="360"/>
      </w:pPr>
      <w:rPr>
        <w:rFonts w:ascii="Symbol" w:hAnsi="Symbol" w:cs="Symbol" w:hint="default"/>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1134" w:hanging="425"/>
      </w:pPr>
      <w:rPr>
        <w:rFonts w:ascii="Symbol" w:hAnsi="Symbol" w:cs="Symbol" w:hint="default"/>
      </w:rPr>
    </w:lvl>
    <w:lvl w:ilvl="1">
      <w:start w:val="1"/>
      <w:numFmt w:val="bullet"/>
      <w:lvlText w:val="o"/>
      <w:lvlJc w:val="start"/>
      <w:pPr>
        <w:tabs>
          <w:tab w:val="num" w:pos="0"/>
        </w:tabs>
        <w:ind w:start="2574" w:hanging="360"/>
      </w:pPr>
      <w:rPr>
        <w:rFonts w:ascii="Courier New" w:hAnsi="Courier New" w:cs="Courier New" w:hint="default"/>
      </w:rPr>
    </w:lvl>
    <w:lvl w:ilvl="2">
      <w:start w:val="1"/>
      <w:numFmt w:val="bullet"/>
      <w:lvlText w:val=""/>
      <w:lvlJc w:val="start"/>
      <w:pPr>
        <w:tabs>
          <w:tab w:val="num" w:pos="0"/>
        </w:tabs>
        <w:ind w:start="3294" w:hanging="360"/>
      </w:pPr>
      <w:rPr>
        <w:rFonts w:ascii="Wingdings" w:hAnsi="Wingdings" w:cs="Wingdings" w:hint="default"/>
      </w:rPr>
    </w:lvl>
    <w:lvl w:ilvl="3">
      <w:start w:val="1"/>
      <w:numFmt w:val="bullet"/>
      <w:lvlText w:val=""/>
      <w:lvlJc w:val="start"/>
      <w:pPr>
        <w:tabs>
          <w:tab w:val="num" w:pos="0"/>
        </w:tabs>
        <w:ind w:start="4014" w:hanging="360"/>
      </w:pPr>
      <w:rPr>
        <w:rFonts w:ascii="Symbol" w:hAnsi="Symbol" w:cs="Symbol" w:hint="default"/>
      </w:rPr>
    </w:lvl>
    <w:lvl w:ilvl="4">
      <w:start w:val="1"/>
      <w:numFmt w:val="bullet"/>
      <w:lvlText w:val="o"/>
      <w:lvlJc w:val="start"/>
      <w:pPr>
        <w:tabs>
          <w:tab w:val="num" w:pos="0"/>
        </w:tabs>
        <w:ind w:start="4734" w:hanging="360"/>
      </w:pPr>
      <w:rPr>
        <w:rFonts w:ascii="Courier New" w:hAnsi="Courier New" w:cs="Courier New" w:hint="default"/>
      </w:rPr>
    </w:lvl>
    <w:lvl w:ilvl="5">
      <w:start w:val="1"/>
      <w:numFmt w:val="bullet"/>
      <w:lvlText w:val=""/>
      <w:lvlJc w:val="start"/>
      <w:pPr>
        <w:tabs>
          <w:tab w:val="num" w:pos="0"/>
        </w:tabs>
        <w:ind w:start="5454" w:hanging="360"/>
      </w:pPr>
      <w:rPr>
        <w:rFonts w:ascii="Wingdings" w:hAnsi="Wingdings" w:cs="Wingdings" w:hint="default"/>
      </w:rPr>
    </w:lvl>
    <w:lvl w:ilvl="6">
      <w:start w:val="1"/>
      <w:numFmt w:val="bullet"/>
      <w:lvlText w:val=""/>
      <w:lvlJc w:val="start"/>
      <w:pPr>
        <w:tabs>
          <w:tab w:val="num" w:pos="0"/>
        </w:tabs>
        <w:ind w:start="6174" w:hanging="360"/>
      </w:pPr>
      <w:rPr>
        <w:rFonts w:ascii="Symbol" w:hAnsi="Symbol" w:cs="Symbol" w:hint="default"/>
      </w:rPr>
    </w:lvl>
    <w:lvl w:ilvl="7">
      <w:start w:val="1"/>
      <w:numFmt w:val="bullet"/>
      <w:lvlText w:val="o"/>
      <w:lvlJc w:val="start"/>
      <w:pPr>
        <w:tabs>
          <w:tab w:val="num" w:pos="0"/>
        </w:tabs>
        <w:ind w:start="6894" w:hanging="360"/>
      </w:pPr>
      <w:rPr>
        <w:rFonts w:ascii="Courier New" w:hAnsi="Courier New" w:cs="Courier New" w:hint="default"/>
      </w:rPr>
    </w:lvl>
    <w:lvl w:ilvl="8">
      <w:start w:val="1"/>
      <w:numFmt w:val="bullet"/>
      <w:lvlText w:val=""/>
      <w:lvlJc w:val="start"/>
      <w:pPr>
        <w:tabs>
          <w:tab w:val="num" w:pos="0"/>
        </w:tabs>
        <w:ind w:start="7614" w:hanging="360"/>
      </w:pPr>
      <w:rPr>
        <w:rFonts w:ascii="Wingdings" w:hAnsi="Wingdings" w:cs="Wingdings" w:hint="default"/>
      </w:rPr>
    </w:lvl>
  </w:abstractNum>
  <w:abstractNum w:abstractNumId="5">
    <w:lvl w:ilvl="0">
      <w:start w:val="1"/>
      <w:numFmt w:val="bullet"/>
      <w:lvlText w:val=""/>
      <w:lvlJc w:val="start"/>
      <w:pPr>
        <w:tabs>
          <w:tab w:val="num" w:pos="1559"/>
        </w:tabs>
        <w:ind w:start="1559"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1985"/>
        </w:tabs>
        <w:ind w:start="1985" w:hanging="426"/>
      </w:pPr>
      <w:rPr>
        <w:rFonts w:ascii="Symbol" w:hAnsi="Symbol" w:cs="Symbol" w:hint="default"/>
      </w:rPr>
    </w:lvl>
    <w:lvl w:ilvl="1">
      <w:start w:val="1"/>
      <w:numFmt w:val="bullet"/>
      <w:lvlText w:val="o"/>
      <w:lvlJc w:val="start"/>
      <w:pPr>
        <w:tabs>
          <w:tab w:val="num" w:pos="0"/>
        </w:tabs>
        <w:ind w:start="3288" w:hanging="360"/>
      </w:pPr>
      <w:rPr>
        <w:rFonts w:ascii="Courier New" w:hAnsi="Courier New" w:cs="Courier New" w:hint="default"/>
      </w:rPr>
    </w:lvl>
    <w:lvl w:ilvl="2">
      <w:start w:val="1"/>
      <w:numFmt w:val="bullet"/>
      <w:lvlText w:val=""/>
      <w:lvlJc w:val="start"/>
      <w:pPr>
        <w:tabs>
          <w:tab w:val="num" w:pos="0"/>
        </w:tabs>
        <w:ind w:start="4008" w:hanging="360"/>
      </w:pPr>
      <w:rPr>
        <w:rFonts w:ascii="Wingdings" w:hAnsi="Wingdings" w:cs="Wingdings" w:hint="default"/>
      </w:rPr>
    </w:lvl>
    <w:lvl w:ilvl="3">
      <w:start w:val="1"/>
      <w:numFmt w:val="bullet"/>
      <w:lvlText w:val=""/>
      <w:lvlJc w:val="start"/>
      <w:pPr>
        <w:tabs>
          <w:tab w:val="num" w:pos="0"/>
        </w:tabs>
        <w:ind w:start="4728" w:hanging="360"/>
      </w:pPr>
      <w:rPr>
        <w:rFonts w:ascii="Symbol" w:hAnsi="Symbol" w:cs="Symbol" w:hint="default"/>
      </w:rPr>
    </w:lvl>
    <w:lvl w:ilvl="4">
      <w:start w:val="1"/>
      <w:numFmt w:val="bullet"/>
      <w:lvlText w:val="o"/>
      <w:lvlJc w:val="start"/>
      <w:pPr>
        <w:tabs>
          <w:tab w:val="num" w:pos="0"/>
        </w:tabs>
        <w:ind w:start="5448" w:hanging="360"/>
      </w:pPr>
      <w:rPr>
        <w:rFonts w:ascii="Courier New" w:hAnsi="Courier New" w:cs="Courier New" w:hint="default"/>
      </w:rPr>
    </w:lvl>
    <w:lvl w:ilvl="5">
      <w:start w:val="1"/>
      <w:numFmt w:val="bullet"/>
      <w:lvlText w:val=""/>
      <w:lvlJc w:val="start"/>
      <w:pPr>
        <w:tabs>
          <w:tab w:val="num" w:pos="0"/>
        </w:tabs>
        <w:ind w:start="6168" w:hanging="360"/>
      </w:pPr>
      <w:rPr>
        <w:rFonts w:ascii="Wingdings" w:hAnsi="Wingdings" w:cs="Wingdings" w:hint="default"/>
      </w:rPr>
    </w:lvl>
    <w:lvl w:ilvl="6">
      <w:start w:val="1"/>
      <w:numFmt w:val="bullet"/>
      <w:lvlText w:val=""/>
      <w:lvlJc w:val="start"/>
      <w:pPr>
        <w:tabs>
          <w:tab w:val="num" w:pos="0"/>
        </w:tabs>
        <w:ind w:start="6888" w:hanging="360"/>
      </w:pPr>
      <w:rPr>
        <w:rFonts w:ascii="Symbol" w:hAnsi="Symbol" w:cs="Symbol" w:hint="default"/>
      </w:rPr>
    </w:lvl>
    <w:lvl w:ilvl="7">
      <w:start w:val="1"/>
      <w:numFmt w:val="bullet"/>
      <w:lvlText w:val="o"/>
      <w:lvlJc w:val="start"/>
      <w:pPr>
        <w:tabs>
          <w:tab w:val="num" w:pos="0"/>
        </w:tabs>
        <w:ind w:start="7608" w:hanging="360"/>
      </w:pPr>
      <w:rPr>
        <w:rFonts w:ascii="Courier New" w:hAnsi="Courier New" w:cs="Courier New" w:hint="default"/>
      </w:rPr>
    </w:lvl>
    <w:lvl w:ilvl="8">
      <w:start w:val="1"/>
      <w:numFmt w:val="bullet"/>
      <w:lvlText w:val=""/>
      <w:lvlJc w:val="start"/>
      <w:pPr>
        <w:tabs>
          <w:tab w:val="num" w:pos="0"/>
        </w:tabs>
        <w:ind w:start="8328" w:hanging="360"/>
      </w:pPr>
      <w:rPr>
        <w:rFonts w:ascii="Wingdings" w:hAnsi="Wingdings" w:cs="Wingdings" w:hint="default"/>
      </w:rPr>
    </w:lvl>
  </w:abstractNum>
  <w:abstractNum w:abstractNumId="7">
    <w:lvl w:ilvl="0">
      <w:start w:val="1"/>
      <w:numFmt w:val="bullet"/>
      <w:lvlText w:val=""/>
      <w:lvlJc w:val="start"/>
      <w:pPr>
        <w:tabs>
          <w:tab w:val="num" w:pos="2410"/>
        </w:tabs>
        <w:ind w:start="2410"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9">
    <w:lvl w:ilvl="0">
      <w:start w:val="1"/>
      <w:numFmt w:val="decimal"/>
      <w:lvlText w:val="%1"/>
      <w:lvlJc w:val="start"/>
      <w:pPr>
        <w:tabs>
          <w:tab w:val="num" w:pos="1418"/>
        </w:tabs>
        <w:ind w:start="1418" w:hanging="567"/>
      </w:pPr>
      <w:rPr>
        <w:sz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1134"/>
        </w:tabs>
        <w:ind w:start="1134" w:hanging="425"/>
      </w:pPr>
      <w:rPr/>
    </w:lvl>
    <w:lvl w:ilvl="1">
      <w:start w:val="1"/>
      <w:numFmt w:val="russianLower"/>
      <w:lvlText w:val="%2)"/>
      <w:lvlJc w:val="start"/>
      <w:pPr>
        <w:tabs>
          <w:tab w:val="num" w:pos="1701"/>
        </w:tabs>
        <w:ind w:start="1701" w:hanging="567"/>
      </w:pPr>
      <w:rPr/>
    </w:lvl>
    <w:lvl w:ilvl="2">
      <w:start w:val="1"/>
      <w:numFmt w:val="decimal"/>
      <w:lvlText w:val="%3"/>
      <w:lvlJc w:val="start"/>
      <w:pPr>
        <w:tabs>
          <w:tab w:val="num" w:pos="1134"/>
        </w:tabs>
        <w:ind w:start="1134" w:hanging="425"/>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1134"/>
        </w:tabs>
        <w:ind w:start="1134" w:hanging="425"/>
      </w:pPr>
      <w:rPr/>
    </w:lvl>
    <w:lvl w:ilvl="1">
      <w:start w:val="1"/>
      <w:numFmt w:val="decimal"/>
      <w:isLgl/>
      <w:lvlText w:val="%1.%2."/>
      <w:lvlJc w:val="start"/>
      <w:pPr>
        <w:tabs>
          <w:tab w:val="num" w:pos="0"/>
        </w:tabs>
        <w:ind w:start="1069" w:hanging="360"/>
      </w:pPr>
      <w:rPr/>
    </w:lvl>
    <w:lvl w:ilvl="2">
      <w:start w:val="1"/>
      <w:numFmt w:val="decimal"/>
      <w:isLgl/>
      <w:lvlText w:val="%1.%2.%3."/>
      <w:lvlJc w:val="start"/>
      <w:pPr>
        <w:tabs>
          <w:tab w:val="num" w:pos="0"/>
        </w:tabs>
        <w:ind w:start="1429" w:hanging="720"/>
      </w:pPr>
      <w:rPr/>
    </w:lvl>
    <w:lvl w:ilvl="3">
      <w:start w:val="1"/>
      <w:numFmt w:val="decimal"/>
      <w:isLgl/>
      <w:lvlText w:val="%1.%2.%3.%4."/>
      <w:lvlJc w:val="start"/>
      <w:pPr>
        <w:tabs>
          <w:tab w:val="num" w:pos="0"/>
        </w:tabs>
        <w:ind w:start="1429" w:hanging="720"/>
      </w:pPr>
      <w:rPr/>
    </w:lvl>
    <w:lvl w:ilvl="4">
      <w:start w:val="1"/>
      <w:numFmt w:val="decimal"/>
      <w:isLgl/>
      <w:lvlText w:val="%1.%2.%3.%4.%5."/>
      <w:lvlJc w:val="start"/>
      <w:pPr>
        <w:tabs>
          <w:tab w:val="num" w:pos="0"/>
        </w:tabs>
        <w:ind w:start="1789" w:hanging="1080"/>
      </w:pPr>
      <w:rPr/>
    </w:lvl>
    <w:lvl w:ilvl="5">
      <w:start w:val="1"/>
      <w:numFmt w:val="decimal"/>
      <w:isLgl/>
      <w:lvlText w:val="%1.%2.%3.%4.%5.%6."/>
      <w:lvlJc w:val="start"/>
      <w:pPr>
        <w:tabs>
          <w:tab w:val="num" w:pos="0"/>
        </w:tabs>
        <w:ind w:start="1789" w:hanging="1080"/>
      </w:pPr>
      <w:rPr/>
    </w:lvl>
    <w:lvl w:ilvl="6">
      <w:start w:val="1"/>
      <w:numFmt w:val="decimal"/>
      <w:isLgl/>
      <w:lvlText w:val="%1.%2.%3.%4.%5.%6.%7."/>
      <w:lvlJc w:val="start"/>
      <w:pPr>
        <w:tabs>
          <w:tab w:val="num" w:pos="0"/>
        </w:tabs>
        <w:ind w:start="2149" w:hanging="1440"/>
      </w:pPr>
      <w:rPr/>
    </w:lvl>
    <w:lvl w:ilvl="7">
      <w:start w:val="1"/>
      <w:numFmt w:val="decimal"/>
      <w:isLgl/>
      <w:lvlText w:val="%1.%2.%3.%4.%5.%6.%7.%8."/>
      <w:lvlJc w:val="start"/>
      <w:pPr>
        <w:tabs>
          <w:tab w:val="num" w:pos="0"/>
        </w:tabs>
        <w:ind w:start="2149" w:hanging="1440"/>
      </w:pPr>
      <w:rPr/>
    </w:lvl>
    <w:lvl w:ilvl="8">
      <w:start w:val="1"/>
      <w:numFmt w:val="decimal"/>
      <w:isLgl/>
      <w:lvlText w:val="%1.%2.%3.%4.%5.%6.%7.%8.%9."/>
      <w:lvlJc w:val="start"/>
      <w:pPr>
        <w:tabs>
          <w:tab w:val="num" w:pos="0"/>
        </w:tabs>
        <w:ind w:start="2509" w:hanging="1800"/>
      </w:pPr>
      <w:rPr/>
    </w:lvl>
  </w:abstractNum>
  <w:abstractNum w:abstractNumId="12">
    <w:lvl w:ilvl="0">
      <w:start w:val="1"/>
      <w:numFmt w:val="decimal"/>
      <w:suff w:val="nothing"/>
      <w:lvlText w:val="%1"/>
      <w:lvlJc w:val="center"/>
      <w:pPr>
        <w:tabs>
          <w:tab w:val="num" w:pos="0"/>
        </w:tabs>
        <w:ind w:start="0" w:hanging="0"/>
      </w:pPr>
      <w:rPr>
        <w:rFonts w:ascii="Times New Roman" w:hAnsi="Times New Roman" w:cs="Times New Roman"/>
        <w:b w:val="false"/>
        <w:bCs w:val="false"/>
        <w:i w:val="false"/>
        <w:iCs w:val="false"/>
        <w:caps w:val="false"/>
        <w:smallCaps w:val="false"/>
        <w:strike w:val="false"/>
        <w:dstrike w:val="false"/>
        <w:vanish w:val="false"/>
        <w:color w:val="000000"/>
        <w:spacing w:val="0"/>
        <w:position w:val="0"/>
        <w:sz w:val="20"/>
        <w:u w:val="none"/>
        <w:vertAlign w:val="baseline"/>
      </w:rPr>
    </w:lvl>
    <w:lvl w:ilvl="1">
      <w:start w:val="1"/>
      <w:numFmt w:val="lowerLetter"/>
      <w:lvlText w:val="%2."/>
      <w:lvlJc w:val="start"/>
      <w:pPr>
        <w:tabs>
          <w:tab w:val="num" w:pos="0"/>
        </w:tabs>
        <w:ind w:start="2215" w:hanging="360"/>
      </w:pPr>
      <w:rPr/>
    </w:lvl>
    <w:lvl w:ilvl="2">
      <w:start w:val="1"/>
      <w:numFmt w:val="lowerRoman"/>
      <w:lvlText w:val="%3."/>
      <w:lvlJc w:val="end"/>
      <w:pPr>
        <w:tabs>
          <w:tab w:val="num" w:pos="0"/>
        </w:tabs>
        <w:ind w:start="2935" w:hanging="180"/>
      </w:pPr>
      <w:rPr/>
    </w:lvl>
    <w:lvl w:ilvl="3">
      <w:start w:val="1"/>
      <w:numFmt w:val="decimal"/>
      <w:lvlText w:val="%4."/>
      <w:lvlJc w:val="start"/>
      <w:pPr>
        <w:tabs>
          <w:tab w:val="num" w:pos="0"/>
        </w:tabs>
        <w:ind w:start="3655" w:hanging="360"/>
      </w:pPr>
      <w:rPr/>
    </w:lvl>
    <w:lvl w:ilvl="4">
      <w:start w:val="1"/>
      <w:numFmt w:val="lowerLetter"/>
      <w:lvlText w:val="%5."/>
      <w:lvlJc w:val="start"/>
      <w:pPr>
        <w:tabs>
          <w:tab w:val="num" w:pos="0"/>
        </w:tabs>
        <w:ind w:start="4375" w:hanging="360"/>
      </w:pPr>
      <w:rPr/>
    </w:lvl>
    <w:lvl w:ilvl="5">
      <w:start w:val="1"/>
      <w:numFmt w:val="lowerRoman"/>
      <w:lvlText w:val="%6."/>
      <w:lvlJc w:val="end"/>
      <w:pPr>
        <w:tabs>
          <w:tab w:val="num" w:pos="0"/>
        </w:tabs>
        <w:ind w:start="5095" w:hanging="180"/>
      </w:pPr>
      <w:rPr/>
    </w:lvl>
    <w:lvl w:ilvl="6">
      <w:start w:val="1"/>
      <w:numFmt w:val="decimal"/>
      <w:lvlText w:val="%7."/>
      <w:lvlJc w:val="start"/>
      <w:pPr>
        <w:tabs>
          <w:tab w:val="num" w:pos="0"/>
        </w:tabs>
        <w:ind w:start="5815" w:hanging="360"/>
      </w:pPr>
      <w:rPr/>
    </w:lvl>
    <w:lvl w:ilvl="7">
      <w:start w:val="1"/>
      <w:numFmt w:val="lowerLetter"/>
      <w:lvlText w:val="%8."/>
      <w:lvlJc w:val="start"/>
      <w:pPr>
        <w:tabs>
          <w:tab w:val="num" w:pos="0"/>
        </w:tabs>
        <w:ind w:start="6535" w:hanging="360"/>
      </w:pPr>
      <w:rPr/>
    </w:lvl>
    <w:lvl w:ilvl="8">
      <w:start w:val="1"/>
      <w:numFmt w:val="lowerRoman"/>
      <w:lvlText w:val="%9."/>
      <w:lvlJc w:val="end"/>
      <w:pPr>
        <w:tabs>
          <w:tab w:val="num" w:pos="0"/>
        </w:tabs>
        <w:ind w:start="7255" w:hanging="180"/>
      </w:pPr>
      <w:rPr/>
    </w:lvl>
  </w:abstractNum>
  <w:abstractNum w:abstractNumId="13">
    <w:lvl w:ilvl="0">
      <w:start w:val="1"/>
      <w:numFmt w:val="bullet"/>
      <w:lvlText w:val=""/>
      <w:lvlJc w:val="start"/>
      <w:pPr>
        <w:tabs>
          <w:tab w:val="num" w:pos="397"/>
        </w:tabs>
        <w:ind w:start="397" w:hanging="284"/>
      </w:pPr>
      <w:rPr>
        <w:rFonts w:ascii="Symbol" w:hAnsi="Symbol" w:cs="Symbol" w:hint="default"/>
        <w:color w:val="auto"/>
      </w:rPr>
    </w:lvl>
    <w:lvl w:ilvl="1">
      <w:start w:val="1"/>
      <w:numFmt w:val="bullet"/>
      <w:lvlText w:val=""/>
      <w:lvlJc w:val="start"/>
      <w:pPr>
        <w:tabs>
          <w:tab w:val="num" w:pos="680"/>
        </w:tabs>
        <w:ind w:start="680" w:hanging="283"/>
      </w:pPr>
      <w:rPr>
        <w:rFonts w:ascii="Symbol" w:hAnsi="Symbol" w:cs="Symbol" w:hint="default"/>
        <w:b w:val="false"/>
        <w:bCs w:val="false"/>
        <w:i w:val="false"/>
        <w:iCs w:val="false"/>
        <w:caps w:val="false"/>
        <w:smallCaps w:val="false"/>
        <w:strike w:val="false"/>
        <w:dstrike w:val="false"/>
        <w:vanish w:val="false"/>
        <w:color w:val="000000"/>
        <w:spacing w:val="0"/>
        <w:position w:val="0"/>
        <w:sz w:val="0"/>
        <w:szCs w:val="0"/>
        <w:u w:val="none"/>
        <w:shd w:fill="000000" w:val="clear"/>
        <w:vertAlign w:val="baseline"/>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680"/>
        </w:tabs>
        <w:ind w:start="680" w:hanging="283"/>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964"/>
        </w:tabs>
        <w:ind w:start="964" w:hanging="284"/>
      </w:pPr>
      <w:rPr>
        <w:rFonts w:ascii="Symbol" w:hAnsi="Symbol" w:cs="Symbol" w:hint="default"/>
      </w:rPr>
    </w:lvl>
    <w:lvl w:ilvl="1">
      <w:start w:val="1"/>
      <w:numFmt w:val="bullet"/>
      <w:lvlText w:val="o"/>
      <w:lvlJc w:val="start"/>
      <w:pPr>
        <w:tabs>
          <w:tab w:val="num" w:pos="0"/>
        </w:tabs>
        <w:ind w:start="2858" w:hanging="360"/>
      </w:pPr>
      <w:rPr>
        <w:rFonts w:ascii="Courier New" w:hAnsi="Courier New" w:cs="Courier New" w:hint="default"/>
      </w:rPr>
    </w:lvl>
    <w:lvl w:ilvl="2">
      <w:start w:val="1"/>
      <w:numFmt w:val="bullet"/>
      <w:lvlText w:val=""/>
      <w:lvlJc w:val="start"/>
      <w:pPr>
        <w:tabs>
          <w:tab w:val="num" w:pos="0"/>
        </w:tabs>
        <w:ind w:start="3578" w:hanging="360"/>
      </w:pPr>
      <w:rPr>
        <w:rFonts w:ascii="Wingdings" w:hAnsi="Wingdings" w:cs="Wingdings" w:hint="default"/>
      </w:rPr>
    </w:lvl>
    <w:lvl w:ilvl="3">
      <w:start w:val="1"/>
      <w:numFmt w:val="bullet"/>
      <w:lvlText w:val=""/>
      <w:lvlJc w:val="start"/>
      <w:pPr>
        <w:tabs>
          <w:tab w:val="num" w:pos="0"/>
        </w:tabs>
        <w:ind w:start="4298" w:hanging="360"/>
      </w:pPr>
      <w:rPr>
        <w:rFonts w:ascii="Symbol" w:hAnsi="Symbol" w:cs="Symbol" w:hint="default"/>
      </w:rPr>
    </w:lvl>
    <w:lvl w:ilvl="4">
      <w:start w:val="1"/>
      <w:numFmt w:val="bullet"/>
      <w:lvlText w:val="o"/>
      <w:lvlJc w:val="start"/>
      <w:pPr>
        <w:tabs>
          <w:tab w:val="num" w:pos="0"/>
        </w:tabs>
        <w:ind w:start="5018" w:hanging="360"/>
      </w:pPr>
      <w:rPr>
        <w:rFonts w:ascii="Courier New" w:hAnsi="Courier New" w:cs="Courier New" w:hint="default"/>
      </w:rPr>
    </w:lvl>
    <w:lvl w:ilvl="5">
      <w:start w:val="1"/>
      <w:numFmt w:val="bullet"/>
      <w:lvlText w:val=""/>
      <w:lvlJc w:val="start"/>
      <w:pPr>
        <w:tabs>
          <w:tab w:val="num" w:pos="0"/>
        </w:tabs>
        <w:ind w:start="5738" w:hanging="360"/>
      </w:pPr>
      <w:rPr>
        <w:rFonts w:ascii="Wingdings" w:hAnsi="Wingdings" w:cs="Wingdings" w:hint="default"/>
      </w:rPr>
    </w:lvl>
    <w:lvl w:ilvl="6">
      <w:start w:val="1"/>
      <w:numFmt w:val="bullet"/>
      <w:lvlText w:val=""/>
      <w:lvlJc w:val="start"/>
      <w:pPr>
        <w:tabs>
          <w:tab w:val="num" w:pos="0"/>
        </w:tabs>
        <w:ind w:start="6458" w:hanging="360"/>
      </w:pPr>
      <w:rPr>
        <w:rFonts w:ascii="Symbol" w:hAnsi="Symbol" w:cs="Symbol" w:hint="default"/>
      </w:rPr>
    </w:lvl>
    <w:lvl w:ilvl="7">
      <w:start w:val="1"/>
      <w:numFmt w:val="bullet"/>
      <w:lvlText w:val="o"/>
      <w:lvlJc w:val="start"/>
      <w:pPr>
        <w:tabs>
          <w:tab w:val="num" w:pos="0"/>
        </w:tabs>
        <w:ind w:start="7178" w:hanging="360"/>
      </w:pPr>
      <w:rPr>
        <w:rFonts w:ascii="Courier New" w:hAnsi="Courier New" w:cs="Courier New" w:hint="default"/>
      </w:rPr>
    </w:lvl>
    <w:lvl w:ilvl="8">
      <w:start w:val="1"/>
      <w:numFmt w:val="bullet"/>
      <w:lvlText w:val=""/>
      <w:lvlJc w:val="start"/>
      <w:pPr>
        <w:tabs>
          <w:tab w:val="num" w:pos="0"/>
        </w:tabs>
        <w:ind w:start="7898" w:hanging="360"/>
      </w:pPr>
      <w:rPr>
        <w:rFonts w:ascii="Wingdings" w:hAnsi="Wingdings" w:cs="Wingdings" w:hint="default"/>
      </w:rPr>
    </w:lvl>
  </w:abstractNum>
  <w:abstractNum w:abstractNumId="16">
    <w:lvl w:ilvl="0">
      <w:start w:val="1"/>
      <w:numFmt w:val="decimal"/>
      <w:lvlText w:val="%1."/>
      <w:lvlJc w:val="start"/>
      <w:pPr>
        <w:tabs>
          <w:tab w:val="num" w:pos="397"/>
        </w:tabs>
        <w:ind w:start="397" w:hanging="284"/>
      </w:pPr>
      <w:rPr/>
    </w:lvl>
    <w:lvl w:ilvl="1">
      <w:start w:val="1"/>
      <w:numFmt w:val="decimal"/>
      <w:lvlText w:val="%1.%2."/>
      <w:lvlJc w:val="start"/>
      <w:pPr>
        <w:tabs>
          <w:tab w:val="num" w:pos="794"/>
        </w:tabs>
        <w:ind w:start="794" w:hanging="397"/>
      </w:pPr>
      <w:rPr/>
    </w:lvl>
    <w:lvl w:ilvl="2">
      <w:start w:val="1"/>
      <w:numFmt w:val="decimal"/>
      <w:lvlText w:val="%1.%2.%3."/>
      <w:lvlJc w:val="start"/>
      <w:pPr>
        <w:tabs>
          <w:tab w:val="num" w:pos="1531"/>
        </w:tabs>
        <w:ind w:start="1531" w:hanging="737"/>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17">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decimal"/>
      <w:suff w:val="space"/>
      <w:lvlText w:val="%1."/>
      <w:lvlJc w:val="start"/>
      <w:pPr>
        <w:tabs>
          <w:tab w:val="num" w:pos="0"/>
        </w:tabs>
        <w:ind w:start="0" w:hanging="0"/>
      </w:pPr>
      <w:rPr>
        <w:sz w:val="24"/>
      </w:rPr>
    </w:lvl>
    <w:lvl w:ilvl="1">
      <w:start w:val="1"/>
      <w:numFmt w:val="decimal"/>
      <w:suff w:val="space"/>
      <w:lvlText w:val="%1.%2."/>
      <w:lvlJc w:val="start"/>
      <w:pPr>
        <w:tabs>
          <w:tab w:val="num" w:pos="0"/>
        </w:tabs>
        <w:ind w:start="0" w:hanging="0"/>
      </w:pPr>
      <w:rPr>
        <w:rFonts w:ascii="Times New Roman" w:hAnsi="Times New Roman"/>
        <w:b/>
        <w:bCs/>
        <w:i w:val="false"/>
        <w:iCs w:val="false"/>
        <w:caps w:val="false"/>
        <w:smallCaps w:val="false"/>
        <w:strike w:val="false"/>
        <w:dstrike w:val="false"/>
        <w:vanish w:val="false"/>
        <w:color w:val="000000"/>
        <w:position w:val="0"/>
        <w:sz w:val="24"/>
        <w:szCs w:val="28"/>
        <w:vertAlign w:val="baseline"/>
      </w:rPr>
    </w:lvl>
    <w:lvl w:ilvl="2">
      <w:start w:val="1"/>
      <w:numFmt w:val="decimal"/>
      <w:suff w:val="space"/>
      <w:lvlText w:val="%1.%2.%3."/>
      <w:lvlJc w:val="start"/>
      <w:pPr>
        <w:tabs>
          <w:tab w:val="num" w:pos="0"/>
        </w:tabs>
        <w:ind w:start="1560" w:hanging="0"/>
      </w:pPr>
      <w:rPr>
        <w:rFonts w:ascii="Times New Roman" w:hAnsi="Times New Roman"/>
        <w:b w:val="false"/>
        <w:i w:val="false"/>
        <w:caps w:val="false"/>
        <w:smallCaps w:val="false"/>
        <w:strike w:val="false"/>
        <w:dstrike w:val="false"/>
        <w:vanish w:val="false"/>
        <w:color w:val="000000"/>
        <w:position w:val="0"/>
        <w:sz w:val="24"/>
        <w:vertAlign w:val="baseline"/>
      </w:rPr>
    </w:lvl>
    <w:lvl w:ilvl="3">
      <w:start w:val="1"/>
      <w:numFmt w:val="decimal"/>
      <w:suff w:val="space"/>
      <w:lvlText w:val="%1.%2.%3.%4."/>
      <w:lvlJc w:val="start"/>
      <w:pPr>
        <w:tabs>
          <w:tab w:val="num" w:pos="0"/>
        </w:tabs>
        <w:ind w:start="1277" w:hanging="0"/>
      </w:pPr>
      <w:rPr>
        <w:rFonts w:ascii="Times New Roman" w:hAnsi="Times New Roman" w:cs="Times New Roman"/>
        <w:b w:val="false"/>
        <w:i w:val="false"/>
        <w:iCs w:val="false"/>
        <w:caps w:val="false"/>
        <w:smallCaps w:val="false"/>
        <w:strike w:val="false"/>
        <w:dstrike w:val="false"/>
        <w:vanish w:val="false"/>
        <w:color w:val="auto"/>
        <w:spacing w:val="0"/>
        <w:position w:val="0"/>
        <w:sz w:val="24"/>
        <w:u w:val="none"/>
        <w:vertAlign w:val="baseline"/>
      </w:rPr>
    </w:lvl>
    <w:lvl w:ilvl="4">
      <w:start w:val="1"/>
      <w:numFmt w:val="decimal"/>
      <w:suff w:val="space"/>
      <w:lvlText w:val="%1.%2.%3.%4.%5"/>
      <w:lvlJc w:val="start"/>
      <w:pPr>
        <w:tabs>
          <w:tab w:val="num" w:pos="0"/>
        </w:tabs>
        <w:ind w:start="0" w:hanging="0"/>
      </w:pPr>
      <w:rPr>
        <w:rFonts w:ascii="Times New Roman" w:hAnsi="Times New Roman"/>
        <w:b/>
        <w:i w:val="false"/>
        <w:caps w:val="false"/>
        <w:smallCaps w:val="false"/>
        <w:strike w:val="false"/>
        <w:dstrike w:val="false"/>
        <w:vanish w:val="false"/>
        <w:color w:val="000000"/>
        <w:position w:val="0"/>
        <w:sz w:val="24"/>
        <w:vertAlign w:val="baseline"/>
      </w:rPr>
    </w:lvl>
    <w:lvl w:ilvl="5">
      <w:start w:val="1"/>
      <w:numFmt w:val="none"/>
      <w:suff w:val="nothing"/>
      <w:lvlText w:val=""/>
      <w:lvlJc w:val="start"/>
      <w:pPr>
        <w:tabs>
          <w:tab w:val="num" w:pos="0"/>
        </w:tabs>
        <w:ind w:start="357" w:firstLine="3"/>
      </w:pPr>
      <w:rPr/>
    </w:lvl>
    <w:lvl w:ilvl="6">
      <w:start w:val="1"/>
      <w:numFmt w:val="decimal"/>
      <w:suff w:val="space"/>
      <w:lvlText w:val="%1.%2.%3.%4.%5.%7."/>
      <w:lvlJc w:val="start"/>
      <w:pPr>
        <w:tabs>
          <w:tab w:val="num" w:pos="0"/>
        </w:tabs>
        <w:ind w:start="0" w:hanging="0"/>
      </w:pPr>
      <w:rPr/>
    </w:lvl>
    <w:lvl w:ilvl="7">
      <w:start w:val="1"/>
      <w:numFmt w:val="decimal"/>
      <w:suff w:val="space"/>
      <w:lvlText w:val="Рисунок %8 - "/>
      <w:lvlJc w:val="start"/>
      <w:pPr>
        <w:tabs>
          <w:tab w:val="num" w:pos="0"/>
        </w:tabs>
        <w:ind w:start="0" w:hanging="0"/>
      </w:pPr>
      <w:rPr/>
    </w:lvl>
    <w:lvl w:ilvl="8">
      <w:start w:val="1"/>
      <w:numFmt w:val="decimal"/>
      <w:suff w:val="space"/>
      <w:lvlText w:val="Таблица %9 –"/>
      <w:lvlJc w:val="start"/>
      <w:pPr>
        <w:tabs>
          <w:tab w:val="num" w:pos="0"/>
        </w:tabs>
        <w:ind w:start="0" w:hanging="0"/>
      </w:pPr>
      <w:rPr/>
    </w:lvl>
  </w:abstractNum>
  <w:abstractNum w:abstractNumId="19">
    <w:lvl w:ilvl="0">
      <w:start w:val="1"/>
      <w:numFmt w:val="bullet"/>
      <w:lvlText w:val="-"/>
      <w:lvlJc w:val="start"/>
      <w:pPr>
        <w:tabs>
          <w:tab w:val="num" w:pos="0"/>
        </w:tabs>
        <w:ind w:start="363" w:hanging="363"/>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473" w:hanging="113"/>
      </w:pPr>
      <w:rPr>
        <w:rFonts w:ascii="Times New Roman" w:hAnsi="Times New Roman" w:cs="Times New Roman" w:hint="default"/>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21">
    <w:lvl w:ilvl="0">
      <w:start w:val="1"/>
      <w:numFmt w:val="bullet"/>
      <w:lvlText w:val="-"/>
      <w:lvlJc w:val="start"/>
      <w:pPr>
        <w:tabs>
          <w:tab w:val="num" w:pos="0"/>
        </w:tabs>
        <w:ind w:start="1440" w:hanging="360"/>
      </w:pPr>
      <w:rPr>
        <w:rFonts w:ascii="Times New Roman" w:hAnsi="Times New Roman" w:cs="Times New Roman"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1353"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2">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23">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
      <w:lvlJc w:val="start"/>
      <w:pPr>
        <w:tabs>
          <w:tab w:val="num" w:pos="0"/>
        </w:tabs>
        <w:ind w:start="2149" w:hanging="360"/>
      </w:pPr>
      <w:rPr>
        <w:rFonts w:ascii="Times New Roman" w:hAnsi="Times New Roman" w:cs="Times New Roman"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4">
    <w:lvl w:ilvl="0">
      <w:start w:val="6"/>
      <w:numFmt w:val="decimal"/>
      <w:suff w:val="space"/>
      <w:lvlText w:val="Приложение %1"/>
      <w:lvlJc w:val="start"/>
      <w:pPr>
        <w:tabs>
          <w:tab w:val="num" w:pos="0"/>
        </w:tabs>
        <w:ind w:start="0" w:hanging="0"/>
      </w:pPr>
      <w:rPr>
        <w:rFonts w:ascii="Times New Roman Полужирный" w:hAnsi="Times New Roman Полужирный"/>
        <w:b/>
        <w:bCs w:val="false"/>
        <w:i w:val="false"/>
        <w:iCs w:val="false"/>
        <w:caps/>
        <w:strike w:val="false"/>
        <w:dstrike w:val="false"/>
        <w:vanish w:val="false"/>
        <w:color w:val="000000"/>
        <w:spacing w:val="0"/>
        <w:position w:val="0"/>
        <w:sz w:val="28"/>
        <w:szCs w:val="28"/>
        <w:u w:val="none"/>
        <w:vertAlign w:val="baseline"/>
      </w:rPr>
    </w:lvl>
    <w:lvl w:ilvl="1">
      <w:start w:val="1"/>
      <w:numFmt w:val="decimal"/>
      <w:suff w:val="space"/>
      <w:lvlText w:val="%1.%2."/>
      <w:lvlJc w:val="start"/>
      <w:pPr>
        <w:tabs>
          <w:tab w:val="num" w:pos="0"/>
        </w:tabs>
        <w:ind w:start="720" w:hanging="0"/>
      </w:pPr>
      <w:rPr>
        <w:b w:val="false"/>
        <w:i w:val="false"/>
        <w:sz w:val="32"/>
        <w:szCs w:val="28"/>
      </w:rPr>
    </w:lvl>
    <w:lvl w:ilvl="2">
      <w:start w:val="1"/>
      <w:numFmt w:val="decimal"/>
      <w:suff w:val="space"/>
      <w:lvlText w:val="%1.%2.%3."/>
      <w:lvlJc w:val="start"/>
      <w:pPr>
        <w:tabs>
          <w:tab w:val="num" w:pos="0"/>
        </w:tabs>
        <w:ind w:start="720" w:hanging="0"/>
      </w:pPr>
      <w:rPr>
        <w:b/>
        <w:i w:val="false"/>
        <w:sz w:val="28"/>
        <w:szCs w:val="24"/>
      </w:rPr>
    </w:lvl>
    <w:lvl w:ilvl="3">
      <w:start w:val="1"/>
      <w:numFmt w:val="decimal"/>
      <w:suff w:val="space"/>
      <w:lvlText w:val="%1.%2.%4."/>
      <w:lvlJc w:val="start"/>
      <w:pPr>
        <w:tabs>
          <w:tab w:val="num" w:pos="0"/>
        </w:tabs>
        <w:ind w:start="0" w:firstLine="720"/>
      </w:pPr>
      <w:rPr>
        <w:rFonts w:ascii="Times New Roman" w:hAnsi="Times New Roman"/>
        <w:b w:val="false"/>
        <w:i w:val="false"/>
        <w:sz w:val="28"/>
        <w:szCs w:val="24"/>
      </w:rPr>
    </w:lvl>
    <w:lvl w:ilvl="4">
      <w:start w:val="1"/>
      <w:numFmt w:val="decimal"/>
      <w:suff w:val="space"/>
      <w:lvlText w:val="%1.%2.%3.%5."/>
      <w:lvlJc w:val="start"/>
      <w:pPr>
        <w:tabs>
          <w:tab w:val="num" w:pos="0"/>
        </w:tabs>
        <w:ind w:start="0" w:firstLine="709"/>
      </w:pPr>
      <w:rPr>
        <w:rFonts w:ascii="Times New Roman" w:hAnsi="Times New Roman"/>
        <w:b w:val="false"/>
        <w:i w:val="false"/>
        <w:sz w:val="28"/>
        <w:szCs w:val="24"/>
      </w:rPr>
    </w:lvl>
    <w:lvl w:ilvl="5">
      <w:start w:val="1"/>
      <w:numFmt w:val="decimal"/>
      <w:suff w:val="space"/>
      <w:lvlText w:val="%6)"/>
      <w:lvlJc w:val="start"/>
      <w:pPr>
        <w:tabs>
          <w:tab w:val="num" w:pos="0"/>
        </w:tabs>
        <w:ind w:start="0" w:firstLine="720"/>
      </w:pPr>
      <w:rPr>
        <w:rFonts w:ascii="Times New Roman" w:hAnsi="Times New Roman"/>
        <w:b w:val="false"/>
        <w:i w:val="false"/>
        <w:sz w:val="28"/>
      </w:rPr>
    </w:lvl>
    <w:lvl w:ilvl="6">
      <w:start w:val="1"/>
      <w:numFmt w:val="russianLower"/>
      <w:lvlText w:val="%7)"/>
      <w:lvlJc w:val="start"/>
      <w:pPr>
        <w:tabs>
          <w:tab w:val="num" w:pos="1304"/>
        </w:tabs>
        <w:ind w:start="1304" w:hanging="300"/>
      </w:pPr>
      <w:rPr>
        <w:rFonts w:ascii="Times New Roman" w:hAnsi="Times New Roman"/>
        <w:b w:val="false"/>
        <w:i w:val="false"/>
        <w:sz w:val="28"/>
      </w:rPr>
    </w:lvl>
    <w:lvl w:ilvl="7">
      <w:start w:val="1"/>
      <w:numFmt w:val="bullet"/>
      <w:lvlText w:val="-"/>
      <w:lvlJc w:val="start"/>
      <w:pPr>
        <w:tabs>
          <w:tab w:val="num" w:pos="1701"/>
        </w:tabs>
        <w:ind w:start="1701" w:hanging="397"/>
      </w:pPr>
      <w:rPr>
        <w:rFonts w:ascii="Times New Roman" w:hAnsi="Times New Roman" w:cs="Times New Roman" w:hint="default"/>
        <w:b w:val="false"/>
        <w:i w:val="false"/>
        <w:sz w:val="28"/>
      </w:rPr>
    </w:lvl>
    <w:lvl w:ilvl="8">
      <w:start w:val="1"/>
      <w:numFmt w:val="decimal"/>
      <w:lvlText w:val="%1.%2.%3.%4.%5.%6.%7.%8.%9"/>
      <w:lvlJc w:val="start"/>
      <w:pPr>
        <w:tabs>
          <w:tab w:val="num" w:pos="3155"/>
        </w:tabs>
        <w:ind w:start="3155" w:hanging="1584"/>
      </w:pPr>
      <w:rPr/>
    </w:lvl>
  </w:abstractNum>
  <w:abstractNum w:abstractNumId="25">
    <w:lvl w:ilvl="0">
      <w:start w:val="1"/>
      <w:numFmt w:val="bullet"/>
      <w:lvlText w:val=""/>
      <w:lvlJc w:val="start"/>
      <w:pPr>
        <w:tabs>
          <w:tab w:val="num" w:pos="0"/>
        </w:tabs>
        <w:ind w:start="1440" w:hanging="360"/>
      </w:pPr>
      <w:rPr>
        <w:rFonts w:ascii="Symbol" w:hAnsi="Symbol" w:cs="Symbol" w:hint="default"/>
        <w:color w:val="auto"/>
      </w:rPr>
    </w:lvl>
    <w:lvl w:ilvl="1">
      <w:start w:val="1"/>
      <w:numFmt w:val="bullet"/>
      <w:lvlText w:val=""/>
      <w:lvlJc w:val="start"/>
      <w:pPr>
        <w:tabs>
          <w:tab w:val="num" w:pos="0"/>
        </w:tabs>
        <w:ind w:start="2160" w:hanging="360"/>
      </w:pPr>
      <w:rPr>
        <w:rFonts w:ascii="Symbol" w:hAnsi="Symbol" w:cs="Symbol"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6">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7">
    <w:lvl w:ilvl="0">
      <w:start w:val="1"/>
      <w:numFmt w:val="decimal"/>
      <w:lvlText w:val="5.1.3.%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decimal"/>
      <w:suff w:val="space"/>
      <w:lvlText w:val="%1."/>
      <w:lvlJc w:val="start"/>
      <w:pPr>
        <w:tabs>
          <w:tab w:val="num" w:pos="0"/>
        </w:tabs>
        <w:ind w:start="360" w:hanging="360"/>
      </w:pPr>
      <w:rPr/>
    </w:lvl>
    <w:lvl w:ilvl="1">
      <w:start w:val="1"/>
      <w:numFmt w:val="decimal"/>
      <w:suff w:val="space"/>
      <w:lvlText w:val="%1.%2."/>
      <w:lvlJc w:val="start"/>
      <w:pPr>
        <w:tabs>
          <w:tab w:val="num" w:pos="0"/>
        </w:tabs>
        <w:ind w:start="720" w:hanging="720"/>
      </w:pPr>
      <w:rPr>
        <w:b/>
        <w:i w:val="false"/>
      </w:rPr>
    </w:lvl>
    <w:lvl w:ilvl="2">
      <w:start w:val="1"/>
      <w:numFmt w:val="decimal"/>
      <w:suff w:val="space"/>
      <w:lvlText w:val="%1.%2.%3."/>
      <w:lvlJc w:val="start"/>
      <w:pPr>
        <w:tabs>
          <w:tab w:val="num" w:pos="0"/>
        </w:tabs>
        <w:ind w:start="720" w:hanging="720"/>
      </w:pPr>
      <w:rPr>
        <w:lang w:val="ru-RU"/>
      </w:rPr>
    </w:lvl>
    <w:lvl w:ilvl="3">
      <w:start w:val="1"/>
      <w:numFmt w:val="decimal"/>
      <w:suff w:val="space"/>
      <w:lvlText w:val="%1.%2.%3.%4."/>
      <w:lvlJc w:val="start"/>
      <w:pPr>
        <w:tabs>
          <w:tab w:val="num" w:pos="0"/>
        </w:tabs>
        <w:ind w:start="1080" w:hanging="1080"/>
      </w:pPr>
      <w:rPr>
        <w:rFonts w:ascii="Times New Roman" w:hAnsi="Times New Roman" w:cs="Times New Roman"/>
        <w:b/>
        <w:bCs w:val="false"/>
        <w:i w:val="false"/>
        <w:iCs w:val="false"/>
        <w:caps w:val="false"/>
        <w:smallCaps w:val="false"/>
        <w:strike w:val="false"/>
        <w:dstrike w:val="false"/>
        <w:vanish w:val="false"/>
        <w:color w:val="auto"/>
        <w:spacing w:val="0"/>
        <w:position w:val="0"/>
        <w:sz w:val="20"/>
        <w:u w:val="none"/>
        <w:vertAlign w:val="baseline"/>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440"/>
        </w:tabs>
        <w:ind w:start="1440" w:hanging="1440"/>
      </w:pPr>
      <w:rPr/>
    </w:lvl>
    <w:lvl w:ilvl="6">
      <w:start w:val="1"/>
      <w:numFmt w:val="decimal"/>
      <w:lvlText w:val="%1.%2.%3.%4.%5.%6.%7"/>
      <w:lvlJc w:val="start"/>
      <w:pPr>
        <w:tabs>
          <w:tab w:val="num" w:pos="1800"/>
        </w:tabs>
        <w:ind w:start="1800" w:hanging="1800"/>
      </w:pPr>
      <w:rPr/>
    </w:lvl>
    <w:lvl w:ilvl="7">
      <w:start w:val="1"/>
      <w:numFmt w:val="decimal"/>
      <w:suff w:val="space"/>
      <w:lvlText w:val="Рисунок %8 –"/>
      <w:lvlJc w:val="start"/>
      <w:pPr>
        <w:tabs>
          <w:tab w:val="num" w:pos="0"/>
        </w:tabs>
        <w:ind w:start="1560" w:hanging="0"/>
      </w:pPr>
      <w:rPr/>
    </w:lvl>
    <w:lvl w:ilvl="8">
      <w:start w:val="1"/>
      <w:numFmt w:val="decimal"/>
      <w:suff w:val="space"/>
      <w:lvlText w:val="Таблица - %9"/>
      <w:lvlJc w:val="start"/>
      <w:pPr>
        <w:tabs>
          <w:tab w:val="num" w:pos="0"/>
        </w:tabs>
        <w:ind w:start="2160" w:hanging="2160"/>
      </w:pPr>
      <w:rPr/>
    </w:lvl>
  </w:abstractNum>
  <w:abstractNum w:abstractNumId="29">
    <w:lvl w:ilvl="0">
      <w:start w:val="1"/>
      <w:numFmt w:val="decimal"/>
      <w:suff w:val="space"/>
      <w:lvlText w:val="%1."/>
      <w:lvlJc w:val="start"/>
      <w:pPr>
        <w:tabs>
          <w:tab w:val="num" w:pos="0"/>
        </w:tabs>
        <w:ind w:start="0" w:firstLine="567"/>
      </w:pPr>
      <w:rPr/>
    </w:lvl>
    <w:lvl w:ilvl="1">
      <w:start w:val="1"/>
      <w:numFmt w:val="decimal"/>
      <w:suff w:val="space"/>
      <w:lvlText w:val="%1.%2."/>
      <w:lvlJc w:val="start"/>
      <w:pPr>
        <w:tabs>
          <w:tab w:val="num" w:pos="0"/>
        </w:tabs>
        <w:ind w:start="0" w:firstLine="1134"/>
      </w:pPr>
      <w:rPr/>
    </w:lvl>
    <w:lvl w:ilvl="2">
      <w:start w:val="1"/>
      <w:numFmt w:val="decimal"/>
      <w:suff w:val="space"/>
      <w:lvlText w:val="%1.%2.%3."/>
      <w:lvlJc w:val="start"/>
      <w:pPr>
        <w:tabs>
          <w:tab w:val="num" w:pos="0"/>
        </w:tabs>
        <w:ind w:start="0" w:firstLine="1701"/>
      </w:pPr>
      <w:rPr/>
    </w:lvl>
    <w:lvl w:ilvl="3">
      <w:start w:val="1"/>
      <w:numFmt w:val="decimal"/>
      <w:suff w:val="space"/>
      <w:lvlText w:val="%1.%2.%3.%4"/>
      <w:lvlJc w:val="start"/>
      <w:pPr>
        <w:tabs>
          <w:tab w:val="num" w:pos="0"/>
        </w:tabs>
        <w:ind w:start="1701" w:hanging="0"/>
      </w:pPr>
      <w:rPr/>
    </w:lvl>
    <w:lvl w:ilvl="4">
      <w:start w:val="1"/>
      <w:numFmt w:val="decimal"/>
      <w:lvlText w:val="%1.%2.%3.%4.%5."/>
      <w:lvlJc w:val="start"/>
      <w:pPr>
        <w:tabs>
          <w:tab w:val="num" w:pos="1980"/>
        </w:tabs>
        <w:ind w:start="1980" w:hanging="1080"/>
      </w:pPr>
      <w:rPr/>
    </w:lvl>
    <w:lvl w:ilvl="5">
      <w:start w:val="1"/>
      <w:numFmt w:val="decimal"/>
      <w:lvlText w:val="%1.%2.%3.%4.%5.%6."/>
      <w:lvlJc w:val="start"/>
      <w:pPr>
        <w:tabs>
          <w:tab w:val="num" w:pos="4132"/>
        </w:tabs>
        <w:ind w:start="4132" w:hanging="1440"/>
      </w:pPr>
      <w:rPr/>
    </w:lvl>
    <w:lvl w:ilvl="6">
      <w:start w:val="1"/>
      <w:numFmt w:val="decimal"/>
      <w:lvlText w:val="%1.%2.%3.%4.%5.%6.%7."/>
      <w:lvlJc w:val="start"/>
      <w:pPr>
        <w:tabs>
          <w:tab w:val="num" w:pos="4849"/>
        </w:tabs>
        <w:ind w:start="4849" w:hanging="1800"/>
      </w:pPr>
      <w:rPr/>
    </w:lvl>
    <w:lvl w:ilvl="7">
      <w:start w:val="1"/>
      <w:numFmt w:val="decimal"/>
      <w:lvlText w:val="%1.%2.%3.%4.%5.%6.%7.%8."/>
      <w:lvlJc w:val="start"/>
      <w:pPr>
        <w:tabs>
          <w:tab w:val="num" w:pos="5206"/>
        </w:tabs>
        <w:ind w:start="5206" w:hanging="1800"/>
      </w:pPr>
      <w:rPr/>
    </w:lvl>
    <w:lvl w:ilvl="8">
      <w:start w:val="1"/>
      <w:numFmt w:val="decimal"/>
      <w:lvlText w:val="%1.%2.%3.%4.%5.%6.%7.%8.%9."/>
      <w:lvlJc w:val="start"/>
      <w:pPr>
        <w:tabs>
          <w:tab w:val="num" w:pos="5923"/>
        </w:tabs>
        <w:ind w:start="5923" w:hanging="2160"/>
      </w:pPr>
      <w:rPr/>
    </w:lvl>
  </w:abstractNum>
  <w:abstractNum w:abstractNumId="30">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284" w:hanging="0"/>
      </w:pPr>
      <w:rPr/>
    </w:lvl>
    <w:lvl w:ilvl="2">
      <w:start w:val="1"/>
      <w:numFmt w:val="decimal"/>
      <w:lvlText w:val="%3."/>
      <w:lvlJc w:val="start"/>
      <w:pPr>
        <w:tabs>
          <w:tab w:val="num" w:pos="0"/>
        </w:tabs>
        <w:ind w:start="567" w:hanging="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decimal"/>
      <w:suff w:val="space"/>
      <w:lvlText w:val="%1."/>
      <w:lvlJc w:val="start"/>
      <w:pPr>
        <w:tabs>
          <w:tab w:val="num" w:pos="0"/>
        </w:tabs>
        <w:ind w:start="0" w:firstLine="567"/>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1">
      <w:start w:val="1"/>
      <w:numFmt w:val="decimal"/>
      <w:suff w:val="space"/>
      <w:lvlText w:val="%1.%2."/>
      <w:lvlJc w:val="start"/>
      <w:pPr>
        <w:tabs>
          <w:tab w:val="num" w:pos="0"/>
        </w:tabs>
        <w:ind w:start="0" w:firstLine="567"/>
      </w:pPr>
      <w:rPr>
        <w:rFonts w:cs="Times New Roman"/>
        <w:b/>
      </w:rPr>
    </w:lvl>
    <w:lvl w:ilvl="2">
      <w:start w:val="1"/>
      <w:numFmt w:val="decimal"/>
      <w:suff w:val="space"/>
      <w:lvlText w:val="%1.%2.%3."/>
      <w:lvlJc w:val="start"/>
      <w:pPr>
        <w:tabs>
          <w:tab w:val="num" w:pos="0"/>
        </w:tabs>
        <w:ind w:start="568" w:firstLine="567"/>
      </w:pPr>
      <w:rPr>
        <w:rFonts w:cs="Times New Roman"/>
        <w:b/>
      </w:rPr>
    </w:lvl>
    <w:lvl w:ilvl="3">
      <w:start w:val="1"/>
      <w:numFmt w:val="decimal"/>
      <w:lvlText w:val="%1.%2.%3.%4."/>
      <w:lvlJc w:val="start"/>
      <w:pPr>
        <w:tabs>
          <w:tab w:val="num" w:pos="1440"/>
        </w:tabs>
        <w:ind w:start="0" w:firstLine="567"/>
      </w:pPr>
      <w:rPr>
        <w:b/>
      </w:rPr>
    </w:lvl>
    <w:lvl w:ilvl="4">
      <w:start w:val="1"/>
      <w:numFmt w:val="lowerLetter"/>
      <w:lvlText w:val="(%5)"/>
      <w:lvlJc w:val="start"/>
      <w:pPr>
        <w:tabs>
          <w:tab w:val="num" w:pos="1800"/>
        </w:tabs>
        <w:ind w:start="0" w:firstLine="567"/>
      </w:pPr>
      <w:rPr>
        <w:rFonts w:cs="Times New Roman"/>
      </w:rPr>
    </w:lvl>
    <w:lvl w:ilvl="5">
      <w:start w:val="1"/>
      <w:numFmt w:val="lowerRoman"/>
      <w:lvlText w:val="(%6)"/>
      <w:lvlJc w:val="start"/>
      <w:pPr>
        <w:tabs>
          <w:tab w:val="num" w:pos="2160"/>
        </w:tabs>
        <w:ind w:start="0" w:firstLine="567"/>
      </w:pPr>
      <w:rPr>
        <w:rFonts w:cs="Times New Roman"/>
      </w:rPr>
    </w:lvl>
    <w:lvl w:ilvl="6">
      <w:start w:val="1"/>
      <w:numFmt w:val="decimal"/>
      <w:lvlText w:val="%7."/>
      <w:lvlJc w:val="start"/>
      <w:pPr>
        <w:tabs>
          <w:tab w:val="num" w:pos="2520"/>
        </w:tabs>
        <w:ind w:start="0" w:firstLine="567"/>
      </w:pPr>
      <w:rPr>
        <w:rFonts w:cs="Times New Roman"/>
      </w:rPr>
    </w:lvl>
    <w:lvl w:ilvl="7">
      <w:start w:val="1"/>
      <w:numFmt w:val="lowerLetter"/>
      <w:lvlText w:val="%8."/>
      <w:lvlJc w:val="start"/>
      <w:pPr>
        <w:tabs>
          <w:tab w:val="num" w:pos="2880"/>
        </w:tabs>
        <w:ind w:start="0" w:firstLine="567"/>
      </w:pPr>
      <w:rPr>
        <w:rFonts w:cs="Times New Roman"/>
      </w:rPr>
    </w:lvl>
    <w:lvl w:ilvl="8">
      <w:start w:val="1"/>
      <w:numFmt w:val="lowerRoman"/>
      <w:lvlText w:val="%9."/>
      <w:lvlJc w:val="start"/>
      <w:pPr>
        <w:tabs>
          <w:tab w:val="num" w:pos="3240"/>
        </w:tabs>
        <w:ind w:start="0" w:firstLine="567"/>
      </w:pPr>
      <w:rPr>
        <w:rFonts w:cs="Times New Roman"/>
      </w:rPr>
    </w:lvl>
  </w:abstractNum>
  <w:abstractNum w:abstractNumId="32">
    <w:lvl w:ilvl="0">
      <w:start w:val="1"/>
      <w:numFmt w:val="decimal"/>
      <w:suff w:val="space"/>
      <w:lvlText w:val="%1."/>
      <w:lvlJc w:val="start"/>
      <w:pPr>
        <w:tabs>
          <w:tab w:val="num" w:pos="0"/>
        </w:tabs>
        <w:ind w:start="851" w:hanging="284"/>
      </w:pPr>
      <w:rPr/>
    </w:lvl>
    <w:lvl w:ilvl="1">
      <w:start w:val="1"/>
      <w:numFmt w:val="decimal"/>
      <w:suff w:val="space"/>
      <w:lvlText w:val="%1.%2."/>
      <w:lvlJc w:val="start"/>
      <w:pPr>
        <w:tabs>
          <w:tab w:val="num" w:pos="0"/>
        </w:tabs>
        <w:ind w:start="851" w:hanging="284"/>
      </w:pPr>
      <w:rPr>
        <w:b/>
        <w:i w:val="false"/>
      </w:rPr>
    </w:lvl>
    <w:lvl w:ilvl="2">
      <w:start w:val="1"/>
      <w:numFmt w:val="decimal"/>
      <w:suff w:val="space"/>
      <w:lvlText w:val="%1.%2.%3."/>
      <w:lvlJc w:val="start"/>
      <w:pPr>
        <w:tabs>
          <w:tab w:val="num" w:pos="0"/>
        </w:tabs>
        <w:ind w:start="-567" w:firstLine="567"/>
      </w:pPr>
      <w:rPr>
        <w:rFonts w:ascii="Times New Roman" w:hAnsi="Times New Roman" w:cs="Times New Roman"/>
        <w:b w:val="false"/>
        <w:bCs w:val="false"/>
        <w:i w:val="false"/>
        <w:iCs w:val="false"/>
        <w:caps w:val="false"/>
        <w:smallCaps w:val="false"/>
        <w:strike w:val="false"/>
        <w:dstrike w:val="false"/>
        <w:vanish w:val="false"/>
        <w:spacing w:val="0"/>
        <w:position w:val="0"/>
        <w:sz w:val="20"/>
        <w:u w:val="none"/>
        <w:vertAlign w:val="baseline"/>
        <w14:ligatures w14:val="none"/>
      </w:rPr>
    </w:lvl>
    <w:lvl w:ilvl="3">
      <w:start w:val="1"/>
      <w:numFmt w:val="decimal"/>
      <w:suff w:val="space"/>
      <w:lvlText w:val="%1.%2.%3.%4."/>
      <w:lvlJc w:val="start"/>
      <w:pPr>
        <w:tabs>
          <w:tab w:val="num" w:pos="0"/>
        </w:tabs>
        <w:ind w:start="1928" w:hanging="794"/>
      </w:pPr>
      <w:rPr/>
    </w:lvl>
    <w:lvl w:ilvl="4">
      <w:start w:val="1"/>
      <w:numFmt w:val="decimal"/>
      <w:lvlText w:val="%1.%2.%3.%4.%5."/>
      <w:lvlJc w:val="start"/>
      <w:pPr>
        <w:tabs>
          <w:tab w:val="num" w:pos="357"/>
        </w:tabs>
        <w:ind w:start="851" w:hanging="284"/>
      </w:pPr>
      <w:rPr/>
    </w:lvl>
    <w:lvl w:ilvl="5">
      <w:start w:val="1"/>
      <w:numFmt w:val="decimal"/>
      <w:lvlText w:val="%1.%2.%3.%4.%5.%6."/>
      <w:lvlJc w:val="start"/>
      <w:pPr>
        <w:tabs>
          <w:tab w:val="num" w:pos="357"/>
        </w:tabs>
        <w:ind w:start="851" w:hanging="284"/>
      </w:pPr>
      <w:rPr/>
    </w:lvl>
    <w:lvl w:ilvl="6">
      <w:start w:val="1"/>
      <w:numFmt w:val="decimal"/>
      <w:lvlText w:val="%1.%2.%3.%4.%5.%6.%7."/>
      <w:lvlJc w:val="start"/>
      <w:pPr>
        <w:tabs>
          <w:tab w:val="num" w:pos="357"/>
        </w:tabs>
        <w:ind w:start="851" w:hanging="284"/>
      </w:pPr>
      <w:rPr/>
    </w:lvl>
    <w:lvl w:ilvl="7">
      <w:start w:val="1"/>
      <w:numFmt w:val="decimal"/>
      <w:lvlText w:val="%1.%2.%3.%4.%5.%6.%7.%8."/>
      <w:lvlJc w:val="start"/>
      <w:pPr>
        <w:tabs>
          <w:tab w:val="num" w:pos="357"/>
        </w:tabs>
        <w:ind w:start="851" w:hanging="284"/>
      </w:pPr>
      <w:rPr/>
    </w:lvl>
    <w:lvl w:ilvl="8">
      <w:start w:val="1"/>
      <w:numFmt w:val="decimal"/>
      <w:lvlText w:val="%1.%2.%3.%4.%5.%6.%7.%8.%9."/>
      <w:lvlJc w:val="start"/>
      <w:pPr>
        <w:tabs>
          <w:tab w:val="num" w:pos="357"/>
        </w:tabs>
        <w:ind w:start="851" w:hanging="284"/>
      </w:pPr>
      <w:rPr/>
    </w:lvl>
  </w:abstractNum>
  <w:abstractNum w:abstractNumId="33">
    <w:lvl w:ilvl="0">
      <w:start w:val="1"/>
      <w:numFmt w:val="bullet"/>
      <w:lvlText w:val=""/>
      <w:lvlJc w:val="start"/>
      <w:pPr>
        <w:tabs>
          <w:tab w:val="num" w:pos="0"/>
        </w:tabs>
        <w:ind w:start="1145" w:hanging="360"/>
      </w:pPr>
      <w:rPr>
        <w:rFonts w:ascii="Symbol" w:hAnsi="Symbol" w:cs="Symbol" w:hint="default"/>
        <w:color w:val="auto"/>
      </w:rPr>
    </w:lvl>
    <w:lvl w:ilvl="1">
      <w:start w:val="1"/>
      <w:numFmt w:val="bullet"/>
      <w:lvlText w:val="o"/>
      <w:lvlJc w:val="start"/>
      <w:pPr>
        <w:tabs>
          <w:tab w:val="num" w:pos="0"/>
        </w:tabs>
        <w:ind w:start="1865" w:hanging="360"/>
      </w:pPr>
      <w:rPr>
        <w:rFonts w:ascii="Courier New" w:hAnsi="Courier New" w:cs="Courier New" w:hint="default"/>
      </w:rPr>
    </w:lvl>
    <w:lvl w:ilvl="2">
      <w:start w:val="1"/>
      <w:numFmt w:val="bullet"/>
      <w:lvlText w:val=""/>
      <w:lvlJc w:val="start"/>
      <w:pPr>
        <w:tabs>
          <w:tab w:val="num" w:pos="0"/>
        </w:tabs>
        <w:ind w:start="2585" w:hanging="360"/>
      </w:pPr>
      <w:rPr>
        <w:rFonts w:ascii="Wingdings" w:hAnsi="Wingdings" w:cs="Wingdings" w:hint="default"/>
      </w:rPr>
    </w:lvl>
    <w:lvl w:ilvl="3">
      <w:start w:val="1"/>
      <w:numFmt w:val="bullet"/>
      <w:lvlText w:val=""/>
      <w:lvlJc w:val="start"/>
      <w:pPr>
        <w:tabs>
          <w:tab w:val="num" w:pos="0"/>
        </w:tabs>
        <w:ind w:start="3305" w:hanging="360"/>
      </w:pPr>
      <w:rPr>
        <w:rFonts w:ascii="Symbol" w:hAnsi="Symbol" w:cs="Symbol" w:hint="default"/>
      </w:rPr>
    </w:lvl>
    <w:lvl w:ilvl="4">
      <w:start w:val="1"/>
      <w:numFmt w:val="bullet"/>
      <w:lvlText w:val="o"/>
      <w:lvlJc w:val="start"/>
      <w:pPr>
        <w:tabs>
          <w:tab w:val="num" w:pos="0"/>
        </w:tabs>
        <w:ind w:start="4025" w:hanging="360"/>
      </w:pPr>
      <w:rPr>
        <w:rFonts w:ascii="Courier New" w:hAnsi="Courier New" w:cs="Courier New" w:hint="default"/>
      </w:rPr>
    </w:lvl>
    <w:lvl w:ilvl="5">
      <w:start w:val="1"/>
      <w:numFmt w:val="bullet"/>
      <w:lvlText w:val=""/>
      <w:lvlJc w:val="start"/>
      <w:pPr>
        <w:tabs>
          <w:tab w:val="num" w:pos="0"/>
        </w:tabs>
        <w:ind w:start="4745" w:hanging="360"/>
      </w:pPr>
      <w:rPr>
        <w:rFonts w:ascii="Wingdings" w:hAnsi="Wingdings" w:cs="Wingdings" w:hint="default"/>
      </w:rPr>
    </w:lvl>
    <w:lvl w:ilvl="6">
      <w:start w:val="1"/>
      <w:numFmt w:val="bullet"/>
      <w:lvlText w:val=""/>
      <w:lvlJc w:val="start"/>
      <w:pPr>
        <w:tabs>
          <w:tab w:val="num" w:pos="0"/>
        </w:tabs>
        <w:ind w:start="5465" w:hanging="360"/>
      </w:pPr>
      <w:rPr>
        <w:rFonts w:ascii="Symbol" w:hAnsi="Symbol" w:cs="Symbol" w:hint="default"/>
      </w:rPr>
    </w:lvl>
    <w:lvl w:ilvl="7">
      <w:start w:val="1"/>
      <w:numFmt w:val="bullet"/>
      <w:lvlText w:val="o"/>
      <w:lvlJc w:val="start"/>
      <w:pPr>
        <w:tabs>
          <w:tab w:val="num" w:pos="0"/>
        </w:tabs>
        <w:ind w:start="6185" w:hanging="360"/>
      </w:pPr>
      <w:rPr>
        <w:rFonts w:ascii="Courier New" w:hAnsi="Courier New" w:cs="Courier New" w:hint="default"/>
      </w:rPr>
    </w:lvl>
    <w:lvl w:ilvl="8">
      <w:start w:val="1"/>
      <w:numFmt w:val="bullet"/>
      <w:lvlText w:val=""/>
      <w:lvlJc w:val="start"/>
      <w:pPr>
        <w:tabs>
          <w:tab w:val="num" w:pos="0"/>
        </w:tabs>
        <w:ind w:start="6905" w:hanging="360"/>
      </w:pPr>
      <w:rPr>
        <w:rFonts w:ascii="Wingdings" w:hAnsi="Wingdings" w:cs="Wingdings" w:hint="default"/>
      </w:rPr>
    </w:lvl>
  </w:abstractNum>
  <w:abstractNum w:abstractNumId="34">
    <w:lvl w:ilvl="0">
      <w:start w:val="1"/>
      <w:numFmt w:val="bullet"/>
      <w:lvlText w:val=""/>
      <w:lvlJc w:val="start"/>
      <w:pPr>
        <w:tabs>
          <w:tab w:val="num" w:pos="1315"/>
        </w:tabs>
        <w:ind w:start="1315" w:hanging="464"/>
      </w:pPr>
      <w:rPr>
        <w:rFonts w:ascii="Symbol" w:hAnsi="Symbol" w:cs="Symbol" w:hint="default"/>
        <w:color w:val="auto"/>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35">
    <w:lvl w:ilvl="0">
      <w:start w:val="1"/>
      <w:numFmt w:val="decimal"/>
      <w:lvlText w:val="%1"/>
      <w:lvlJc w:val="start"/>
      <w:pPr>
        <w:tabs>
          <w:tab w:val="num" w:pos="0"/>
        </w:tabs>
        <w:ind w:start="480" w:hanging="480"/>
      </w:pPr>
      <w:rPr/>
    </w:lvl>
    <w:lvl w:ilvl="1">
      <w:start w:val="3"/>
      <w:numFmt w:val="decimal"/>
      <w:lvlText w:val="%1.%2"/>
      <w:lvlJc w:val="start"/>
      <w:pPr>
        <w:tabs>
          <w:tab w:val="num" w:pos="0"/>
        </w:tabs>
        <w:ind w:start="763" w:hanging="480"/>
      </w:pPr>
      <w:rPr/>
    </w:lvl>
    <w:lvl w:ilvl="2">
      <w:start w:val="1"/>
      <w:numFmt w:val="decimal"/>
      <w:lvlText w:val="%1.%2.%3"/>
      <w:lvlJc w:val="start"/>
      <w:pPr>
        <w:tabs>
          <w:tab w:val="num" w:pos="0"/>
        </w:tabs>
        <w:ind w:start="1286" w:hanging="720"/>
      </w:pPr>
      <w:rPr/>
    </w:lvl>
    <w:lvl w:ilvl="3">
      <w:start w:val="1"/>
      <w:numFmt w:val="decimal"/>
      <w:lvlText w:val="%1.%2.%3.%4"/>
      <w:lvlJc w:val="start"/>
      <w:pPr>
        <w:tabs>
          <w:tab w:val="num" w:pos="0"/>
        </w:tabs>
        <w:ind w:start="1569" w:hanging="720"/>
      </w:pPr>
      <w:rPr/>
    </w:lvl>
    <w:lvl w:ilvl="4">
      <w:start w:val="1"/>
      <w:numFmt w:val="decimal"/>
      <w:lvlText w:val="%1.%2.%3.%4.%5"/>
      <w:lvlJc w:val="start"/>
      <w:pPr>
        <w:tabs>
          <w:tab w:val="num" w:pos="0"/>
        </w:tabs>
        <w:ind w:start="2212" w:hanging="1080"/>
      </w:pPr>
      <w:rPr/>
    </w:lvl>
    <w:lvl w:ilvl="5">
      <w:start w:val="1"/>
      <w:numFmt w:val="decimal"/>
      <w:lvlText w:val="%1.%2.%3.%4.%5.%6"/>
      <w:lvlJc w:val="start"/>
      <w:pPr>
        <w:tabs>
          <w:tab w:val="num" w:pos="0"/>
        </w:tabs>
        <w:ind w:start="2495" w:hanging="1080"/>
      </w:pPr>
      <w:rPr/>
    </w:lvl>
    <w:lvl w:ilvl="6">
      <w:start w:val="1"/>
      <w:numFmt w:val="decimal"/>
      <w:lvlText w:val="%1.%2.%3.%4.%5.%6.%7"/>
      <w:lvlJc w:val="start"/>
      <w:pPr>
        <w:tabs>
          <w:tab w:val="num" w:pos="0"/>
        </w:tabs>
        <w:ind w:start="3138" w:hanging="1440"/>
      </w:pPr>
      <w:rPr/>
    </w:lvl>
    <w:lvl w:ilvl="7">
      <w:start w:val="1"/>
      <w:numFmt w:val="decimal"/>
      <w:lvlText w:val="%1.%2.%3.%4.%5.%6.%7.%8"/>
      <w:lvlJc w:val="start"/>
      <w:pPr>
        <w:tabs>
          <w:tab w:val="num" w:pos="0"/>
        </w:tabs>
        <w:ind w:start="3421" w:hanging="1440"/>
      </w:pPr>
      <w:rPr/>
    </w:lvl>
    <w:lvl w:ilvl="8">
      <w:start w:val="1"/>
      <w:numFmt w:val="decimal"/>
      <w:lvlText w:val="%1.%2.%3.%4.%5.%6.%7.%8.%9"/>
      <w:lvlJc w:val="start"/>
      <w:pPr>
        <w:tabs>
          <w:tab w:val="num" w:pos="0"/>
        </w:tabs>
        <w:ind w:start="4064" w:hanging="1800"/>
      </w:pPr>
      <w:rPr/>
    </w:lvl>
  </w:abstractNum>
  <w:abstractNum w:abstractNumId="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3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1">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
    <w:lvl w:ilvl="0">
      <w:start w:val="1"/>
      <w:numFmt w:val="decimal"/>
      <w:lvlText w:val="%1."/>
      <w:lvlJc w:val="start"/>
      <w:pPr>
        <w:tabs>
          <w:tab w:val="num" w:pos="0"/>
        </w:tabs>
        <w:ind w:start="720" w:hanging="360"/>
      </w:pPr>
      <w:rPr>
        <w:sz w:val="24"/>
        <w:szCs w:val="24"/>
      </w:rPr>
    </w:lvl>
    <w:lvl w:ilvl="1">
      <w:start w:val="1"/>
      <w:numFmt w:val="decimal"/>
      <w:isLgl/>
      <w:lvlText w:val="%1.%2."/>
      <w:lvlJc w:val="start"/>
      <w:pPr>
        <w:tabs>
          <w:tab w:val="num" w:pos="0"/>
        </w:tabs>
        <w:ind w:start="1080" w:hanging="720"/>
      </w:pPr>
      <w:rPr>
        <w:color w:val="auto"/>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520" w:hanging="2160"/>
      </w:pPr>
      <w:rPr/>
    </w:lvl>
  </w:abstractNum>
  <w:abstractNum w:abstractNumId="5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3">
    <w:lvl w:ilvl="0">
      <w:start w:val="1"/>
      <w:numFmt w:val="bullet"/>
      <w:lvlText w:val=""/>
      <w:lvlJc w:val="start"/>
      <w:pPr>
        <w:tabs>
          <w:tab w:val="num" w:pos="180"/>
        </w:tabs>
        <w:ind w:start="612" w:hanging="432"/>
      </w:pPr>
      <w:rPr>
        <w:rFonts w:ascii="Symbol" w:hAnsi="Symbol" w:cs="Symbol" w:hint="default"/>
        <w:sz w:val="24"/>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54">
    <w:lvl w:ilvl="0">
      <w:start w:val="1"/>
      <w:numFmt w:val="decimal"/>
      <w:lvlText w:val="%1."/>
      <w:lvlJc w:val="start"/>
      <w:pPr>
        <w:tabs>
          <w:tab w:val="num" w:pos="0"/>
        </w:tabs>
        <w:ind w:start="1353" w:hanging="360"/>
      </w:pPr>
      <w:rPr>
        <w:rFonts w:ascii="Times New Roman" w:hAnsi="Times New Roman" w:cs="Times New Roman"/>
      </w:rPr>
    </w:lvl>
    <w:lvl w:ilvl="1">
      <w:start w:val="1"/>
      <w:numFmt w:val="decimal"/>
      <w:lvlText w:val="%1.%2."/>
      <w:lvlJc w:val="start"/>
      <w:pPr>
        <w:tabs>
          <w:tab w:val="num" w:pos="0"/>
        </w:tabs>
        <w:ind w:start="792" w:hanging="432"/>
      </w:pPr>
      <w:rPr>
        <w:b/>
      </w:rPr>
    </w:lvl>
    <w:lvl w:ilvl="2">
      <w:start w:val="1"/>
      <w:numFmt w:val="decimal"/>
      <w:lvlText w:val="%1.%2.%3."/>
      <w:lvlJc w:val="start"/>
      <w:pPr>
        <w:tabs>
          <w:tab w:val="num" w:pos="0"/>
        </w:tabs>
        <w:ind w:start="788"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5">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7">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1">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3">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5">
    <w:lvl w:ilvl="0">
      <w:start w:val="1"/>
      <w:numFmt w:val="bullet"/>
      <w:lvlText w:val=""/>
      <w:lvlJc w:val="start"/>
      <w:pPr>
        <w:tabs>
          <w:tab w:val="num" w:pos="0"/>
        </w:tabs>
        <w:ind w:start="1488" w:hanging="360"/>
      </w:pPr>
      <w:rPr>
        <w:rFonts w:ascii="Symbol" w:hAnsi="Symbol" w:cs="Symbol" w:hint="default"/>
      </w:rPr>
    </w:lvl>
    <w:lvl w:ilvl="1">
      <w:start w:val="1"/>
      <w:numFmt w:val="bullet"/>
      <w:lvlText w:val="o"/>
      <w:lvlJc w:val="start"/>
      <w:pPr>
        <w:tabs>
          <w:tab w:val="num" w:pos="0"/>
        </w:tabs>
        <w:ind w:start="2208" w:hanging="360"/>
      </w:pPr>
      <w:rPr>
        <w:rFonts w:ascii="Courier New" w:hAnsi="Courier New" w:cs="Courier New" w:hint="default"/>
      </w:rPr>
    </w:lvl>
    <w:lvl w:ilvl="2">
      <w:start w:val="1"/>
      <w:numFmt w:val="bullet"/>
      <w:lvlText w:val=""/>
      <w:lvlJc w:val="start"/>
      <w:pPr>
        <w:tabs>
          <w:tab w:val="num" w:pos="0"/>
        </w:tabs>
        <w:ind w:start="2928" w:hanging="360"/>
      </w:pPr>
      <w:rPr>
        <w:rFonts w:ascii="Wingdings" w:hAnsi="Wingdings" w:cs="Wingdings" w:hint="default"/>
      </w:rPr>
    </w:lvl>
    <w:lvl w:ilvl="3">
      <w:start w:val="1"/>
      <w:numFmt w:val="bullet"/>
      <w:lvlText w:val=""/>
      <w:lvlJc w:val="start"/>
      <w:pPr>
        <w:tabs>
          <w:tab w:val="num" w:pos="0"/>
        </w:tabs>
        <w:ind w:start="3648" w:hanging="360"/>
      </w:pPr>
      <w:rPr>
        <w:rFonts w:ascii="Symbol" w:hAnsi="Symbol" w:cs="Symbol" w:hint="default"/>
      </w:rPr>
    </w:lvl>
    <w:lvl w:ilvl="4">
      <w:start w:val="1"/>
      <w:numFmt w:val="bullet"/>
      <w:lvlText w:val="o"/>
      <w:lvlJc w:val="start"/>
      <w:pPr>
        <w:tabs>
          <w:tab w:val="num" w:pos="0"/>
        </w:tabs>
        <w:ind w:start="4368" w:hanging="360"/>
      </w:pPr>
      <w:rPr>
        <w:rFonts w:ascii="Courier New" w:hAnsi="Courier New" w:cs="Courier New" w:hint="default"/>
      </w:rPr>
    </w:lvl>
    <w:lvl w:ilvl="5">
      <w:start w:val="1"/>
      <w:numFmt w:val="bullet"/>
      <w:lvlText w:val=""/>
      <w:lvlJc w:val="start"/>
      <w:pPr>
        <w:tabs>
          <w:tab w:val="num" w:pos="0"/>
        </w:tabs>
        <w:ind w:start="5088" w:hanging="360"/>
      </w:pPr>
      <w:rPr>
        <w:rFonts w:ascii="Wingdings" w:hAnsi="Wingdings" w:cs="Wingdings" w:hint="default"/>
      </w:rPr>
    </w:lvl>
    <w:lvl w:ilvl="6">
      <w:start w:val="1"/>
      <w:numFmt w:val="bullet"/>
      <w:lvlText w:val=""/>
      <w:lvlJc w:val="start"/>
      <w:pPr>
        <w:tabs>
          <w:tab w:val="num" w:pos="0"/>
        </w:tabs>
        <w:ind w:start="5808" w:hanging="360"/>
      </w:pPr>
      <w:rPr>
        <w:rFonts w:ascii="Symbol" w:hAnsi="Symbol" w:cs="Symbol" w:hint="default"/>
      </w:rPr>
    </w:lvl>
    <w:lvl w:ilvl="7">
      <w:start w:val="1"/>
      <w:numFmt w:val="bullet"/>
      <w:lvlText w:val="o"/>
      <w:lvlJc w:val="start"/>
      <w:pPr>
        <w:tabs>
          <w:tab w:val="num" w:pos="0"/>
        </w:tabs>
        <w:ind w:start="6528" w:hanging="360"/>
      </w:pPr>
      <w:rPr>
        <w:rFonts w:ascii="Courier New" w:hAnsi="Courier New" w:cs="Courier New" w:hint="default"/>
      </w:rPr>
    </w:lvl>
    <w:lvl w:ilvl="8">
      <w:start w:val="1"/>
      <w:numFmt w:val="bullet"/>
      <w:lvlText w:val=""/>
      <w:lvlJc w:val="start"/>
      <w:pPr>
        <w:tabs>
          <w:tab w:val="num" w:pos="0"/>
        </w:tabs>
        <w:ind w:start="7248" w:hanging="360"/>
      </w:pPr>
      <w:rPr>
        <w:rFonts w:ascii="Wingdings" w:hAnsi="Wingdings" w:cs="Wingdings" w:hint="default"/>
      </w:rPr>
    </w:lvl>
  </w:abstractNum>
  <w:abstractNum w:abstractNumId="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8">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9">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1">
    <w:abstractNumId w:val="8"/>
    <w:lvlOverride w:ilvl="0">
      <w:startOverride w:val="1"/>
    </w:lvlOverride>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Arial" w:asciiTheme="minorHAnsi" w:cstheme="minorBidi" w:hAnsiTheme="minorHAnsi"/>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qFormat="1"/>
    <w:lsdException w:name="annotation text"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lineRule="auto" w:line="360" w:before="0" w:after="0"/>
      <w:jc w:val="both"/>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Heading2"/>
    <w:link w:val="1"/>
    <w:qFormat/>
    <w:pPr>
      <w:keepNext w:val="true"/>
      <w:keepLines/>
      <w:pageBreakBefore/>
      <w:widowControl/>
      <w:numPr>
        <w:ilvl w:val="0"/>
        <w:numId w:val="1"/>
      </w:numPr>
      <w:spacing w:before="240" w:after="240"/>
      <w:jc w:val="center"/>
      <w:outlineLvl w:val="0"/>
    </w:pPr>
    <w:rPr>
      <w:rFonts w:cs="Arial"/>
      <w:b/>
      <w:bCs/>
      <w:caps/>
      <w:szCs w:val="32"/>
    </w:rPr>
  </w:style>
  <w:style w:type="paragraph" w:styleId="Heading2">
    <w:name w:val="heading 2"/>
    <w:basedOn w:val="Normal"/>
    <w:next w:val="Heading3"/>
    <w:link w:val="21"/>
    <w:qFormat/>
    <w:pPr>
      <w:keepNext w:val="true"/>
      <w:keepLines/>
      <w:widowControl/>
      <w:numPr>
        <w:ilvl w:val="1"/>
        <w:numId w:val="1"/>
      </w:numPr>
      <w:spacing w:before="240" w:after="240"/>
      <w:outlineLvl w:val="1"/>
    </w:pPr>
    <w:rPr>
      <w:rFonts w:cs="Arial"/>
      <w:b/>
      <w:bCs/>
      <w:iCs/>
      <w:szCs w:val="28"/>
    </w:rPr>
  </w:style>
  <w:style w:type="paragraph" w:styleId="Heading3">
    <w:name w:val="heading 3"/>
    <w:basedOn w:val="Normal"/>
    <w:next w:val="Style47"/>
    <w:link w:val="3"/>
    <w:qFormat/>
    <w:pPr>
      <w:keepNext w:val="true"/>
      <w:keepLines/>
      <w:widowControl/>
      <w:numPr>
        <w:ilvl w:val="2"/>
        <w:numId w:val="1"/>
      </w:numPr>
      <w:spacing w:before="240" w:after="240"/>
      <w:outlineLvl w:val="2"/>
    </w:pPr>
    <w:rPr>
      <w:rFonts w:cs="Arial"/>
      <w:szCs w:val="26"/>
    </w:rPr>
  </w:style>
  <w:style w:type="paragraph" w:styleId="Heading4">
    <w:name w:val="heading 4"/>
    <w:basedOn w:val="Normal"/>
    <w:next w:val="Style47"/>
    <w:link w:val="4"/>
    <w:qFormat/>
    <w:pPr>
      <w:keepNext w:val="true"/>
      <w:keepLines/>
      <w:widowControl/>
      <w:numPr>
        <w:ilvl w:val="3"/>
        <w:numId w:val="1"/>
      </w:numPr>
      <w:tabs>
        <w:tab w:val="clear" w:pos="708"/>
        <w:tab w:val="left" w:pos="993" w:leader="none"/>
      </w:tabs>
      <w:spacing w:before="240" w:after="240"/>
      <w:outlineLvl w:val="3"/>
    </w:pPr>
    <w:rPr>
      <w:rFonts w:cs="Arial"/>
      <w:b/>
      <w:bCs/>
      <w:sz w:val="28"/>
      <w:szCs w:val="26"/>
    </w:rPr>
  </w:style>
  <w:style w:type="paragraph" w:styleId="Heading5">
    <w:name w:val="heading 5"/>
    <w:basedOn w:val="Normal"/>
    <w:next w:val="Style47"/>
    <w:link w:val="5"/>
    <w:qFormat/>
    <w:pPr>
      <w:keepNext w:val="true"/>
      <w:keepLines/>
      <w:widowControl/>
      <w:numPr>
        <w:ilvl w:val="4"/>
        <w:numId w:val="1"/>
      </w:numPr>
      <w:spacing w:before="240" w:after="240"/>
      <w:outlineLvl w:val="4"/>
    </w:pPr>
    <w:rPr>
      <w:rFonts w:cs="Arial"/>
      <w:b/>
      <w:bCs/>
      <w:sz w:val="28"/>
      <w:szCs w:val="26"/>
    </w:rPr>
  </w:style>
  <w:style w:type="paragraph" w:styleId="Heading6">
    <w:name w:val="heading 6"/>
    <w:basedOn w:val="Normal"/>
    <w:next w:val="Style47"/>
    <w:link w:val="6"/>
    <w:qFormat/>
    <w:pPr>
      <w:keepNext w:val="true"/>
      <w:keepLines/>
      <w:widowControl/>
      <w:numPr>
        <w:ilvl w:val="5"/>
        <w:numId w:val="1"/>
      </w:numPr>
      <w:spacing w:before="240" w:after="240"/>
      <w:outlineLvl w:val="5"/>
    </w:pPr>
    <w:rPr>
      <w:b/>
      <w:sz w:val="28"/>
    </w:rPr>
  </w:style>
  <w:style w:type="paragraph" w:styleId="Heading7">
    <w:name w:val="heading 7"/>
    <w:basedOn w:val="Normal"/>
    <w:next w:val="Style47"/>
    <w:link w:val="7"/>
    <w:qFormat/>
    <w:pPr>
      <w:keepNext w:val="true"/>
      <w:keepLines/>
      <w:widowControl/>
      <w:numPr>
        <w:ilvl w:val="6"/>
        <w:numId w:val="1"/>
      </w:numPr>
      <w:spacing w:before="240" w:after="240"/>
      <w:outlineLvl w:val="6"/>
    </w:pPr>
    <w:rPr>
      <w:b/>
      <w:sz w:val="28"/>
      <w:szCs w:val="20"/>
    </w:rPr>
  </w:style>
  <w:style w:type="paragraph" w:styleId="Heading8">
    <w:name w:val="heading 8"/>
    <w:basedOn w:val="Normal"/>
    <w:next w:val="Style47"/>
    <w:link w:val="8"/>
    <w:qFormat/>
    <w:pPr>
      <w:keepNext w:val="true"/>
      <w:keepLines/>
      <w:widowControl/>
      <w:numPr>
        <w:ilvl w:val="7"/>
        <w:numId w:val="1"/>
      </w:numPr>
      <w:spacing w:before="240" w:after="240"/>
      <w:outlineLvl w:val="7"/>
    </w:pPr>
    <w:rPr>
      <w:b/>
      <w:sz w:val="28"/>
      <w:szCs w:val="20"/>
    </w:rPr>
  </w:style>
  <w:style w:type="paragraph" w:styleId="Heading9">
    <w:name w:val="heading 9"/>
    <w:basedOn w:val="Normal"/>
    <w:next w:val="Style47"/>
    <w:link w:val="9"/>
    <w:qFormat/>
    <w:pPr>
      <w:keepNext w:val="true"/>
      <w:keepLines/>
      <w:widowControl/>
      <w:numPr>
        <w:ilvl w:val="8"/>
        <w:numId w:val="2"/>
      </w:numPr>
      <w:spacing w:before="240" w:after="240"/>
      <w:outlineLvl w:val="8"/>
    </w:pPr>
    <w:rPr>
      <w:b/>
      <w:sz w:val="28"/>
      <w:szCs w:val="20"/>
    </w:rPr>
  </w:style>
  <w:style w:type="character" w:styleId="DefaultParagraphFont" w:default="1">
    <w:name w:val="Default Paragraph Font"/>
    <w:uiPriority w:val="1"/>
    <w:semiHidden/>
    <w:unhideWhenUsed/>
    <w:qFormat/>
    <w:rPr/>
  </w:style>
  <w:style w:type="character" w:styleId="FollowedHyperlink">
    <w:name w:val="FollowedHyperlink"/>
    <w:basedOn w:val="DefaultParagraphFont"/>
    <w:uiPriority w:val="99"/>
    <w:semiHidden/>
    <w:unhideWhenUsed/>
    <w:rPr>
      <w:color w:themeColor="followedHyperlink" w:val="954F72"/>
      <w:u w:val="single"/>
    </w:rPr>
  </w:style>
  <w:style w:type="character" w:styleId="FootnoteCharactersuser">
    <w:name w:val="Footnote Characters (user)"/>
    <w:uiPriority w:val="99"/>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CommentReference">
    <w:name w:val="annotation reference"/>
    <w:uiPriority w:val="99"/>
    <w:unhideWhenUsed/>
    <w:qFormat/>
    <w:rPr>
      <w:sz w:val="16"/>
      <w:szCs w:val="16"/>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mphasis">
    <w:name w:val="Emphasis"/>
    <w:uiPriority w:val="20"/>
    <w:qFormat/>
    <w:rPr>
      <w:i/>
      <w:iCs/>
    </w:rPr>
  </w:style>
  <w:style w:type="character" w:styleId="Hyperlink">
    <w:name w:val="Hyperlink"/>
    <w:uiPriority w:val="99"/>
    <w:unhideWhenUsed/>
    <w:rPr>
      <w:color w:val="0000FF"/>
      <w:sz w:val="24"/>
      <w:u w:val="single"/>
    </w:rPr>
  </w:style>
  <w:style w:type="character" w:styleId="Strong">
    <w:name w:val="Strong"/>
    <w:uiPriority w:val="22"/>
    <w:qFormat/>
    <w:rPr>
      <w:b/>
      <w:bCs/>
    </w:rPr>
  </w:style>
  <w:style w:type="character" w:styleId="TitleChar" w:customStyle="1">
    <w:name w:val="Title Char"/>
    <w:basedOn w:val="DefaultParagraphFont"/>
    <w:uiPriority w:val="10"/>
    <w:qFormat/>
    <w:rPr>
      <w:sz w:val="48"/>
      <w:szCs w:val="48"/>
    </w:rPr>
  </w:style>
  <w:style w:type="character" w:styleId="SubtitleChar" w:customStyle="1">
    <w:name w:val="Subtitle Char"/>
    <w:basedOn w:val="DefaultParagraphFont"/>
    <w:uiPriority w:val="11"/>
    <w:qFormat/>
    <w:rPr>
      <w:sz w:val="24"/>
      <w:szCs w:val="24"/>
    </w:rPr>
  </w:style>
  <w:style w:type="character" w:styleId="QuoteChar" w:customStyle="1">
    <w:name w:val="Quote Char"/>
    <w:uiPriority w:val="29"/>
    <w:qFormat/>
    <w:rPr>
      <w:i/>
    </w:rPr>
  </w:style>
  <w:style w:type="character" w:styleId="IntenseQuoteChar" w:customStyle="1">
    <w:name w:val="Intense Quote Char"/>
    <w:uiPriority w:val="30"/>
    <w:qFormat/>
    <w:rPr>
      <w:i/>
    </w:rPr>
  </w:style>
  <w:style w:type="character" w:styleId="EndnoteTextChar" w:customStyle="1">
    <w:name w:val="Endnote Text Char"/>
    <w:uiPriority w:val="99"/>
    <w:qFormat/>
    <w:rPr>
      <w:sz w:val="20"/>
    </w:rPr>
  </w:style>
  <w:style w:type="character" w:styleId="Heading1Char" w:customStyle="1">
    <w:name w:val="Heading 1 Char"/>
    <w:basedOn w:val="DefaultParagraphFont"/>
    <w:uiPriority w:val="9"/>
    <w:qFormat/>
    <w:rPr>
      <w:rFonts w:ascii="Arial" w:hAnsi="Arial" w:eastAsia="Arial" w:cs="Arial"/>
      <w:sz w:val="40"/>
      <w:szCs w:val="40"/>
    </w:rPr>
  </w:style>
  <w:style w:type="character" w:styleId="Heading2Char" w:customStyle="1">
    <w:name w:val="Heading 2 Char"/>
    <w:basedOn w:val="DefaultParagraphFont"/>
    <w:uiPriority w:val="9"/>
    <w:qFormat/>
    <w:rPr>
      <w:rFonts w:ascii="Arial" w:hAnsi="Arial" w:eastAsia="Arial" w:cs="Arial"/>
      <w:sz w:val="34"/>
    </w:rPr>
  </w:style>
  <w:style w:type="character" w:styleId="Heading3Char" w:customStyle="1">
    <w:name w:val="Heading 3 Char"/>
    <w:basedOn w:val="DefaultParagraphFont"/>
    <w:uiPriority w:val="9"/>
    <w:qFormat/>
    <w:rPr>
      <w:rFonts w:ascii="Arial" w:hAnsi="Arial" w:eastAsia="Arial" w:cs="Arial"/>
      <w:sz w:val="30"/>
      <w:szCs w:val="30"/>
    </w:rPr>
  </w:style>
  <w:style w:type="character" w:styleId="Heading4Char" w:customStyle="1">
    <w:name w:val="Heading 4 Char"/>
    <w:basedOn w:val="DefaultParagraphFont"/>
    <w:uiPriority w:val="9"/>
    <w:qFormat/>
    <w:rPr>
      <w:rFonts w:ascii="Arial" w:hAnsi="Arial" w:eastAsia="Arial" w:cs="Arial"/>
      <w:b/>
      <w:bCs/>
      <w:sz w:val="26"/>
      <w:szCs w:val="26"/>
    </w:rPr>
  </w:style>
  <w:style w:type="character" w:styleId="Heading5Char" w:customStyle="1">
    <w:name w:val="Heading 5 Char"/>
    <w:basedOn w:val="DefaultParagraphFont"/>
    <w:uiPriority w:val="9"/>
    <w:qFormat/>
    <w:rPr>
      <w:rFonts w:ascii="Arial" w:hAnsi="Arial" w:eastAsia="Arial" w:cs="Arial"/>
      <w:b/>
      <w:bCs/>
      <w:sz w:val="24"/>
      <w:szCs w:val="24"/>
    </w:rPr>
  </w:style>
  <w:style w:type="character" w:styleId="Heading6Char" w:customStyle="1">
    <w:name w:val="Heading 6 Char"/>
    <w:basedOn w:val="DefaultParagraphFont"/>
    <w:uiPriority w:val="9"/>
    <w:qFormat/>
    <w:rPr>
      <w:rFonts w:ascii="Arial" w:hAnsi="Arial" w:eastAsia="Arial" w:cs="Arial"/>
      <w:b/>
      <w:bCs/>
      <w:sz w:val="22"/>
      <w:szCs w:val="22"/>
    </w:rPr>
  </w:style>
  <w:style w:type="character" w:styleId="Heading7Char" w:customStyle="1">
    <w:name w:val="Heading 7 Char"/>
    <w:basedOn w:val="DefaultParagraphFont"/>
    <w:uiPriority w:val="9"/>
    <w:qFormat/>
    <w:rPr>
      <w:rFonts w:ascii="Arial" w:hAnsi="Arial" w:eastAsia="Arial" w:cs="Arial"/>
      <w:b/>
      <w:bCs/>
      <w:i/>
      <w:iCs/>
      <w:sz w:val="22"/>
      <w:szCs w:val="22"/>
    </w:rPr>
  </w:style>
  <w:style w:type="character" w:styleId="Heading8Char" w:customStyle="1">
    <w:name w:val="Heading 8 Char"/>
    <w:basedOn w:val="DefaultParagraphFont"/>
    <w:uiPriority w:val="9"/>
    <w:qFormat/>
    <w:rPr>
      <w:rFonts w:ascii="Arial" w:hAnsi="Arial" w:eastAsia="Arial" w:cs="Arial"/>
      <w:i/>
      <w:iCs/>
      <w:sz w:val="22"/>
      <w:szCs w:val="22"/>
    </w:rPr>
  </w:style>
  <w:style w:type="character" w:styleId="Heading9Char" w:customStyle="1">
    <w:name w:val="Heading 9 Char"/>
    <w:basedOn w:val="DefaultParagraphFont"/>
    <w:uiPriority w:val="9"/>
    <w:qFormat/>
    <w:rPr>
      <w:rFonts w:ascii="Arial" w:hAnsi="Arial" w:eastAsia="Arial" w:cs="Arial"/>
      <w:i/>
      <w:iCs/>
      <w:sz w:val="21"/>
      <w:szCs w:val="21"/>
    </w:rPr>
  </w:style>
  <w:style w:type="character" w:styleId="Style5" w:customStyle="1">
    <w:name w:val="Название Знак"/>
    <w:basedOn w:val="DefaultParagraphFont"/>
    <w:link w:val="Title"/>
    <w:uiPriority w:val="10"/>
    <w:qFormat/>
    <w:rPr>
      <w:sz w:val="48"/>
      <w:szCs w:val="48"/>
    </w:rPr>
  </w:style>
  <w:style w:type="character" w:styleId="Style6" w:customStyle="1">
    <w:name w:val="Подзаголовок Знак"/>
    <w:basedOn w:val="DefaultParagraphFont"/>
    <w:link w:val="Subtitle"/>
    <w:uiPriority w:val="11"/>
    <w:qFormat/>
    <w:rPr>
      <w:sz w:val="24"/>
      <w:szCs w:val="24"/>
    </w:rPr>
  </w:style>
  <w:style w:type="character" w:styleId="2" w:customStyle="1">
    <w:name w:val="Цитата 2 Знак"/>
    <w:link w:val="Quote"/>
    <w:uiPriority w:val="29"/>
    <w:qFormat/>
    <w:rPr>
      <w:i/>
    </w:rPr>
  </w:style>
  <w:style w:type="character" w:styleId="Style7" w:customStyle="1">
    <w:name w:val="Выделенная цитата Знак"/>
    <w:link w:val="IntenseQuote"/>
    <w:uiPriority w:val="30"/>
    <w:qFormat/>
    <w:rPr>
      <w:i/>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CaptionChar" w:customStyle="1">
    <w:name w:val="Caption Char"/>
    <w:uiPriority w:val="99"/>
    <w:qFormat/>
    <w:rPr/>
  </w:style>
  <w:style w:type="character" w:styleId="FootnoteTextChar" w:customStyle="1">
    <w:name w:val="Footnote Text Char"/>
    <w:uiPriority w:val="99"/>
    <w:qFormat/>
    <w:rPr>
      <w:sz w:val="18"/>
    </w:rPr>
  </w:style>
  <w:style w:type="character" w:styleId="Style8" w:customStyle="1">
    <w:name w:val="Текст концевой сноски Знак"/>
    <w:link w:val="EndnoteText"/>
    <w:uiPriority w:val="99"/>
    <w:qFormat/>
    <w:rPr>
      <w:sz w:val="20"/>
    </w:rPr>
  </w:style>
  <w:style w:type="character" w:styleId="Style9" w:customStyle="1">
    <w:name w:val="_Основной с красной строки Знак"/>
    <w:link w:val="Style47"/>
    <w:qFormat/>
    <w:rPr>
      <w:rFonts w:ascii="Times New Roman" w:hAnsi="Times New Roman" w:cs="Times New Roman"/>
      <w:sz w:val="24"/>
      <w:szCs w:val="24"/>
      <w:lang w:eastAsia="ru-RU"/>
    </w:rPr>
  </w:style>
  <w:style w:type="character" w:styleId="3" w:customStyle="1">
    <w:name w:val="Заголовок 3 Знак"/>
    <w:link w:val="Heading3"/>
    <w:qFormat/>
    <w:rPr>
      <w:rFonts w:ascii="Times New Roman" w:hAnsi="Times New Roman" w:cs="Arial"/>
      <w:sz w:val="24"/>
      <w:szCs w:val="26"/>
    </w:rPr>
  </w:style>
  <w:style w:type="character" w:styleId="21" w:customStyle="1">
    <w:name w:val="Заголовок 2 Знак"/>
    <w:link w:val="Heading2"/>
    <w:qFormat/>
    <w:rPr>
      <w:rFonts w:ascii="Times New Roman" w:hAnsi="Times New Roman" w:cs="Arial"/>
      <w:b/>
      <w:bCs/>
      <w:iCs/>
      <w:sz w:val="24"/>
      <w:szCs w:val="28"/>
    </w:rPr>
  </w:style>
  <w:style w:type="character" w:styleId="1" w:customStyle="1">
    <w:name w:val="Заголовок 1 Знак"/>
    <w:link w:val="Heading1"/>
    <w:qFormat/>
    <w:rPr>
      <w:rFonts w:ascii="Times New Roman" w:hAnsi="Times New Roman" w:cs="Arial"/>
      <w:b/>
      <w:bCs/>
      <w:caps/>
      <w:sz w:val="24"/>
      <w:szCs w:val="32"/>
    </w:rPr>
  </w:style>
  <w:style w:type="character" w:styleId="4" w:customStyle="1">
    <w:name w:val="Заголовок 4 Знак"/>
    <w:link w:val="Heading4"/>
    <w:qFormat/>
    <w:rPr>
      <w:rFonts w:ascii="Times New Roman" w:hAnsi="Times New Roman" w:cs="Arial"/>
      <w:b/>
      <w:bCs/>
      <w:sz w:val="28"/>
      <w:szCs w:val="26"/>
    </w:rPr>
  </w:style>
  <w:style w:type="character" w:styleId="5" w:customStyle="1">
    <w:name w:val="Заголовок 5 Знак"/>
    <w:link w:val="Heading5"/>
    <w:qFormat/>
    <w:rPr>
      <w:rFonts w:ascii="Times New Roman" w:hAnsi="Times New Roman" w:cs="Arial"/>
      <w:b/>
      <w:bCs/>
      <w:sz w:val="28"/>
      <w:szCs w:val="26"/>
    </w:rPr>
  </w:style>
  <w:style w:type="character" w:styleId="6" w:customStyle="1">
    <w:name w:val="Заголовок 6 Знак"/>
    <w:link w:val="Heading6"/>
    <w:qFormat/>
    <w:rPr>
      <w:rFonts w:ascii="Times New Roman" w:hAnsi="Times New Roman" w:cs="Times New Roman"/>
      <w:b/>
      <w:sz w:val="28"/>
      <w:szCs w:val="24"/>
    </w:rPr>
  </w:style>
  <w:style w:type="character" w:styleId="7" w:customStyle="1">
    <w:name w:val="Заголовок 7 Знак"/>
    <w:link w:val="Heading7"/>
    <w:qFormat/>
    <w:rPr>
      <w:rFonts w:ascii="Times New Roman" w:hAnsi="Times New Roman" w:cs="Times New Roman"/>
      <w:b/>
      <w:sz w:val="28"/>
    </w:rPr>
  </w:style>
  <w:style w:type="character" w:styleId="8" w:customStyle="1">
    <w:name w:val="Заголовок 8 Знак"/>
    <w:link w:val="Heading8"/>
    <w:qFormat/>
    <w:rPr>
      <w:rFonts w:ascii="Times New Roman" w:hAnsi="Times New Roman" w:cs="Times New Roman"/>
      <w:b/>
      <w:sz w:val="28"/>
    </w:rPr>
  </w:style>
  <w:style w:type="character" w:styleId="9" w:customStyle="1">
    <w:name w:val="Заголовок 9 Знак"/>
    <w:link w:val="Heading9"/>
    <w:qFormat/>
    <w:rPr>
      <w:rFonts w:ascii="Times New Roman" w:hAnsi="Times New Roman" w:cs="Times New Roman"/>
      <w:b/>
      <w:sz w:val="28"/>
    </w:rPr>
  </w:style>
  <w:style w:type="character" w:styleId="Style10" w:customStyle="1">
    <w:name w:val="_Заголовок без нумерации Не в оглавлении Знак"/>
    <w:link w:val="Style49"/>
    <w:qFormat/>
    <w:rPr>
      <w:rFonts w:ascii="Times New Roman Полужирный" w:hAnsi="Times New Roman Полужирный" w:cs="Times New Roman"/>
      <w:b/>
      <w:caps/>
      <w:sz w:val="24"/>
      <w:szCs w:val="24"/>
      <w:lang w:eastAsia="ru-RU"/>
    </w:rPr>
  </w:style>
  <w:style w:type="character" w:styleId="Style11" w:customStyle="1">
    <w:name w:val="_Табл_Заголовок Знак"/>
    <w:link w:val="Style50"/>
    <w:qFormat/>
    <w:rPr>
      <w:rFonts w:ascii="Times New Roman" w:hAnsi="Times New Roman" w:cs="Times New Roman"/>
      <w:b/>
      <w:sz w:val="24"/>
      <w:szCs w:val="32"/>
      <w:lang w:eastAsia="ru-RU"/>
    </w:rPr>
  </w:style>
  <w:style w:type="character" w:styleId="11" w:customStyle="1">
    <w:name w:val="_Маркированный список уровня 1 Знак"/>
    <w:link w:val="14"/>
    <w:qFormat/>
    <w:rPr>
      <w:rFonts w:ascii="Times New Roman" w:hAnsi="Times New Roman" w:cs="Times New Roman"/>
      <w:sz w:val="24"/>
      <w:szCs w:val="24"/>
    </w:rPr>
  </w:style>
  <w:style w:type="character" w:styleId="22" w:customStyle="1">
    <w:name w:val="_Маркированный список уровня 2 Знак"/>
    <w:link w:val="26"/>
    <w:qFormat/>
    <w:rPr>
      <w:rFonts w:ascii="Times New Roman" w:hAnsi="Times New Roman" w:cs="Times New Roman"/>
      <w:sz w:val="24"/>
      <w:szCs w:val="24"/>
    </w:rPr>
  </w:style>
  <w:style w:type="character" w:styleId="31" w:customStyle="1">
    <w:name w:val="_Маркированный список уровня 3 Знак"/>
    <w:link w:val="34"/>
    <w:qFormat/>
    <w:rPr>
      <w:rFonts w:ascii="Times New Roman" w:hAnsi="Times New Roman" w:cs="Times New Roman"/>
      <w:sz w:val="24"/>
      <w:szCs w:val="24"/>
    </w:rPr>
  </w:style>
  <w:style w:type="character" w:styleId="111" w:customStyle="1">
    <w:name w:val="_Нумерованный 1 Знак1"/>
    <w:link w:val="17"/>
    <w:qFormat/>
    <w:rPr>
      <w:rFonts w:ascii="Times New Roman" w:hAnsi="Times New Roman" w:cs="Times New Roman"/>
      <w:sz w:val="24"/>
      <w:szCs w:val="24"/>
    </w:rPr>
  </w:style>
  <w:style w:type="character" w:styleId="211" w:customStyle="1">
    <w:name w:val="_Нумерованный 2 Знак1"/>
    <w:link w:val="29"/>
    <w:qFormat/>
    <w:rPr>
      <w:rFonts w:ascii="Times New Roman" w:hAnsi="Times New Roman" w:cs="Times New Roman"/>
      <w:sz w:val="24"/>
      <w:szCs w:val="24"/>
    </w:rPr>
  </w:style>
  <w:style w:type="character" w:styleId="32" w:customStyle="1">
    <w:name w:val="_Нумерованный 3 Знак"/>
    <w:link w:val="36"/>
    <w:qFormat/>
    <w:rPr>
      <w:rFonts w:ascii="Times New Roman" w:hAnsi="Times New Roman" w:cs="Times New Roman"/>
      <w:sz w:val="24"/>
      <w:szCs w:val="24"/>
    </w:rPr>
  </w:style>
  <w:style w:type="character" w:styleId="Style12" w:customStyle="1">
    <w:name w:val="_Основной перед списком Знак"/>
    <w:link w:val="Style55"/>
    <w:qFormat/>
    <w:rPr>
      <w:rFonts w:ascii="Times New Roman" w:hAnsi="Times New Roman" w:eastAsia="Times New Roman" w:cs="Times New Roman"/>
      <w:sz w:val="28"/>
      <w:szCs w:val="24"/>
      <w:lang w:eastAsia="ru-RU"/>
    </w:rPr>
  </w:style>
  <w:style w:type="character" w:styleId="Style13" w:customStyle="1">
    <w:name w:val="_Рисунок_Картинка Знак"/>
    <w:link w:val="Style62"/>
    <w:qFormat/>
    <w:rPr>
      <w:rFonts w:ascii="Times New Roman" w:hAnsi="Times New Roman" w:eastAsia="Times New Roman" w:cs="Times New Roman"/>
      <w:sz w:val="28"/>
      <w:szCs w:val="24"/>
      <w:lang w:eastAsia="ru-RU"/>
    </w:rPr>
  </w:style>
  <w:style w:type="character" w:styleId="Style14" w:customStyle="1">
    <w:name w:val="_Рисунок_Название Знак"/>
    <w:link w:val="Style63"/>
    <w:qFormat/>
    <w:rPr>
      <w:rFonts w:ascii="Times New Roman" w:hAnsi="Times New Roman" w:eastAsia="Times New Roman" w:cs="Times New Roman"/>
      <w:bCs/>
      <w:sz w:val="28"/>
      <w:szCs w:val="28"/>
      <w:lang w:eastAsia="ru-RU"/>
    </w:rPr>
  </w:style>
  <w:style w:type="character" w:styleId="Style15" w:customStyle="1">
    <w:name w:val="_Согласовано Знак"/>
    <w:link w:val="Style64"/>
    <w:qFormat/>
    <w:rPr>
      <w:rFonts w:ascii="Times New Roman Полужирный" w:hAnsi="Times New Roman Полужирный" w:eastAsia="Times New Roman" w:cs="Times New Roman"/>
      <w:b/>
      <w:bCs/>
      <w:caps/>
      <w:sz w:val="28"/>
      <w:szCs w:val="24"/>
      <w:lang w:eastAsia="ru-RU"/>
    </w:rPr>
  </w:style>
  <w:style w:type="character" w:styleId="Style16" w:customStyle="1">
    <w:name w:val="_Табл_Текст_лев Знак"/>
    <w:link w:val="Style68"/>
    <w:qFormat/>
    <w:rPr>
      <w:rFonts w:ascii="Times New Roman" w:hAnsi="Times New Roman" w:eastAsia="Times New Roman" w:cs="Times New Roman"/>
      <w:sz w:val="24"/>
      <w:szCs w:val="20"/>
      <w:lang w:eastAsia="ru-RU"/>
    </w:rPr>
  </w:style>
  <w:style w:type="character" w:styleId="Style17" w:customStyle="1">
    <w:name w:val="_Текст сноски Знак"/>
    <w:link w:val="Style73"/>
    <w:qFormat/>
    <w:rPr>
      <w:rFonts w:ascii="Times New Roman" w:hAnsi="Times New Roman" w:eastAsia="Times New Roman" w:cs="Times New Roman"/>
      <w:bCs/>
      <w:sz w:val="20"/>
      <w:szCs w:val="20"/>
      <w:vertAlign w:val="superscript"/>
      <w:lang w:eastAsia="ru-RU"/>
    </w:rPr>
  </w:style>
  <w:style w:type="character" w:styleId="Style18" w:customStyle="1">
    <w:name w:val="_Текст_курсив"/>
    <w:qFormat/>
    <w:rPr>
      <w:i/>
    </w:rPr>
  </w:style>
  <w:style w:type="character" w:styleId="Style19" w:customStyle="1">
    <w:name w:val="_Текст_подчеркнутый"/>
    <w:qFormat/>
    <w:rPr>
      <w:u w:val="single"/>
    </w:rPr>
  </w:style>
  <w:style w:type="character" w:styleId="Style20" w:customStyle="1">
    <w:name w:val="_Текст_полужирный"/>
    <w:qFormat/>
    <w:rPr>
      <w:b/>
    </w:rPr>
  </w:style>
  <w:style w:type="character" w:styleId="Style21" w:customStyle="1">
    <w:name w:val="_Текст_скрытый"/>
    <w:qFormat/>
    <w:rPr>
      <w:vanish/>
    </w:rPr>
  </w:style>
  <w:style w:type="character" w:styleId="Style22" w:customStyle="1">
    <w:name w:val="_Титул наименование организации Знак"/>
    <w:link w:val="Style75"/>
    <w:qFormat/>
    <w:rPr>
      <w:rFonts w:ascii="Times New Roman" w:hAnsi="Times New Roman" w:eastAsia="Times New Roman" w:cs="Times New Roman"/>
      <w:sz w:val="28"/>
      <w:szCs w:val="26"/>
      <w:lang w:eastAsia="ru-RU"/>
    </w:rPr>
  </w:style>
  <w:style w:type="character" w:styleId="Style23" w:customStyle="1">
    <w:name w:val="_Титул_Количество страниц Знак"/>
    <w:link w:val="Style79"/>
    <w:qFormat/>
    <w:rPr>
      <w:rFonts w:ascii="Times New Roman" w:hAnsi="Times New Roman" w:eastAsia="Times New Roman" w:cs="Arial"/>
      <w:bCs/>
      <w:sz w:val="28"/>
      <w:szCs w:val="28"/>
    </w:rPr>
  </w:style>
  <w:style w:type="character" w:styleId="Style24" w:customStyle="1">
    <w:name w:val="_Титул_Москва год Знак"/>
    <w:link w:val="Style80"/>
    <w:qFormat/>
    <w:rPr>
      <w:rFonts w:ascii="Times New Roman" w:hAnsi="Times New Roman" w:eastAsia="Times New Roman" w:cs="Times New Roman"/>
      <w:sz w:val="28"/>
      <w:szCs w:val="28"/>
      <w:lang w:eastAsia="ru-RU"/>
    </w:rPr>
  </w:style>
  <w:style w:type="character" w:styleId="Style25" w:customStyle="1">
    <w:name w:val="_Титул_Название документа Знак"/>
    <w:link w:val="Style81"/>
    <w:qFormat/>
    <w:rPr>
      <w:rFonts w:ascii="Times New Roman" w:hAnsi="Times New Roman" w:eastAsia="Times New Roman" w:cs="Arial"/>
      <w:bCs/>
      <w:caps/>
      <w:sz w:val="28"/>
      <w:szCs w:val="28"/>
    </w:rPr>
  </w:style>
  <w:style w:type="character" w:styleId="Style26" w:customStyle="1">
    <w:name w:val="_Титул_Название системы Знак"/>
    <w:link w:val="Style83"/>
    <w:qFormat/>
    <w:rPr>
      <w:rFonts w:ascii="Times New Roman Полужирный" w:hAnsi="Times New Roman Полужирный" w:eastAsia="Times New Roman" w:cs="Arial"/>
      <w:b/>
      <w:caps/>
      <w:sz w:val="28"/>
      <w:szCs w:val="28"/>
    </w:rPr>
  </w:style>
  <w:style w:type="character" w:styleId="Style27" w:customStyle="1">
    <w:name w:val="_Название объекта автоматизации Знак"/>
    <w:link w:val="Style84"/>
    <w:qFormat/>
    <w:rPr>
      <w:rFonts w:ascii="Times New Roman Полужирный" w:hAnsi="Times New Roman Полужирный" w:eastAsia="Times New Roman" w:cs="Times New Roman"/>
      <w:b/>
      <w:caps/>
      <w:sz w:val="28"/>
      <w:szCs w:val="32"/>
      <w:lang w:eastAsia="ru-RU"/>
    </w:rPr>
  </w:style>
  <w:style w:type="character" w:styleId="Style28" w:customStyle="1">
    <w:name w:val="_Чертеж_подписи в рамке Знак"/>
    <w:link w:val="Style87"/>
    <w:qFormat/>
    <w:rPr>
      <w:rFonts w:ascii="ISOCPEUR" w:hAnsi="ISOCPEUR" w:eastAsia="Times New Roman" w:cs="Times New Roman"/>
      <w:i/>
      <w:sz w:val="18"/>
      <w:szCs w:val="20"/>
      <w:lang w:eastAsia="ru-RU"/>
    </w:rPr>
  </w:style>
  <w:style w:type="character" w:styleId="Style29" w:customStyle="1">
    <w:name w:val="_Чертеж_децимальный номер Знак"/>
    <w:link w:val="Style88"/>
    <w:qFormat/>
    <w:rPr>
      <w:rFonts w:ascii="ISOCPEUR" w:hAnsi="ISOCPEUR" w:eastAsia="Times New Roman" w:cs="Times New Roman"/>
      <w:i/>
      <w:sz w:val="40"/>
      <w:szCs w:val="40"/>
      <w:lang w:eastAsia="ru-RU"/>
    </w:rPr>
  </w:style>
  <w:style w:type="character" w:styleId="19" w:customStyle="1">
    <w:name w:val="19_Рамка_Основной Знак"/>
    <w:link w:val="192"/>
    <w:qFormat/>
    <w:rPr>
      <w:rFonts w:ascii="Calibri" w:hAnsi="Calibri" w:eastAsia="Calibri" w:cs="Times New Roman"/>
      <w:sz w:val="18"/>
      <w:szCs w:val="20"/>
      <w:lang w:eastAsia="ru-RU"/>
    </w:rPr>
  </w:style>
  <w:style w:type="character" w:styleId="191" w:customStyle="1">
    <w:name w:val="19_Рамка_Подписи Знак"/>
    <w:link w:val="193"/>
    <w:qFormat/>
    <w:rPr>
      <w:rFonts w:ascii="Calibri" w:hAnsi="Calibri" w:eastAsia="Calibri" w:cs="Times New Roman"/>
      <w:i/>
      <w:sz w:val="18"/>
      <w:szCs w:val="18"/>
      <w:lang w:eastAsia="ru-RU"/>
    </w:rPr>
  </w:style>
  <w:style w:type="character" w:styleId="Style30" w:customStyle="1">
    <w:name w:val="Верхний колонтитул Знак"/>
    <w:link w:val="Header"/>
    <w:uiPriority w:val="99"/>
    <w:qFormat/>
    <w:rPr>
      <w:rFonts w:ascii="Times New Roman" w:hAnsi="Times New Roman" w:eastAsia="Times New Roman" w:cs="Times New Roman"/>
      <w:sz w:val="24"/>
      <w:szCs w:val="24"/>
      <w:lang w:eastAsia="ru-RU"/>
    </w:rPr>
  </w:style>
  <w:style w:type="character" w:styleId="Style31" w:customStyle="1">
    <w:name w:val="Маркированный список Знак"/>
    <w:link w:val="ListBullet"/>
    <w:qFormat/>
    <w:rPr>
      <w:rFonts w:ascii="Times New Roman" w:hAnsi="Times New Roman" w:eastAsia="Times New Roman" w:cs="Times New Roman"/>
      <w:sz w:val="28"/>
      <w:szCs w:val="24"/>
      <w:lang w:eastAsia="ru-RU"/>
    </w:rPr>
  </w:style>
  <w:style w:type="character" w:styleId="Style32" w:customStyle="1">
    <w:name w:val="Нижний колонтитул Знак"/>
    <w:link w:val="Footer"/>
    <w:uiPriority w:val="99"/>
    <w:qFormat/>
    <w:rPr>
      <w:rFonts w:ascii="Times New Roman" w:hAnsi="Times New Roman" w:eastAsia="Times New Roman" w:cs="Times New Roman"/>
      <w:sz w:val="24"/>
      <w:szCs w:val="24"/>
      <w:lang w:eastAsia="ru-RU"/>
    </w:rPr>
  </w:style>
  <w:style w:type="character" w:styleId="Style33" w:customStyle="1">
    <w:name w:val="Схема документа Знак"/>
    <w:link w:val="DocumentMap"/>
    <w:uiPriority w:val="99"/>
    <w:semiHidden/>
    <w:qFormat/>
    <w:rPr>
      <w:rFonts w:ascii="Tahoma" w:hAnsi="Tahoma" w:eastAsia="Times New Roman" w:cs="Tahoma"/>
      <w:sz w:val="16"/>
      <w:szCs w:val="16"/>
      <w:lang w:eastAsia="ru-RU"/>
    </w:rPr>
  </w:style>
  <w:style w:type="character" w:styleId="Head1" w:customStyle="1">
    <w:name w:val="Head1 Знак Знак"/>
    <w:link w:val="Head11"/>
    <w:uiPriority w:val="99"/>
    <w:qFormat/>
    <w:rPr>
      <w:rFonts w:ascii="Times New Roman" w:hAnsi="Times New Roman" w:cs="Times New Roman"/>
      <w:b/>
      <w:bCs/>
      <w:sz w:val="32"/>
      <w:szCs w:val="32"/>
    </w:rPr>
  </w:style>
  <w:style w:type="character" w:styleId="Head2" w:customStyle="1">
    <w:name w:val="Head2 Знак Знак"/>
    <w:link w:val="Head21"/>
    <w:qFormat/>
    <w:rPr>
      <w:rFonts w:ascii="Times New Roman" w:hAnsi="Times New Roman" w:eastAsia="Calibri" w:cs="Times New Roman"/>
      <w:b/>
      <w:bCs/>
      <w:sz w:val="28"/>
      <w:szCs w:val="28"/>
    </w:rPr>
  </w:style>
  <w:style w:type="character" w:styleId="Head3" w:customStyle="1">
    <w:name w:val="Head3 Знак"/>
    <w:link w:val="Head31"/>
    <w:uiPriority w:val="99"/>
    <w:qFormat/>
    <w:rPr>
      <w:rFonts w:ascii="Times New Roman" w:hAnsi="Times New Roman" w:eastAsia="Calibri" w:cs="Times New Roman"/>
      <w:b/>
      <w:bCs/>
      <w:sz w:val="28"/>
      <w:szCs w:val="28"/>
    </w:rPr>
  </w:style>
  <w:style w:type="character" w:styleId="Style34" w:customStyle="1">
    <w:name w:val="Основной текст Знак"/>
    <w:basedOn w:val="DefaultParagraphFont"/>
    <w:uiPriority w:val="99"/>
    <w:qFormat/>
    <w:rPr>
      <w:rFonts w:ascii="Times New Roman" w:hAnsi="Times New Roman" w:cs="Times New Roman"/>
      <w:sz w:val="24"/>
      <w:szCs w:val="24"/>
      <w:lang w:eastAsia="ru-RU"/>
    </w:rPr>
  </w:style>
  <w:style w:type="character" w:styleId="Char" w:customStyle="1">
    <w:name w:val="текст Char"/>
    <w:link w:val="Style93"/>
    <w:qFormat/>
    <w:rPr>
      <w:rFonts w:ascii="Times New Roman" w:hAnsi="Times New Roman" w:cs="Times New Roman"/>
      <w:sz w:val="24"/>
      <w:szCs w:val="20"/>
      <w:lang w:eastAsia="ru-RU"/>
    </w:rPr>
  </w:style>
  <w:style w:type="character" w:styleId="Style35" w:customStyle="1">
    <w:name w:val="Текст примечания Знак"/>
    <w:basedOn w:val="DefaultParagraphFont"/>
    <w:link w:val="CommentText"/>
    <w:uiPriority w:val="99"/>
    <w:qFormat/>
    <w:rPr>
      <w:rFonts w:ascii="Times New Roman" w:hAnsi="Times New Roman" w:cs="Times New Roman"/>
      <w:sz w:val="20"/>
      <w:szCs w:val="20"/>
      <w:lang w:eastAsia="ru-RU"/>
    </w:rPr>
  </w:style>
  <w:style w:type="character" w:styleId="Style36" w:customStyle="1">
    <w:name w:val="Название объекта Знак"/>
    <w:link w:val="Caption"/>
    <w:uiPriority w:val="35"/>
    <w:qFormat/>
    <w:rPr>
      <w:rFonts w:ascii="Times New Roman" w:hAnsi="Times New Roman" w:cs="Times New Roman"/>
      <w:i/>
      <w:iCs/>
      <w:color w:themeColor="text2" w:val="44546A"/>
      <w:sz w:val="18"/>
      <w:szCs w:val="18"/>
      <w:lang w:eastAsia="ru-RU"/>
    </w:rPr>
  </w:style>
  <w:style w:type="character" w:styleId="Style37" w:customStyle="1">
    <w:name w:val="Абзац списка Знак"/>
    <w:link w:val="ListParagraph"/>
    <w:uiPriority w:val="34"/>
    <w:qFormat/>
    <w:rPr>
      <w:rFonts w:ascii="Times New Roman" w:hAnsi="Times New Roman" w:cs="Times New Roman"/>
      <w:sz w:val="24"/>
      <w:szCs w:val="24"/>
    </w:rPr>
  </w:style>
  <w:style w:type="character" w:styleId="Style38" w:customStyle="1">
    <w:name w:val="Текст выноски Знак"/>
    <w:basedOn w:val="DefaultParagraphFont"/>
    <w:link w:val="BalloonText"/>
    <w:semiHidden/>
    <w:qFormat/>
    <w:rPr>
      <w:rFonts w:ascii="Segoe UI" w:hAnsi="Segoe UI" w:cs="Segoe UI"/>
      <w:sz w:val="18"/>
      <w:szCs w:val="18"/>
      <w:lang w:eastAsia="ru-RU"/>
    </w:rPr>
  </w:style>
  <w:style w:type="character" w:styleId="ItemizedList1" w:customStyle="1">
    <w:name w:val="ItemizedList1 Знак"/>
    <w:link w:val="ItemizedList11"/>
    <w:qFormat/>
    <w:rPr>
      <w:rFonts w:ascii="Times New Roman" w:hAnsi="Times New Roman" w:eastAsia="Calibri" w:cs="Times New Roman"/>
      <w:sz w:val="24"/>
      <w:szCs w:val="24"/>
    </w:rPr>
  </w:style>
  <w:style w:type="character" w:styleId="Style39" w:customStyle="1">
    <w:name w:val="Тема примечания Знак"/>
    <w:basedOn w:val="Style35"/>
    <w:link w:val="annotationsubject"/>
    <w:uiPriority w:val="99"/>
    <w:semiHidden/>
    <w:qFormat/>
    <w:rPr>
      <w:rFonts w:ascii="Times New Roman" w:hAnsi="Times New Roman" w:cs="Times New Roman"/>
      <w:b/>
      <w:bCs/>
      <w:sz w:val="20"/>
      <w:szCs w:val="20"/>
      <w:lang w:eastAsia="ru-RU"/>
    </w:rPr>
  </w:style>
  <w:style w:type="character" w:styleId="SGeneral" w:customStyle="1">
    <w:name w:val="_S_General Знак Знак"/>
    <w:link w:val="SGeneral1"/>
    <w:qFormat/>
    <w:rPr>
      <w:rFonts w:ascii="Times New Roman" w:hAnsi="Times New Roman" w:eastAsia="Calibri" w:cs="Times New Roman"/>
      <w:sz w:val="28"/>
      <w:szCs w:val="24"/>
    </w:rPr>
  </w:style>
  <w:style w:type="character" w:styleId="Style40" w:customStyle="1">
    <w:name w:val="_осн. с красной строки Знак"/>
    <w:link w:val="Style95"/>
    <w:qFormat/>
    <w:rPr>
      <w:rFonts w:ascii="Times New Roman" w:hAnsi="Times New Roman" w:eastAsia="Calibri" w:cs="Times New Roman"/>
      <w:color w:val="000000"/>
      <w:sz w:val="28"/>
      <w:szCs w:val="28"/>
      <w:lang w:eastAsia="ar-SA"/>
    </w:rPr>
  </w:style>
  <w:style w:type="character" w:styleId="PlainText" w:customStyle="1">
    <w:name w:val="PlainText Знак"/>
    <w:link w:val="PlainText1"/>
    <w:qFormat/>
    <w:rPr>
      <w:rFonts w:ascii="Times New Roman" w:hAnsi="Times New Roman" w:cs="Times New Roman"/>
      <w:sz w:val="24"/>
      <w:szCs w:val="24"/>
      <w:lang w:eastAsia="ru-RU"/>
    </w:rPr>
  </w:style>
  <w:style w:type="character" w:styleId="TableTitle" w:customStyle="1">
    <w:name w:val="TableTitle Знак"/>
    <w:link w:val="TableTitle1"/>
    <w:qFormat/>
    <w:rPr>
      <w:rFonts w:ascii="Times New Roman" w:hAnsi="Times New Roman" w:cs="Times New Roman"/>
      <w:b/>
      <w:bCs/>
      <w:sz w:val="24"/>
      <w:szCs w:val="24"/>
    </w:rPr>
  </w:style>
  <w:style w:type="character" w:styleId="23" w:customStyle="1">
    <w:name w:val="!Пункт.2 Знак"/>
    <w:link w:val="217"/>
    <w:qFormat/>
    <w:rPr>
      <w:rFonts w:ascii="Times New Roman" w:hAnsi="Times New Roman" w:cs="Times New Roman"/>
      <w:iCs/>
      <w:sz w:val="28"/>
      <w:szCs w:val="28"/>
      <w:lang w:eastAsia="ru-RU"/>
    </w:rPr>
  </w:style>
  <w:style w:type="character" w:styleId="41" w:customStyle="1">
    <w:name w:val="!Пункт.4 Знак"/>
    <w:link w:val="46"/>
    <w:qFormat/>
    <w:rPr>
      <w:rFonts w:ascii="Times New Roman" w:hAnsi="Times New Roman" w:cs="Arial"/>
      <w:sz w:val="28"/>
      <w:szCs w:val="26"/>
    </w:rPr>
  </w:style>
  <w:style w:type="character" w:styleId="12" w:customStyle="1">
    <w:name w:val="!Список.1 Знак"/>
    <w:link w:val="118"/>
    <w:qFormat/>
    <w:rPr>
      <w:rFonts w:ascii="Times New Roman" w:hAnsi="Times New Roman"/>
      <w:iCs/>
      <w:sz w:val="28"/>
      <w:szCs w:val="28"/>
      <w:lang w:eastAsia="en-US" w:bidi="ru-RU"/>
    </w:rPr>
  </w:style>
  <w:style w:type="character" w:styleId="42" w:customStyle="1">
    <w:name w:val="!Заг.4 Знак"/>
    <w:link w:val="47"/>
    <w:qFormat/>
    <w:rPr>
      <w:rFonts w:ascii="Times New Roman" w:hAnsi="Times New Roman" w:cs="Arial"/>
      <w:b/>
      <w:bCs/>
      <w:sz w:val="28"/>
      <w:szCs w:val="28"/>
    </w:rPr>
  </w:style>
  <w:style w:type="character" w:styleId="51" w:customStyle="1">
    <w:name w:val="!Пункт.5 Знак"/>
    <w:link w:val="54"/>
    <w:qFormat/>
    <w:rPr>
      <w:rFonts w:ascii="Times New Roman" w:hAnsi="Times New Roman" w:cs="Arial"/>
      <w:sz w:val="28"/>
      <w:szCs w:val="26"/>
    </w:rPr>
  </w:style>
  <w:style w:type="character" w:styleId="Style41" w:customStyle="1">
    <w:name w:val="!Обычный с красной строки Знак"/>
    <w:link w:val="Style98"/>
    <w:qFormat/>
    <w:rPr>
      <w:rFonts w:ascii="Times New Roman" w:hAnsi="Times New Roman"/>
      <w:sz w:val="28"/>
      <w:szCs w:val="24"/>
    </w:rPr>
  </w:style>
  <w:style w:type="character" w:styleId="header3b" w:customStyle="1">
    <w:name w:val="header3b"/>
    <w:qFormat/>
    <w:rPr/>
  </w:style>
  <w:style w:type="character" w:styleId="header3a" w:customStyle="1">
    <w:name w:val="header3a"/>
    <w:qFormat/>
    <w:rPr/>
  </w:style>
  <w:style w:type="character" w:styleId="newp" w:customStyle="1">
    <w:name w:val="newp"/>
    <w:qFormat/>
    <w:rPr/>
  </w:style>
  <w:style w:type="character" w:styleId="apple-style-span" w:customStyle="1">
    <w:name w:val="apple-style-span"/>
    <w:qFormat/>
    <w:rPr/>
  </w:style>
  <w:style w:type="character" w:styleId="24" w:customStyle="1">
    <w:name w:val="_Пункт_2 Знак"/>
    <w:link w:val="218"/>
    <w:qFormat/>
    <w:rPr>
      <w:rFonts w:ascii="Times New Roman" w:hAnsi="Times New Roman" w:cs="Arial"/>
      <w:bCs/>
      <w:sz w:val="28"/>
      <w:szCs w:val="26"/>
    </w:rPr>
  </w:style>
  <w:style w:type="character" w:styleId="25" w:customStyle="1">
    <w:name w:val="!Заг.2 Знак"/>
    <w:basedOn w:val="23"/>
    <w:link w:val="219"/>
    <w:qFormat/>
    <w:rPr>
      <w:rFonts w:ascii="Times New Roman" w:hAnsi="Times New Roman" w:cs="Times New Roman"/>
      <w:b/>
      <w:bCs/>
      <w:iCs/>
      <w:sz w:val="28"/>
      <w:szCs w:val="28"/>
      <w:lang w:eastAsia="ru-RU"/>
    </w:rPr>
  </w:style>
  <w:style w:type="character" w:styleId="Style42" w:customStyle="1">
    <w:name w:val="!Таб.Текст Знак"/>
    <w:basedOn w:val="DefaultParagraphFont"/>
    <w:link w:val="Style100"/>
    <w:qFormat/>
    <w:rPr>
      <w:rFonts w:ascii="Times New Roman" w:hAnsi="Times New Roman" w:eastAsia="Calibri" w:cs="Times New Roman" w:eastAsiaTheme="minorHAnsi"/>
      <w:color w:val="000000"/>
      <w:sz w:val="24"/>
      <w:szCs w:val="24"/>
    </w:rPr>
  </w:style>
  <w:style w:type="character" w:styleId="Style43" w:customStyle="1">
    <w:name w:val="Текст сноски Знак"/>
    <w:basedOn w:val="DefaultParagraphFont"/>
    <w:link w:val="FootnoteText"/>
    <w:qFormat/>
    <w:rPr>
      <w:rFonts w:ascii="Times New Roman" w:hAnsi="Times New Roman" w:eastAsia="Calibri" w:cs="Times New Roman"/>
      <w:color w:val="000000"/>
      <w:sz w:val="20"/>
      <w:szCs w:val="20"/>
      <w:lang w:eastAsia="ar-SA"/>
    </w:rPr>
  </w:style>
  <w:style w:type="character" w:styleId="13" w:customStyle="1">
    <w:name w:val="Неразрешенное упоминание1"/>
    <w:basedOn w:val="DefaultParagraphFont"/>
    <w:uiPriority w:val="99"/>
    <w:semiHidden/>
    <w:unhideWhenUsed/>
    <w:qFormat/>
    <w:rPr>
      <w:color w:val="605E5C"/>
      <w:shd w:fill="E1DFDD" w:val="clear"/>
    </w:rPr>
  </w:style>
  <w:style w:type="character" w:styleId="ScrollListBullet" w:customStyle="1">
    <w:name w:val="Scroll List Bullet Знак"/>
    <w:link w:val="ScrollListBullet1"/>
    <w:qFormat/>
    <w:rPr>
      <w:rFonts w:ascii="Times New Roman" w:hAnsi="Times New Roman" w:cs="Times New Roman"/>
      <w:sz w:val="28"/>
      <w:szCs w:val="24"/>
      <w:lang w:eastAsia="ru-RU"/>
    </w:rPr>
  </w:style>
  <w:style w:type="character" w:styleId="71" w:customStyle="1">
    <w:name w:val="Стиль7 Знак"/>
    <w:link w:val="73"/>
    <w:qFormat/>
    <w:rPr>
      <w:rFonts w:ascii="Times New Roman" w:hAnsi="Times New Roman" w:cs="Times New Roman"/>
      <w:sz w:val="28"/>
      <w:szCs w:val="28"/>
    </w:rPr>
  </w:style>
  <w:style w:type="character" w:styleId="81" w:customStyle="1">
    <w:name w:val="Стиль8 Знак"/>
    <w:link w:val="83"/>
    <w:qFormat/>
    <w:rPr>
      <w:rFonts w:ascii="Times New Roman" w:hAnsi="Times New Roman" w:cs="Times New Roman"/>
      <w:sz w:val="28"/>
    </w:rPr>
  </w:style>
  <w:style w:type="character" w:styleId="Style44" w:customStyle="1">
    <w:name w:val="Пункт Подразд.Прил. Знак"/>
    <w:basedOn w:val="DefaultParagraphFont"/>
    <w:link w:val="Style105"/>
    <w:qFormat/>
    <w:rPr>
      <w:rFonts w:ascii="Times New Roman" w:hAnsi="Times New Roman" w:cs="Times New Roman"/>
      <w:sz w:val="28"/>
    </w:rPr>
  </w:style>
  <w:style w:type="character" w:styleId="PictureInscription" w:customStyle="1">
    <w:name w:val="PictureInscription Знак"/>
    <w:link w:val="PictureInscription1"/>
    <w:qFormat/>
    <w:rPr>
      <w:rFonts w:ascii="Times New Roman" w:hAnsi="Times New Roman" w:cs="Times New Roman"/>
      <w:sz w:val="24"/>
      <w:szCs w:val="24"/>
    </w:rPr>
  </w:style>
  <w:style w:type="character" w:styleId="TableText" w:customStyle="1">
    <w:name w:val="TableText Знак"/>
    <w:link w:val="TableText1"/>
    <w:qFormat/>
    <w:rPr>
      <w:rFonts w:ascii="Times New Roman" w:hAnsi="Times New Roman" w:cs="Times New Roman"/>
      <w:sz w:val="24"/>
      <w:szCs w:val="24"/>
      <w:lang w:eastAsia="ru-RU"/>
    </w:rPr>
  </w:style>
  <w:style w:type="character" w:styleId="Orderedlist1" w:customStyle="1">
    <w:name w:val="Orderedlist1 Знак"/>
    <w:link w:val="Orderedlist11"/>
    <w:qFormat/>
    <w:rPr>
      <w:rFonts w:ascii="Times New Roman" w:hAnsi="Times New Roman" w:cs="Times New Roman"/>
      <w:sz w:val="24"/>
      <w:szCs w:val="24"/>
    </w:rPr>
  </w:style>
  <w:style w:type="character" w:styleId="33" w:customStyle="1">
    <w:name w:val="3_СписНр_Текст Знак"/>
    <w:basedOn w:val="DefaultParagraphFont"/>
    <w:link w:val="311"/>
    <w:qFormat/>
    <w:rPr>
      <w:rFonts w:ascii="Times New Roman" w:hAnsi="Times New Roman" w:eastAsia="Calibri" w:cs="Times New Roman" w:eastAsiaTheme="minorHAnsi"/>
      <w:color w:themeColor="text1" w:val="000000"/>
      <w:sz w:val="24"/>
    </w:rPr>
  </w:style>
  <w:style w:type="character" w:styleId="-1" w:customStyle="1">
    <w:name w:val="- Список1 Знак"/>
    <w:link w:val="-11"/>
    <w:qFormat/>
    <w:rPr>
      <w:rFonts w:ascii="Times New Roman" w:hAnsi="Times New Roman" w:cs="Times New Roman"/>
      <w:sz w:val="28"/>
      <w:szCs w:val="28"/>
    </w:rPr>
  </w:style>
  <w:style w:type="character" w:styleId="--14" w:customStyle="1">
    <w:name w:val="-- Рисунок 14 середина"/>
    <w:qFormat/>
    <w:rPr>
      <w:rFonts w:ascii="Times New Roman" w:hAnsi="Times New Roman"/>
      <w:sz w:val="28"/>
    </w:rPr>
  </w:style>
  <w:style w:type="character" w:styleId="Style45" w:customStyle="1">
    <w:name w:val="А Знак"/>
    <w:basedOn w:val="DefaultParagraphFont"/>
    <w:link w:val="Style109"/>
    <w:qFormat/>
    <w:rPr>
      <w:rFonts w:ascii="Times New Roman" w:hAnsi="Times New Roman" w:eastAsia="Calibri" w:cs="Times New Roman"/>
      <w:bCs/>
      <w:sz w:val="25"/>
      <w:szCs w:val="25"/>
    </w:rPr>
  </w:style>
  <w:style w:type="character" w:styleId="phnormal" w:customStyle="1">
    <w:name w:val="ph_normal Знак"/>
    <w:basedOn w:val="DefaultParagraphFont"/>
    <w:link w:val="phnormal1"/>
    <w:qFormat/>
    <w:rPr>
      <w:rFonts w:ascii="Times New Roman" w:hAnsi="Times New Roman" w:cs="Times New Roman"/>
      <w:sz w:val="28"/>
      <w:szCs w:val="20"/>
      <w:lang w:eastAsia="ru-RU"/>
    </w:rPr>
  </w:style>
  <w:style w:type="character" w:styleId="phlistitemized1" w:customStyle="1">
    <w:name w:val="ph_list_itemized_1 Знак"/>
    <w:link w:val="phlistitemized11"/>
    <w:qFormat/>
    <w:rPr>
      <w:rFonts w:ascii="Times New Roman" w:hAnsi="Times New Roman" w:cs="Arial"/>
      <w:sz w:val="28"/>
      <w:lang w:eastAsia="en-US"/>
    </w:rPr>
  </w:style>
  <w:style w:type="character" w:styleId="phtabletitle" w:customStyle="1">
    <w:name w:val="ph_table_title Знак"/>
    <w:basedOn w:val="DefaultParagraphFont"/>
    <w:link w:val="phtabletitle1"/>
    <w:qFormat/>
    <w:rPr>
      <w:rFonts w:ascii="Times New Roman" w:hAnsi="Times New Roman" w:cs="Times New Roman"/>
      <w:sz w:val="28"/>
      <w:szCs w:val="24"/>
      <w:lang w:eastAsia="ru-RU"/>
    </w:rPr>
  </w:style>
  <w:style w:type="character" w:styleId="159" w:customStyle="1">
    <w:name w:val="Стиль По ширине Первая строка:  1.59 см Знак"/>
    <w:link w:val="1591"/>
    <w:qFormat/>
    <w:rPr>
      <w:rFonts w:ascii="Times New Roman" w:hAnsi="Times New Roman" w:cs="Times New Roman"/>
      <w:sz w:val="24"/>
      <w:szCs w:val="20"/>
      <w:lang w:eastAsia="ru-RU"/>
    </w:rPr>
  </w:style>
  <w:style w:type="character" w:styleId="docdata" w:customStyle="1">
    <w:name w:val="docdata"/>
    <w:basedOn w:val="DefaultParagraphFont"/>
    <w:qFormat/>
    <w:rsid w:val="00da050f"/>
    <w:rPr/>
  </w:style>
  <w:style w:type="character" w:styleId="Style46" w:customStyle="1">
    <w:name w:val="Без интервала Знак"/>
    <w:basedOn w:val="DefaultParagraphFont"/>
    <w:link w:val="NoSpacing"/>
    <w:uiPriority w:val="1"/>
    <w:qFormat/>
    <w:rsid w:val="00677ad4"/>
    <w:rPr>
      <w:sz w:val="22"/>
      <w:szCs w:val="22"/>
      <w:lang w:eastAsia="en-U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Style34"/>
    <w:uiPriority w:val="99"/>
    <w:unhideWhenUsed/>
    <w:pPr>
      <w:spacing w:before="0" w:after="120"/>
    </w:pPr>
    <w:rPr/>
  </w:style>
  <w:style w:type="paragraph" w:styleId="List">
    <w:name w:val="List"/>
    <w:basedOn w:val="BodyText"/>
    <w:pPr/>
    <w:rPr>
      <w:rFonts w:ascii="Microsoft Sans Serif" w:hAnsi="Microsoft Sans Serif" w:cs="Noto Sans Devanagari"/>
    </w:rPr>
  </w:style>
  <w:style w:type="paragraph" w:styleId="Caption">
    <w:name w:val="caption"/>
    <w:basedOn w:val="Normal"/>
    <w:next w:val="Normal"/>
    <w:link w:val="Style36"/>
    <w:uiPriority w:val="35"/>
    <w:unhideWhenUsed/>
    <w:qFormat/>
    <w:pPr>
      <w:spacing w:lineRule="auto" w:line="240" w:before="0" w:after="200"/>
    </w:pPr>
    <w:rPr>
      <w:i/>
      <w:iCs/>
      <w:color w:themeColor="text2" w:val="44546A"/>
      <w:sz w:val="18"/>
      <w:szCs w:val="18"/>
    </w:rPr>
  </w:style>
  <w:style w:type="paragraph" w:styleId="Index">
    <w:name w:val="Index"/>
    <w:basedOn w:val="Normal"/>
    <w:qFormat/>
    <w:pPr>
      <w:suppressLineNumbers/>
    </w:pPr>
    <w:rPr>
      <w:rFonts w:ascii="Microsoft Sans Serif" w:hAnsi="Microsoft Sans Serif" w:cs="Noto Sans Devanagari"/>
    </w:rPr>
  </w:style>
  <w:style w:type="paragraph" w:styleId="Style47" w:customStyle="1">
    <w:name w:val="_Основной с красной строки"/>
    <w:basedOn w:val="Normal"/>
    <w:link w:val="Style9"/>
    <w:qFormat/>
    <w:pPr>
      <w:widowControl/>
      <w:ind w:firstLine="709"/>
    </w:pPr>
    <w:rPr/>
  </w:style>
  <w:style w:type="paragraph" w:styleId="BalloonText">
    <w:name w:val="Balloon Text"/>
    <w:basedOn w:val="Normal"/>
    <w:link w:val="Style38"/>
    <w:semiHidden/>
    <w:unhideWhenUsed/>
    <w:qFormat/>
    <w:pPr>
      <w:spacing w:lineRule="auto" w:line="240"/>
    </w:pPr>
    <w:rPr>
      <w:rFonts w:ascii="Segoe UI" w:hAnsi="Segoe UI" w:cs="Segoe UI"/>
      <w:sz w:val="18"/>
      <w:szCs w:val="18"/>
    </w:rPr>
  </w:style>
  <w:style w:type="paragraph" w:styleId="EndnoteText">
    <w:name w:val="endnote text"/>
    <w:basedOn w:val="Normal"/>
    <w:link w:val="Style8"/>
    <w:uiPriority w:val="99"/>
    <w:semiHidden/>
    <w:unhideWhenUsed/>
    <w:pPr>
      <w:spacing w:lineRule="auto" w:line="240"/>
    </w:pPr>
    <w:rPr>
      <w:sz w:val="20"/>
    </w:rPr>
  </w:style>
  <w:style w:type="paragraph" w:styleId="CommentText">
    <w:name w:val="annotation text"/>
    <w:basedOn w:val="Normal"/>
    <w:link w:val="Style35"/>
    <w:uiPriority w:val="99"/>
    <w:qFormat/>
    <w:pPr>
      <w:widowControl/>
      <w:spacing w:lineRule="auto" w:line="240" w:before="0" w:after="60"/>
    </w:pPr>
    <w:rPr>
      <w:sz w:val="20"/>
      <w:szCs w:val="20"/>
    </w:rPr>
  </w:style>
  <w:style w:type="paragraph" w:styleId="annotationsubject">
    <w:name w:val="annotation subject"/>
    <w:basedOn w:val="CommentText"/>
    <w:next w:val="CommentText"/>
    <w:link w:val="Style39"/>
    <w:uiPriority w:val="99"/>
    <w:semiHidden/>
    <w:unhideWhenUsed/>
    <w:qFormat/>
    <w:pPr>
      <w:widowControl w:val="false"/>
      <w:spacing w:before="0" w:after="0"/>
    </w:pPr>
    <w:rPr>
      <w:b/>
      <w:bCs/>
    </w:rPr>
  </w:style>
  <w:style w:type="paragraph" w:styleId="DocumentMap">
    <w:name w:val="Document Map"/>
    <w:basedOn w:val="Normal"/>
    <w:link w:val="Style33"/>
    <w:uiPriority w:val="99"/>
    <w:semiHidden/>
    <w:unhideWhenUsed/>
    <w:qFormat/>
    <w:pPr>
      <w:spacing w:lineRule="auto" w:line="240"/>
    </w:pPr>
    <w:rPr>
      <w:rFonts w:ascii="Tahoma" w:hAnsi="Tahoma" w:cs="Tahoma"/>
      <w:sz w:val="16"/>
      <w:szCs w:val="16"/>
    </w:rPr>
  </w:style>
  <w:style w:type="paragraph" w:styleId="FootnoteText">
    <w:name w:val="footnote text"/>
    <w:basedOn w:val="Normal"/>
    <w:link w:val="Style43"/>
    <w:qFormat/>
    <w:pPr>
      <w:spacing w:lineRule="auto" w:line="240"/>
    </w:pPr>
    <w:rPr>
      <w:rFonts w:eastAsia="Calibri"/>
      <w:color w:val="000000"/>
      <w:sz w:val="20"/>
      <w:szCs w:val="20"/>
      <w:lang w:eastAsia="ar-SA"/>
    </w:rPr>
  </w:style>
  <w:style w:type="paragraph" w:styleId="TOC8">
    <w:name w:val="toc 8"/>
    <w:basedOn w:val="Normal"/>
    <w:next w:val="Normal"/>
    <w:uiPriority w:val="39"/>
    <w:pPr>
      <w:ind w:start="1680"/>
    </w:pPr>
    <w:rPr/>
  </w:style>
  <w:style w:type="paragraph" w:styleId="HeaderandFooter">
    <w:name w:val="Header and Footer"/>
    <w:basedOn w:val="Normal"/>
    <w:qFormat/>
    <w:pPr/>
    <w:rPr/>
  </w:style>
  <w:style w:type="paragraph" w:styleId="Header">
    <w:name w:val="header"/>
    <w:basedOn w:val="Normal"/>
    <w:link w:val="Style30"/>
    <w:uiPriority w:val="99"/>
    <w:unhideWhenUsed/>
    <w:qFormat/>
    <w:pPr>
      <w:tabs>
        <w:tab w:val="clear" w:pos="708"/>
        <w:tab w:val="center" w:pos="4677" w:leader="none"/>
        <w:tab w:val="right" w:pos="9355" w:leader="none"/>
      </w:tabs>
      <w:jc w:val="center"/>
    </w:pPr>
    <w:rPr/>
  </w:style>
  <w:style w:type="paragraph" w:styleId="TOC9">
    <w:name w:val="toc 9"/>
    <w:basedOn w:val="Normal"/>
    <w:next w:val="Normal"/>
    <w:uiPriority w:val="39"/>
    <w:pPr>
      <w:ind w:start="1920"/>
    </w:pPr>
    <w:rPr/>
  </w:style>
  <w:style w:type="paragraph" w:styleId="TOC7">
    <w:name w:val="toc 7"/>
    <w:basedOn w:val="Normal"/>
    <w:next w:val="Normal"/>
    <w:uiPriority w:val="39"/>
    <w:pPr>
      <w:ind w:start="1440"/>
    </w:pPr>
    <w:rPr/>
  </w:style>
  <w:style w:type="paragraph" w:styleId="TOC1">
    <w:name w:val="toc 1"/>
    <w:basedOn w:val="Normal"/>
    <w:next w:val="Normal"/>
    <w:uiPriority w:val="39"/>
    <w:unhideWhenUsed/>
    <w:pPr>
      <w:tabs>
        <w:tab w:val="clear" w:pos="708"/>
        <w:tab w:val="right" w:pos="10206" w:leader="dot"/>
      </w:tabs>
      <w:spacing w:lineRule="atLeast" w:line="360" w:before="0" w:after="100"/>
      <w:ind w:end="-1"/>
    </w:pPr>
    <w:rPr/>
  </w:style>
  <w:style w:type="paragraph" w:styleId="TOC6">
    <w:name w:val="toc 6"/>
    <w:basedOn w:val="Normal"/>
    <w:next w:val="Normal"/>
    <w:uiPriority w:val="39"/>
    <w:pPr>
      <w:ind w:start="1200"/>
    </w:pPr>
    <w:rPr/>
  </w:style>
  <w:style w:type="paragraph" w:styleId="TableofFigures">
    <w:name w:val="table of figures"/>
    <w:basedOn w:val="Normal"/>
    <w:next w:val="Normal"/>
    <w:uiPriority w:val="99"/>
    <w:unhideWhenUsed/>
    <w:pPr/>
    <w:rPr/>
  </w:style>
  <w:style w:type="paragraph" w:styleId="TOC3">
    <w:name w:val="toc 3"/>
    <w:basedOn w:val="Normal"/>
    <w:next w:val="Normal"/>
    <w:uiPriority w:val="39"/>
    <w:unhideWhenUsed/>
    <w:pPr>
      <w:tabs>
        <w:tab w:val="clear" w:pos="708"/>
        <w:tab w:val="right" w:pos="10206" w:leader="dot"/>
      </w:tabs>
      <w:spacing w:lineRule="atLeast" w:line="360" w:before="0" w:after="100"/>
      <w:ind w:start="480" w:end="-1"/>
    </w:pPr>
    <w:rPr/>
  </w:style>
  <w:style w:type="paragraph" w:styleId="TOC2">
    <w:name w:val="toc 2"/>
    <w:basedOn w:val="Normal"/>
    <w:next w:val="Normal"/>
    <w:uiPriority w:val="39"/>
    <w:unhideWhenUsed/>
    <w:pPr>
      <w:tabs>
        <w:tab w:val="clear" w:pos="708"/>
        <w:tab w:val="right" w:pos="10206" w:leader="dot"/>
      </w:tabs>
      <w:spacing w:lineRule="atLeast" w:line="360" w:before="0" w:after="100"/>
      <w:ind w:start="240" w:end="-1"/>
    </w:pPr>
    <w:rPr/>
  </w:style>
  <w:style w:type="paragraph" w:styleId="TOC4">
    <w:name w:val="toc 4"/>
    <w:basedOn w:val="Normal"/>
    <w:next w:val="Normal"/>
    <w:uiPriority w:val="39"/>
    <w:pPr>
      <w:ind w:start="720"/>
    </w:pPr>
    <w:rPr/>
  </w:style>
  <w:style w:type="paragraph" w:styleId="TOC5">
    <w:name w:val="toc 5"/>
    <w:basedOn w:val="Normal"/>
    <w:next w:val="Normal"/>
    <w:uiPriority w:val="39"/>
    <w:pPr>
      <w:ind w:start="960"/>
    </w:pPr>
    <w:rPr/>
  </w:style>
  <w:style w:type="paragraph" w:styleId="ListBullet">
    <w:name w:val="List Bullet"/>
    <w:basedOn w:val="Normal"/>
    <w:link w:val="Style31"/>
    <w:pPr>
      <w:widowControl/>
      <w:tabs>
        <w:tab w:val="clear" w:pos="708"/>
        <w:tab w:val="left" w:pos="1134" w:leader="none"/>
      </w:tabs>
      <w:spacing w:before="0" w:after="120"/>
      <w:contextualSpacing/>
    </w:pPr>
    <w:rPr>
      <w:sz w:val="28"/>
    </w:rPr>
  </w:style>
  <w:style w:type="paragraph" w:styleId="ListBullet2">
    <w:name w:val="List Bullet 2"/>
    <w:basedOn w:val="Normal"/>
    <w:uiPriority w:val="99"/>
    <w:semiHidden/>
    <w:unhideWhenUsed/>
    <w:pPr>
      <w:numPr>
        <w:ilvl w:val="0"/>
        <w:numId w:val="3"/>
      </w:numPr>
      <w:spacing w:before="0" w:after="0"/>
      <w:contextualSpacing/>
    </w:pPr>
    <w:rPr/>
  </w:style>
  <w:style w:type="paragraph" w:styleId="Title">
    <w:name w:val="Title"/>
    <w:basedOn w:val="Normal"/>
    <w:next w:val="Normal"/>
    <w:link w:val="Style5"/>
    <w:uiPriority w:val="10"/>
    <w:qFormat/>
    <w:pPr>
      <w:spacing w:before="300" w:after="200"/>
      <w:contextualSpacing/>
    </w:pPr>
    <w:rPr>
      <w:sz w:val="48"/>
      <w:szCs w:val="48"/>
    </w:rPr>
  </w:style>
  <w:style w:type="paragraph" w:styleId="Footer">
    <w:name w:val="footer"/>
    <w:basedOn w:val="Normal"/>
    <w:link w:val="Style32"/>
    <w:uiPriority w:val="99"/>
    <w:unhideWhenUsed/>
    <w:pPr>
      <w:tabs>
        <w:tab w:val="clear" w:pos="708"/>
        <w:tab w:val="center" w:pos="4677" w:leader="none"/>
        <w:tab w:val="right" w:pos="9355" w:leader="none"/>
      </w:tabs>
      <w:spacing w:lineRule="auto" w:line="240"/>
    </w:pPr>
    <w:rPr/>
  </w:style>
  <w:style w:type="paragraph" w:styleId="NormalWeb">
    <w:name w:val="Normal (Web)"/>
    <w:basedOn w:val="Normal"/>
    <w:uiPriority w:val="99"/>
    <w:unhideWhenUsed/>
    <w:qFormat/>
    <w:pPr>
      <w:widowControl/>
      <w:spacing w:lineRule="auto" w:line="240" w:beforeAutospacing="1" w:afterAutospacing="1"/>
      <w:jc w:val="start"/>
    </w:pPr>
    <w:rPr/>
  </w:style>
  <w:style w:type="paragraph" w:styleId="Subtitle">
    <w:name w:val="Subtitle"/>
    <w:basedOn w:val="Normal"/>
    <w:next w:val="Normal"/>
    <w:link w:val="Style6"/>
    <w:uiPriority w:val="11"/>
    <w:qFormat/>
    <w:pPr>
      <w:spacing w:before="200" w:after="200"/>
    </w:pPr>
    <w:rPr/>
  </w:style>
  <w:style w:type="paragraph" w:styleId="NoSpacing">
    <w:name w:val="No Spacing"/>
    <w:link w:val="Style46"/>
    <w:uiPriority w:val="1"/>
    <w:qFormat/>
    <w:pPr>
      <w:widowControl/>
      <w:suppressAutoHyphens w:val="true"/>
      <w:bidi w:val="0"/>
      <w:spacing w:before="0" w:after="0"/>
      <w:jc w:val="start"/>
    </w:pPr>
    <w:rPr>
      <w:rFonts w:ascii="Calibri" w:hAnsi="Calibri" w:eastAsia="Times New Roman" w:cs="Arial" w:asciiTheme="minorHAnsi" w:cstheme="minorBidi" w:hAnsiTheme="minorHAnsi"/>
      <w:color w:val="auto"/>
      <w:kern w:val="0"/>
      <w:sz w:val="22"/>
      <w:szCs w:val="22"/>
      <w:lang w:val="ru-RU" w:eastAsia="en-US" w:bidi="ar-SA"/>
    </w:rPr>
  </w:style>
  <w:style w:type="paragraph" w:styleId="Quote">
    <w:name w:val="Quote"/>
    <w:basedOn w:val="Normal"/>
    <w:next w:val="Normal"/>
    <w:link w:val="2"/>
    <w:uiPriority w:val="29"/>
    <w:qFormat/>
    <w:pPr>
      <w:ind w:start="720" w:end="720"/>
    </w:pPr>
    <w:rPr>
      <w:i/>
    </w:rPr>
  </w:style>
  <w:style w:type="paragraph" w:styleId="IntenseQuote">
    <w:name w:val="Intense Quote"/>
    <w:basedOn w:val="Normal"/>
    <w:next w:val="Normal"/>
    <w:link w:val="Style7"/>
    <w:uiPriority w:val="30"/>
    <w:qFormat/>
    <w:pPr>
      <w:pBdr>
        <w:top w:val="single" w:sz="4" w:space="5" w:color="FFFFFF"/>
        <w:left w:val="single" w:sz="4" w:space="10" w:color="FFFFFF"/>
        <w:bottom w:val="single" w:sz="4" w:space="5" w:color="FFFFFF"/>
        <w:right w:val="single" w:sz="4" w:space="10" w:color="FFFFFF"/>
      </w:pBdr>
      <w:shd w:val="clear" w:color="auto" w:fill="F2F2F2"/>
      <w:ind w:start="720" w:end="720"/>
    </w:pPr>
    <w:rPr>
      <w:i/>
    </w:rPr>
  </w:style>
  <w:style w:type="paragraph" w:styleId="Style48" w:customStyle="1">
    <w:name w:val="_Заголовок без нумерации в оглавлении"/>
    <w:basedOn w:val="Normal"/>
    <w:next w:val="Normal"/>
    <w:qFormat/>
    <w:pPr>
      <w:keepNext w:val="true"/>
      <w:keepLines/>
      <w:pageBreakBefore/>
      <w:widowControl/>
      <w:spacing w:before="240" w:after="240"/>
      <w:jc w:val="center"/>
      <w:outlineLvl w:val="0"/>
    </w:pPr>
    <w:rPr>
      <w:b/>
      <w:caps/>
      <w:sz w:val="28"/>
      <w:szCs w:val="32"/>
    </w:rPr>
  </w:style>
  <w:style w:type="paragraph" w:styleId="Style49" w:customStyle="1">
    <w:name w:val="_Заголовок без нумерации Не в оглавлении"/>
    <w:basedOn w:val="Normal"/>
    <w:next w:val="Normal"/>
    <w:link w:val="Style10"/>
    <w:qFormat/>
    <w:pPr>
      <w:keepNext w:val="true"/>
      <w:keepLines/>
      <w:pageBreakBefore/>
      <w:widowControl/>
      <w:spacing w:before="240" w:after="240"/>
      <w:jc w:val="center"/>
    </w:pPr>
    <w:rPr>
      <w:rFonts w:ascii="Times New Roman Полужирный" w:hAnsi="Times New Roman Полужирный"/>
      <w:b/>
      <w:caps/>
    </w:rPr>
  </w:style>
  <w:style w:type="paragraph" w:styleId="Style50" w:customStyle="1">
    <w:name w:val="_Табл_Заголовок"/>
    <w:basedOn w:val="Normal"/>
    <w:link w:val="Style11"/>
    <w:qFormat/>
    <w:pPr>
      <w:keepNext w:val="true"/>
      <w:widowControl/>
      <w:spacing w:lineRule="auto" w:line="240" w:before="120" w:after="120"/>
      <w:jc w:val="center"/>
    </w:pPr>
    <w:rPr>
      <w:b/>
      <w:szCs w:val="32"/>
    </w:rPr>
  </w:style>
  <w:style w:type="paragraph" w:styleId="Style51" w:customStyle="1">
    <w:name w:val="_Лист_рег _изм_Заголовок"/>
    <w:basedOn w:val="Style50"/>
    <w:next w:val="Normal"/>
    <w:qFormat/>
    <w:pPr/>
    <w:rPr>
      <w:b w:val="false"/>
    </w:rPr>
  </w:style>
  <w:style w:type="paragraph" w:styleId="Style52" w:customStyle="1">
    <w:name w:val="_Лист_рег_изм_Заголовок_столбца"/>
    <w:basedOn w:val="Style50"/>
    <w:qFormat/>
    <w:pPr/>
    <w:rPr>
      <w:b w:val="false"/>
    </w:rPr>
  </w:style>
  <w:style w:type="paragraph" w:styleId="Style53" w:customStyle="1">
    <w:name w:val="_Лист_рег_изм_Ячейки"/>
    <w:basedOn w:val="Normal"/>
    <w:qFormat/>
    <w:pPr>
      <w:widowControl/>
      <w:spacing w:lineRule="auto" w:line="240"/>
      <w:jc w:val="start"/>
    </w:pPr>
    <w:rPr>
      <w:lang w:eastAsia="en-US"/>
    </w:rPr>
  </w:style>
  <w:style w:type="paragraph" w:styleId="14" w:customStyle="1">
    <w:name w:val="_Маркированный список уровня 1"/>
    <w:basedOn w:val="Normal"/>
    <w:link w:val="11"/>
    <w:qFormat/>
    <w:pPr>
      <w:widowControl/>
      <w:numPr>
        <w:ilvl w:val="0"/>
        <w:numId w:val="4"/>
      </w:numPr>
    </w:pPr>
    <w:rPr/>
  </w:style>
  <w:style w:type="paragraph" w:styleId="15" w:customStyle="1">
    <w:name w:val="_Маркированный список уровня 1_Абзац"/>
    <w:basedOn w:val="14"/>
    <w:qFormat/>
    <w:pPr>
      <w:numPr>
        <w:ilvl w:val="0"/>
        <w:numId w:val="0"/>
      </w:numPr>
      <w:ind w:start="1134"/>
    </w:pPr>
    <w:rPr>
      <w:szCs w:val="20"/>
    </w:rPr>
  </w:style>
  <w:style w:type="paragraph" w:styleId="16" w:customStyle="1">
    <w:name w:val="_Маркированный список уровня 1_после таблицы"/>
    <w:basedOn w:val="14"/>
    <w:next w:val="14"/>
    <w:qFormat/>
    <w:pPr>
      <w:spacing w:before="240" w:after="0"/>
    </w:pPr>
    <w:rPr/>
  </w:style>
  <w:style w:type="paragraph" w:styleId="26" w:customStyle="1">
    <w:name w:val="_Маркированный список уровня 2"/>
    <w:basedOn w:val="Normal"/>
    <w:link w:val="22"/>
    <w:qFormat/>
    <w:pPr>
      <w:widowControl/>
      <w:numPr>
        <w:ilvl w:val="0"/>
        <w:numId w:val="5"/>
      </w:numPr>
      <w:spacing w:before="0" w:after="0"/>
      <w:contextualSpacing/>
    </w:pPr>
    <w:rPr/>
  </w:style>
  <w:style w:type="paragraph" w:styleId="27" w:customStyle="1">
    <w:name w:val="_Маркированный список уровня 2_Абзац"/>
    <w:basedOn w:val="26"/>
    <w:qFormat/>
    <w:pPr>
      <w:numPr>
        <w:ilvl w:val="0"/>
        <w:numId w:val="0"/>
      </w:numPr>
      <w:ind w:start="1559"/>
    </w:pPr>
    <w:rPr>
      <w:szCs w:val="20"/>
    </w:rPr>
  </w:style>
  <w:style w:type="paragraph" w:styleId="28" w:customStyle="1">
    <w:name w:val="_Маркированный список уровня 2_после_таблицы"/>
    <w:basedOn w:val="26"/>
    <w:next w:val="26"/>
    <w:qFormat/>
    <w:pPr>
      <w:spacing w:before="240" w:after="0"/>
      <w:contextualSpacing/>
    </w:pPr>
    <w:rPr/>
  </w:style>
  <w:style w:type="paragraph" w:styleId="34" w:customStyle="1">
    <w:name w:val="_Маркированный список уровня 3"/>
    <w:basedOn w:val="Normal"/>
    <w:link w:val="31"/>
    <w:qFormat/>
    <w:pPr>
      <w:widowControl/>
      <w:numPr>
        <w:ilvl w:val="0"/>
        <w:numId w:val="6"/>
      </w:numPr>
    </w:pPr>
    <w:rPr/>
  </w:style>
  <w:style w:type="paragraph" w:styleId="35" w:customStyle="1">
    <w:name w:val="_Маркированный список уровня 3_Абзац"/>
    <w:basedOn w:val="34"/>
    <w:qFormat/>
    <w:pPr>
      <w:numPr>
        <w:ilvl w:val="0"/>
        <w:numId w:val="0"/>
      </w:numPr>
      <w:ind w:start="1985"/>
    </w:pPr>
    <w:rPr>
      <w:szCs w:val="20"/>
    </w:rPr>
  </w:style>
  <w:style w:type="paragraph" w:styleId="43" w:customStyle="1">
    <w:name w:val="_Маркированный список уровня 4"/>
    <w:basedOn w:val="Normal"/>
    <w:qFormat/>
    <w:pPr>
      <w:numPr>
        <w:ilvl w:val="0"/>
        <w:numId w:val="7"/>
      </w:numPr>
    </w:pPr>
    <w:rPr>
      <w:sz w:val="28"/>
    </w:rPr>
  </w:style>
  <w:style w:type="paragraph" w:styleId="17" w:customStyle="1">
    <w:name w:val="_Нумерованный 1"/>
    <w:basedOn w:val="Normal"/>
    <w:link w:val="111"/>
    <w:qFormat/>
    <w:pPr>
      <w:widowControl/>
      <w:numPr>
        <w:ilvl w:val="0"/>
        <w:numId w:val="8"/>
      </w:numPr>
    </w:pPr>
    <w:rPr/>
  </w:style>
  <w:style w:type="paragraph" w:styleId="18" w:customStyle="1">
    <w:name w:val="_Нумерованный 1_Абзац"/>
    <w:basedOn w:val="17"/>
    <w:qFormat/>
    <w:pPr>
      <w:numPr>
        <w:ilvl w:val="0"/>
        <w:numId w:val="0"/>
      </w:numPr>
      <w:ind w:start="1134"/>
    </w:pPr>
    <w:rPr>
      <w:szCs w:val="20"/>
    </w:rPr>
  </w:style>
  <w:style w:type="paragraph" w:styleId="29" w:customStyle="1">
    <w:name w:val="_Нумерованный 2"/>
    <w:basedOn w:val="17"/>
    <w:link w:val="211"/>
    <w:qFormat/>
    <w:pPr/>
    <w:rPr/>
  </w:style>
  <w:style w:type="paragraph" w:styleId="210" w:customStyle="1">
    <w:name w:val="_Нумерованный 2_Абзац"/>
    <w:basedOn w:val="29"/>
    <w:qFormat/>
    <w:pPr>
      <w:numPr>
        <w:ilvl w:val="0"/>
        <w:numId w:val="0"/>
      </w:numPr>
      <w:ind w:start="1701"/>
    </w:pPr>
    <w:rPr>
      <w:szCs w:val="20"/>
    </w:rPr>
  </w:style>
  <w:style w:type="paragraph" w:styleId="36" w:customStyle="1">
    <w:name w:val="_Нумерованный 3"/>
    <w:basedOn w:val="29"/>
    <w:link w:val="32"/>
    <w:qFormat/>
    <w:pPr/>
    <w:rPr/>
  </w:style>
  <w:style w:type="paragraph" w:styleId="Style54" w:customStyle="1">
    <w:name w:val="_Нумерованный_список_литературы"/>
    <w:basedOn w:val="Normal"/>
    <w:qFormat/>
    <w:pPr>
      <w:numPr>
        <w:ilvl w:val="0"/>
        <w:numId w:val="9"/>
      </w:numPr>
    </w:pPr>
    <w:rPr>
      <w:sz w:val="28"/>
    </w:rPr>
  </w:style>
  <w:style w:type="paragraph" w:styleId="Style55" w:customStyle="1">
    <w:name w:val="_Основной перед списком"/>
    <w:basedOn w:val="Style47"/>
    <w:next w:val="14"/>
    <w:link w:val="Style12"/>
    <w:qFormat/>
    <w:pPr>
      <w:keepNext w:val="true"/>
    </w:pPr>
    <w:rPr/>
  </w:style>
  <w:style w:type="paragraph" w:styleId="Style56" w:customStyle="1">
    <w:name w:val="_Основной перед списком после таблицы и рисунка"/>
    <w:basedOn w:val="Style55"/>
    <w:next w:val="14"/>
    <w:qFormat/>
    <w:pPr>
      <w:widowControl w:val="false"/>
      <w:spacing w:before="240" w:after="0"/>
    </w:pPr>
    <w:rPr/>
  </w:style>
  <w:style w:type="paragraph" w:styleId="Style57" w:customStyle="1">
    <w:name w:val="_Основной после таблицы и рисунка"/>
    <w:basedOn w:val="Style47"/>
    <w:next w:val="Style47"/>
    <w:qFormat/>
    <w:pPr>
      <w:spacing w:before="240" w:after="0"/>
    </w:pPr>
    <w:rPr/>
  </w:style>
  <w:style w:type="paragraph" w:styleId="110" w:customStyle="1">
    <w:name w:val="_Перечисление 1"/>
    <w:basedOn w:val="Normal"/>
    <w:qFormat/>
    <w:pPr>
      <w:widowControl/>
      <w:numPr>
        <w:ilvl w:val="0"/>
        <w:numId w:val="10"/>
      </w:numPr>
    </w:pPr>
    <w:rPr>
      <w:sz w:val="28"/>
    </w:rPr>
  </w:style>
  <w:style w:type="paragraph" w:styleId="212" w:customStyle="1">
    <w:name w:val="_Перечисление 2"/>
    <w:basedOn w:val="110"/>
    <w:qFormat/>
    <w:pPr/>
    <w:rPr/>
  </w:style>
  <w:style w:type="paragraph" w:styleId="Style58" w:customStyle="1">
    <w:name w:val="_Приложение_название"/>
    <w:basedOn w:val="Style49"/>
    <w:next w:val="Style47"/>
    <w:qFormat/>
    <w:pPr>
      <w:pageBreakBefore w:val="false"/>
    </w:pPr>
    <w:rPr/>
  </w:style>
  <w:style w:type="paragraph" w:styleId="Style59" w:customStyle="1">
    <w:name w:val="_Приложение_тип"/>
    <w:basedOn w:val="Style47"/>
    <w:next w:val="Style58"/>
    <w:qFormat/>
    <w:pPr>
      <w:keepNext w:val="true"/>
      <w:keepLines/>
      <w:ind w:hanging="0"/>
      <w:jc w:val="center"/>
    </w:pPr>
    <w:rPr>
      <w:i/>
    </w:rPr>
  </w:style>
  <w:style w:type="paragraph" w:styleId="Style60" w:customStyle="1">
    <w:name w:val="_Примечание"/>
    <w:basedOn w:val="Style47"/>
    <w:next w:val="Style47"/>
    <w:qFormat/>
    <w:pPr/>
    <w:rPr/>
  </w:style>
  <w:style w:type="paragraph" w:styleId="Style61" w:customStyle="1">
    <w:name w:val="_Примечание_нумерованное"/>
    <w:basedOn w:val="Style60"/>
    <w:qFormat/>
    <w:pPr>
      <w:numPr>
        <w:ilvl w:val="0"/>
        <w:numId w:val="11"/>
      </w:numPr>
    </w:pPr>
    <w:rPr/>
  </w:style>
  <w:style w:type="paragraph" w:styleId="Style62" w:customStyle="1">
    <w:name w:val="_Рисунок_Картинка"/>
    <w:basedOn w:val="Normal"/>
    <w:next w:val="Normal"/>
    <w:link w:val="Style13"/>
    <w:qFormat/>
    <w:pPr>
      <w:keepNext w:val="true"/>
      <w:spacing w:lineRule="auto" w:line="240" w:before="120" w:after="120"/>
      <w:jc w:val="center"/>
    </w:pPr>
    <w:rPr>
      <w:sz w:val="28"/>
    </w:rPr>
  </w:style>
  <w:style w:type="paragraph" w:styleId="Style63" w:customStyle="1">
    <w:name w:val="_Рисунок_Название"/>
    <w:basedOn w:val="Normal"/>
    <w:next w:val="Style57"/>
    <w:link w:val="Style14"/>
    <w:qFormat/>
    <w:pPr>
      <w:keepLines/>
      <w:widowControl/>
      <w:spacing w:before="120" w:after="240"/>
      <w:jc w:val="center"/>
    </w:pPr>
    <w:rPr>
      <w:bCs/>
      <w:sz w:val="28"/>
      <w:szCs w:val="28"/>
    </w:rPr>
  </w:style>
  <w:style w:type="paragraph" w:styleId="Style64" w:customStyle="1">
    <w:name w:val="_Согласовано"/>
    <w:basedOn w:val="Normal"/>
    <w:link w:val="Style15"/>
    <w:qFormat/>
    <w:pPr>
      <w:spacing w:before="120" w:after="0"/>
      <w:jc w:val="center"/>
    </w:pPr>
    <w:rPr>
      <w:rFonts w:ascii="Times New Roman Полужирный" w:hAnsi="Times New Roman Полужирный"/>
      <w:b/>
      <w:bCs/>
      <w:caps/>
      <w:sz w:val="28"/>
    </w:rPr>
  </w:style>
  <w:style w:type="paragraph" w:styleId="Style65" w:customStyle="1">
    <w:name w:val="_Табл_Авто№"/>
    <w:basedOn w:val="Normal"/>
    <w:next w:val="Normal"/>
    <w:qFormat/>
    <w:pPr>
      <w:widowControl/>
      <w:numPr>
        <w:ilvl w:val="0"/>
        <w:numId w:val="12"/>
      </w:numPr>
      <w:spacing w:lineRule="auto" w:line="240" w:before="0" w:after="0"/>
      <w:contextualSpacing/>
      <w:jc w:val="center"/>
    </w:pPr>
    <w:rPr>
      <w:rFonts w:eastAsia="Calibri"/>
      <w:szCs w:val="20"/>
      <w:lang w:eastAsia="en-US"/>
    </w:rPr>
  </w:style>
  <w:style w:type="paragraph" w:styleId="Style66" w:customStyle="1">
    <w:name w:val="_Табл_Название"/>
    <w:basedOn w:val="Normal"/>
    <w:qFormat/>
    <w:pPr>
      <w:keepNext w:val="true"/>
      <w:spacing w:lineRule="auto" w:line="276" w:before="120" w:after="60"/>
    </w:pPr>
    <w:rPr>
      <w:szCs w:val="20"/>
    </w:rPr>
  </w:style>
  <w:style w:type="paragraph" w:styleId="Style67" w:customStyle="1">
    <w:name w:val="_Табл_Подзаголовок"/>
    <w:basedOn w:val="Normal"/>
    <w:qFormat/>
    <w:pPr>
      <w:keepNext w:val="true"/>
      <w:spacing w:lineRule="auto" w:line="240" w:before="120" w:after="120"/>
      <w:jc w:val="center"/>
    </w:pPr>
    <w:rPr/>
  </w:style>
  <w:style w:type="paragraph" w:styleId="Style68" w:customStyle="1">
    <w:name w:val="_Табл_Текст_лев"/>
    <w:basedOn w:val="Normal"/>
    <w:link w:val="Style16"/>
    <w:qFormat/>
    <w:pPr>
      <w:widowControl/>
      <w:spacing w:lineRule="auto" w:line="240"/>
      <w:jc w:val="start"/>
    </w:pPr>
    <w:rPr>
      <w:szCs w:val="20"/>
    </w:rPr>
  </w:style>
  <w:style w:type="paragraph" w:styleId="112" w:customStyle="1">
    <w:name w:val="_Табл_Текст_Маркир1"/>
    <w:basedOn w:val="Normal"/>
    <w:qFormat/>
    <w:pPr>
      <w:numPr>
        <w:ilvl w:val="0"/>
        <w:numId w:val="13"/>
      </w:numPr>
      <w:spacing w:lineRule="auto" w:line="240"/>
      <w:jc w:val="start"/>
    </w:pPr>
    <w:rPr>
      <w:rFonts w:eastAsia="Calibri"/>
      <w:bCs/>
    </w:rPr>
  </w:style>
  <w:style w:type="paragraph" w:styleId="213" w:customStyle="1">
    <w:name w:val="_Табл_Текст_Маркир2"/>
    <w:basedOn w:val="Normal"/>
    <w:qFormat/>
    <w:pPr>
      <w:numPr>
        <w:ilvl w:val="0"/>
        <w:numId w:val="14"/>
      </w:numPr>
      <w:spacing w:lineRule="auto" w:line="240"/>
    </w:pPr>
    <w:rPr/>
  </w:style>
  <w:style w:type="paragraph" w:styleId="37" w:customStyle="1">
    <w:name w:val="_Табл_Текст_Маркир3"/>
    <w:basedOn w:val="Normal"/>
    <w:qFormat/>
    <w:pPr>
      <w:numPr>
        <w:ilvl w:val="0"/>
        <w:numId w:val="15"/>
      </w:numPr>
      <w:spacing w:lineRule="auto" w:line="240"/>
    </w:pPr>
    <w:rPr/>
  </w:style>
  <w:style w:type="paragraph" w:styleId="113" w:customStyle="1">
    <w:name w:val="_Табл_Текст_Нумеров1"/>
    <w:basedOn w:val="Normal"/>
    <w:qFormat/>
    <w:pPr>
      <w:numPr>
        <w:ilvl w:val="0"/>
        <w:numId w:val="16"/>
      </w:numPr>
      <w:spacing w:lineRule="auto" w:line="240"/>
      <w:jc w:val="start"/>
    </w:pPr>
    <w:rPr/>
  </w:style>
  <w:style w:type="paragraph" w:styleId="214" w:customStyle="1">
    <w:name w:val="_Табл_Текст_Нумеров2"/>
    <w:basedOn w:val="113"/>
    <w:qFormat/>
    <w:pPr/>
    <w:rPr/>
  </w:style>
  <w:style w:type="paragraph" w:styleId="38" w:customStyle="1">
    <w:name w:val="_Табл_Текст_Нумеров3"/>
    <w:basedOn w:val="214"/>
    <w:qFormat/>
    <w:pPr/>
    <w:rPr/>
  </w:style>
  <w:style w:type="paragraph" w:styleId="Style69" w:customStyle="1">
    <w:name w:val="_Табл_Текст_по_ширине"/>
    <w:basedOn w:val="Style68"/>
    <w:qFormat/>
    <w:pPr>
      <w:jc w:val="both"/>
    </w:pPr>
    <w:rPr/>
  </w:style>
  <w:style w:type="paragraph" w:styleId="Style70" w:customStyle="1">
    <w:name w:val="_Табл_Текст_прав"/>
    <w:basedOn w:val="Style68"/>
    <w:qFormat/>
    <w:pPr>
      <w:jc w:val="end"/>
    </w:pPr>
    <w:rPr/>
  </w:style>
  <w:style w:type="paragraph" w:styleId="Style71" w:customStyle="1">
    <w:name w:val="_Табл_Текст_центр"/>
    <w:basedOn w:val="Style68"/>
    <w:qFormat/>
    <w:pPr>
      <w:jc w:val="center"/>
    </w:pPr>
    <w:rPr>
      <w:rFonts w:eastAsia="Calibri"/>
    </w:rPr>
  </w:style>
  <w:style w:type="paragraph" w:styleId="Style72" w:customStyle="1">
    <w:name w:val="_Текст исходного кода"/>
    <w:basedOn w:val="Normal"/>
    <w:qFormat/>
    <w:pPr>
      <w:spacing w:before="240" w:after="240"/>
      <w:contextualSpacing/>
      <w:jc w:val="start"/>
    </w:pPr>
    <w:rPr>
      <w:rFonts w:ascii="Courier New" w:hAnsi="Courier New" w:cs="Courier New"/>
      <w:sz w:val="20"/>
      <w:szCs w:val="20"/>
    </w:rPr>
  </w:style>
  <w:style w:type="paragraph" w:styleId="Style73" w:customStyle="1">
    <w:name w:val="_Текст сноски"/>
    <w:basedOn w:val="Normal"/>
    <w:link w:val="Style17"/>
    <w:qFormat/>
    <w:pPr>
      <w:widowControl/>
      <w:spacing w:lineRule="auto" w:line="240"/>
      <w:jc w:val="start"/>
    </w:pPr>
    <w:rPr>
      <w:bCs/>
      <w:sz w:val="20"/>
      <w:szCs w:val="20"/>
      <w:vertAlign w:val="superscript"/>
    </w:rPr>
  </w:style>
  <w:style w:type="paragraph" w:styleId="Style74" w:customStyle="1">
    <w:name w:val="_Текст таблицы"/>
    <w:basedOn w:val="Normal"/>
    <w:qFormat/>
    <w:pPr>
      <w:widowControl/>
      <w:spacing w:lineRule="auto" w:line="240"/>
    </w:pPr>
    <w:rPr>
      <w:szCs w:val="20"/>
    </w:rPr>
  </w:style>
  <w:style w:type="paragraph" w:styleId="Style75" w:customStyle="1">
    <w:name w:val="_Титул наименование организации"/>
    <w:basedOn w:val="Normal"/>
    <w:link w:val="Style22"/>
    <w:qFormat/>
    <w:pPr>
      <w:jc w:val="center"/>
    </w:pPr>
    <w:rPr>
      <w:sz w:val="28"/>
      <w:szCs w:val="26"/>
    </w:rPr>
  </w:style>
  <w:style w:type="paragraph" w:styleId="Style76" w:customStyle="1">
    <w:name w:val="_Титул_другое"/>
    <w:basedOn w:val="Normal"/>
    <w:qFormat/>
    <w:pPr>
      <w:jc w:val="start"/>
    </w:pPr>
    <w:rPr>
      <w:sz w:val="28"/>
      <w:szCs w:val="28"/>
    </w:rPr>
  </w:style>
  <w:style w:type="paragraph" w:styleId="Style77" w:customStyle="1">
    <w:name w:val="_Титул_Код документа"/>
    <w:basedOn w:val="Normal"/>
    <w:qFormat/>
    <w:pPr>
      <w:widowControl/>
      <w:spacing w:before="240" w:after="240"/>
      <w:jc w:val="center"/>
    </w:pPr>
    <w:rPr>
      <w:rFonts w:ascii="Times New Roman Полужирный" w:hAnsi="Times New Roman Полужирный" w:cs="Arial"/>
      <w:b/>
      <w:caps/>
      <w:sz w:val="28"/>
      <w:szCs w:val="28"/>
      <w:lang w:eastAsia="en-US"/>
    </w:rPr>
  </w:style>
  <w:style w:type="paragraph" w:styleId="Style78" w:customStyle="1">
    <w:name w:val="_Титул_Название системы полное"/>
    <w:basedOn w:val="Normal"/>
    <w:next w:val="Normal"/>
    <w:qFormat/>
    <w:pPr>
      <w:widowControl/>
      <w:spacing w:before="240" w:after="240"/>
      <w:jc w:val="center"/>
    </w:pPr>
    <w:rPr>
      <w:rFonts w:cs="Arial"/>
      <w:b/>
      <w:bCs/>
      <w:sz w:val="32"/>
      <w:szCs w:val="32"/>
      <w:lang w:eastAsia="en-US"/>
    </w:rPr>
  </w:style>
  <w:style w:type="paragraph" w:styleId="Style79" w:customStyle="1">
    <w:name w:val="_Титул_Количество страниц"/>
    <w:basedOn w:val="Style78"/>
    <w:link w:val="Style23"/>
    <w:qFormat/>
    <w:pPr/>
    <w:rPr>
      <w:b w:val="false"/>
      <w:sz w:val="28"/>
      <w:szCs w:val="28"/>
    </w:rPr>
  </w:style>
  <w:style w:type="paragraph" w:styleId="Style80" w:customStyle="1">
    <w:name w:val="_Титул_Москва год"/>
    <w:basedOn w:val="Normal"/>
    <w:link w:val="Style24"/>
    <w:qFormat/>
    <w:pPr>
      <w:spacing w:before="120" w:after="0"/>
      <w:jc w:val="center"/>
    </w:pPr>
    <w:rPr>
      <w:sz w:val="28"/>
      <w:szCs w:val="28"/>
    </w:rPr>
  </w:style>
  <w:style w:type="paragraph" w:styleId="Style81" w:customStyle="1">
    <w:name w:val="_Титул_Название документа"/>
    <w:basedOn w:val="Style78"/>
    <w:link w:val="Style25"/>
    <w:qFormat/>
    <w:pPr/>
    <w:rPr>
      <w:b w:val="false"/>
      <w:caps/>
      <w:sz w:val="28"/>
      <w:szCs w:val="28"/>
    </w:rPr>
  </w:style>
  <w:style w:type="paragraph" w:styleId="Style82" w:customStyle="1">
    <w:name w:val="_Титул_Название системы краткое"/>
    <w:basedOn w:val="Normal"/>
    <w:next w:val="Style76"/>
    <w:qFormat/>
    <w:pPr>
      <w:widowControl/>
      <w:spacing w:before="240" w:after="240"/>
      <w:jc w:val="center"/>
    </w:pPr>
    <w:rPr>
      <w:rFonts w:cs="Arial"/>
      <w:b/>
      <w:sz w:val="28"/>
      <w:szCs w:val="28"/>
      <w:lang w:eastAsia="en-US"/>
    </w:rPr>
  </w:style>
  <w:style w:type="paragraph" w:styleId="Style83" w:customStyle="1">
    <w:name w:val="_Титул_Название системы"/>
    <w:basedOn w:val="Style82"/>
    <w:link w:val="Style26"/>
    <w:qFormat/>
    <w:pPr/>
    <w:rPr>
      <w:rFonts w:ascii="Times New Roman Полужирный" w:hAnsi="Times New Roman Полужирный"/>
      <w:caps/>
    </w:rPr>
  </w:style>
  <w:style w:type="paragraph" w:styleId="Style84" w:customStyle="1">
    <w:name w:val="_Титул_Объект автоматизации"/>
    <w:basedOn w:val="Normal"/>
    <w:link w:val="Style27"/>
    <w:qFormat/>
    <w:pPr>
      <w:widowControl/>
      <w:spacing w:before="240" w:after="240"/>
      <w:jc w:val="center"/>
    </w:pPr>
    <w:rPr>
      <w:rFonts w:ascii="Times New Roman Полужирный" w:hAnsi="Times New Roman Полужирный"/>
      <w:b/>
      <w:caps/>
      <w:sz w:val="28"/>
      <w:szCs w:val="32"/>
    </w:rPr>
  </w:style>
  <w:style w:type="paragraph" w:styleId="Style85" w:customStyle="1">
    <w:name w:val="_Титул_Утвеждаю"/>
    <w:basedOn w:val="Normal"/>
    <w:next w:val="Normal"/>
    <w:qFormat/>
    <w:pPr>
      <w:widowControl/>
      <w:spacing w:lineRule="auto" w:line="240" w:before="0" w:after="120"/>
      <w:jc w:val="start"/>
    </w:pPr>
    <w:rPr>
      <w:sz w:val="28"/>
    </w:rPr>
  </w:style>
  <w:style w:type="paragraph" w:styleId="Style86" w:customStyle="1">
    <w:name w:val="_Титул_штамп"/>
    <w:basedOn w:val="Normal"/>
    <w:qFormat/>
    <w:pPr>
      <w:widowControl/>
      <w:spacing w:lineRule="auto" w:line="240" w:before="0" w:after="120"/>
      <w:jc w:val="start"/>
    </w:pPr>
    <w:rPr>
      <w:caps/>
      <w:szCs w:val="20"/>
    </w:rPr>
  </w:style>
  <w:style w:type="paragraph" w:styleId="Style87" w:customStyle="1">
    <w:name w:val="_Чертеж_подписи в рамке"/>
    <w:link w:val="Style28"/>
    <w:qFormat/>
    <w:pPr>
      <w:widowControl/>
      <w:suppressAutoHyphens w:val="true"/>
      <w:bidi w:val="0"/>
      <w:spacing w:before="0" w:after="0"/>
      <w:jc w:val="center"/>
    </w:pPr>
    <w:rPr>
      <w:rFonts w:ascii="ISOCPEUR" w:hAnsi="ISOCPEUR" w:eastAsia="Times New Roman" w:cs="Times New Roman"/>
      <w:i/>
      <w:color w:val="auto"/>
      <w:kern w:val="0"/>
      <w:sz w:val="18"/>
      <w:szCs w:val="20"/>
      <w:lang w:val="ru-RU" w:eastAsia="ru-RU" w:bidi="ar-SA"/>
    </w:rPr>
  </w:style>
  <w:style w:type="paragraph" w:styleId="Style88" w:customStyle="1">
    <w:name w:val="_Чертеж_децимальный номер"/>
    <w:basedOn w:val="Style87"/>
    <w:link w:val="Style29"/>
    <w:qFormat/>
    <w:pPr/>
    <w:rPr>
      <w:sz w:val="40"/>
      <w:szCs w:val="40"/>
    </w:rPr>
  </w:style>
  <w:style w:type="paragraph" w:styleId="Style89" w:customStyle="1">
    <w:name w:val="_Чертеж_лист"/>
    <w:basedOn w:val="Style87"/>
    <w:qFormat/>
    <w:pPr/>
    <w:rPr/>
  </w:style>
  <w:style w:type="paragraph" w:styleId="Style90" w:customStyle="1">
    <w:name w:val="_Чертеж_номер страницы"/>
    <w:basedOn w:val="Style87"/>
    <w:qFormat/>
    <w:pPr/>
    <w:rPr>
      <w:sz w:val="24"/>
      <w:szCs w:val="24"/>
    </w:rPr>
  </w:style>
  <w:style w:type="paragraph" w:styleId="192" w:customStyle="1">
    <w:name w:val="19_Рамка_Основной"/>
    <w:basedOn w:val="Normal"/>
    <w:link w:val="19"/>
    <w:qFormat/>
    <w:pPr>
      <w:widowControl/>
      <w:jc w:val="center"/>
    </w:pPr>
    <w:rPr>
      <w:rFonts w:ascii="Calibri" w:hAnsi="Calibri" w:eastAsia="Calibri"/>
      <w:sz w:val="18"/>
      <w:szCs w:val="20"/>
    </w:rPr>
  </w:style>
  <w:style w:type="paragraph" w:styleId="193" w:customStyle="1">
    <w:name w:val="19_Рамка_Подписи"/>
    <w:basedOn w:val="Normal"/>
    <w:link w:val="191"/>
    <w:qFormat/>
    <w:pPr>
      <w:widowControl/>
      <w:spacing w:lineRule="auto" w:line="240"/>
      <w:jc w:val="center"/>
    </w:pPr>
    <w:rPr>
      <w:rFonts w:ascii="Calibri" w:hAnsi="Calibri" w:eastAsia="Calibri"/>
      <w:i/>
      <w:sz w:val="18"/>
      <w:szCs w:val="18"/>
    </w:rPr>
  </w:style>
  <w:style w:type="paragraph" w:styleId="phcomment" w:customStyle="1">
    <w:name w:val="ph_comment"/>
    <w:basedOn w:val="Normal"/>
    <w:qFormat/>
    <w:pPr>
      <w:widowControl/>
      <w:ind w:firstLine="720"/>
    </w:pPr>
    <w:rPr>
      <w:color w:val="0000FF"/>
      <w:sz w:val="28"/>
      <w:szCs w:val="20"/>
    </w:rPr>
  </w:style>
  <w:style w:type="paragraph" w:styleId="114" w:customStyle="1">
    <w:name w:val="Заголовок 1 Приложение"/>
    <w:basedOn w:val="Heading1"/>
    <w:next w:val="Style58"/>
    <w:qFormat/>
    <w:pPr>
      <w:numPr>
        <w:ilvl w:val="0"/>
        <w:numId w:val="17"/>
      </w:numPr>
      <w:jc w:val="end"/>
    </w:pPr>
    <w:rPr>
      <w:rFonts w:ascii="Times New Roman Полужирный" w:hAnsi="Times New Roman Полужирный"/>
    </w:rPr>
  </w:style>
  <w:style w:type="paragraph" w:styleId="215" w:customStyle="1">
    <w:name w:val="Заголовок 2 Приложение"/>
    <w:basedOn w:val="Heading2"/>
    <w:next w:val="Style47"/>
    <w:qFormat/>
    <w:pPr>
      <w:numPr>
        <w:ilvl w:val="0"/>
        <w:numId w:val="0"/>
      </w:numPr>
      <w:ind w:start="8506"/>
    </w:pPr>
    <w:rPr>
      <w:rFonts w:cs="Times New Roman"/>
      <w:iCs w:val="false"/>
      <w:spacing w:val="-2"/>
      <w:szCs w:val="24"/>
    </w:rPr>
  </w:style>
  <w:style w:type="paragraph" w:styleId="39" w:customStyle="1">
    <w:name w:val="Заголовок 3 Приложение"/>
    <w:basedOn w:val="Heading3"/>
    <w:next w:val="Style47"/>
    <w:qFormat/>
    <w:pPr>
      <w:numPr>
        <w:ilvl w:val="0"/>
        <w:numId w:val="0"/>
      </w:numPr>
      <w:ind w:start="8506"/>
    </w:pPr>
    <w:rPr>
      <w:rFonts w:cs="Times New Roman"/>
    </w:rPr>
  </w:style>
  <w:style w:type="paragraph" w:styleId="44" w:customStyle="1">
    <w:name w:val="Заголовок 4 Приложение"/>
    <w:basedOn w:val="Heading4"/>
    <w:next w:val="Style47"/>
    <w:qFormat/>
    <w:pPr>
      <w:numPr>
        <w:ilvl w:val="0"/>
        <w:numId w:val="0"/>
      </w:numPr>
      <w:ind w:start="8506"/>
    </w:pPr>
    <w:rPr>
      <w:rFonts w:cs="Times New Roman"/>
    </w:rPr>
  </w:style>
  <w:style w:type="paragraph" w:styleId="52" w:customStyle="1">
    <w:name w:val="Заголовок 5 Приложение"/>
    <w:basedOn w:val="44"/>
    <w:next w:val="Style47"/>
    <w:qFormat/>
    <w:pPr>
      <w:ind w:firstLine="709" w:start="0"/>
    </w:pPr>
    <w:rPr/>
  </w:style>
  <w:style w:type="paragraph" w:styleId="115" w:customStyle="1">
    <w:name w:val="Заголовок оглавления1"/>
    <w:basedOn w:val="Heading1"/>
    <w:next w:val="Normal"/>
    <w:uiPriority w:val="39"/>
    <w:unhideWhenUsed/>
    <w:qFormat/>
    <w:pPr>
      <w:numPr>
        <w:ilvl w:val="0"/>
        <w:numId w:val="0"/>
      </w:numPr>
      <w:spacing w:lineRule="auto" w:line="276"/>
      <w:outlineLvl w:val="9"/>
    </w:pPr>
    <w:rPr/>
  </w:style>
  <w:style w:type="paragraph" w:styleId="Style91" w:customStyle="1">
    <w:name w:val="Чертежный"/>
    <w:qFormat/>
    <w:pPr>
      <w:widowControl/>
      <w:suppressAutoHyphens w:val="true"/>
      <w:bidi w:val="0"/>
      <w:spacing w:before="0" w:after="0"/>
      <w:jc w:val="both"/>
    </w:pPr>
    <w:rPr>
      <w:rFonts w:ascii="ISOCPEUR" w:hAnsi="ISOCPEUR" w:eastAsia="Times New Roman" w:cs="Times New Roman"/>
      <w:i/>
      <w:color w:val="auto"/>
      <w:kern w:val="0"/>
      <w:sz w:val="28"/>
      <w:szCs w:val="20"/>
      <w:lang w:val="uk-UA" w:eastAsia="ru-RU" w:bidi="ar-SA"/>
    </w:rPr>
  </w:style>
  <w:style w:type="paragraph" w:styleId="Style92" w:customStyle="1">
    <w:name w:val="Штамп"/>
    <w:basedOn w:val="Normal"/>
    <w:qFormat/>
    <w:pPr>
      <w:widowControl/>
      <w:spacing w:lineRule="auto" w:line="240"/>
      <w:jc w:val="center"/>
    </w:pPr>
    <w:rPr>
      <w:rFonts w:ascii="GOST type A" w:hAnsi="GOST type A"/>
      <w:i/>
      <w:sz w:val="18"/>
      <w:szCs w:val="20"/>
    </w:rPr>
  </w:style>
  <w:style w:type="paragraph" w:styleId="Head11" w:customStyle="1">
    <w:name w:val="Head1"/>
    <w:next w:val="Normal"/>
    <w:link w:val="Head1"/>
    <w:uiPriority w:val="99"/>
    <w:qFormat/>
    <w:pPr>
      <w:keepNext w:val="true"/>
      <w:widowControl/>
      <w:numPr>
        <w:ilvl w:val="0"/>
        <w:numId w:val="18"/>
      </w:numPr>
      <w:suppressAutoHyphens w:val="true"/>
      <w:bidi w:val="0"/>
      <w:spacing w:before="480" w:after="120"/>
      <w:jc w:val="both"/>
      <w:outlineLvl w:val="0"/>
    </w:pPr>
    <w:rPr>
      <w:rFonts w:ascii="Times New Roman" w:hAnsi="Times New Roman" w:eastAsia="Times New Roman" w:cs="Times New Roman"/>
      <w:b/>
      <w:bCs/>
      <w:color w:val="auto"/>
      <w:kern w:val="0"/>
      <w:sz w:val="32"/>
      <w:szCs w:val="32"/>
      <w:lang w:val="ru-RU" w:eastAsia="ru-RU" w:bidi="ar-SA"/>
    </w:rPr>
  </w:style>
  <w:style w:type="paragraph" w:styleId="Head21" w:customStyle="1">
    <w:name w:val="Head2"/>
    <w:next w:val="Normal"/>
    <w:link w:val="Head2"/>
    <w:qFormat/>
    <w:pPr>
      <w:keepNext w:val="true"/>
      <w:widowControl/>
      <w:numPr>
        <w:ilvl w:val="1"/>
        <w:numId w:val="18"/>
      </w:numPr>
      <w:suppressAutoHyphens w:val="true"/>
      <w:bidi w:val="0"/>
      <w:spacing w:before="120" w:after="120"/>
      <w:jc w:val="both"/>
      <w:outlineLvl w:val="1"/>
    </w:pPr>
    <w:rPr>
      <w:rFonts w:ascii="Times New Roman" w:hAnsi="Times New Roman" w:eastAsia="Calibri" w:cs="Times New Roman"/>
      <w:b/>
      <w:bCs/>
      <w:color w:val="auto"/>
      <w:kern w:val="0"/>
      <w:sz w:val="28"/>
      <w:szCs w:val="28"/>
      <w:lang w:val="ru-RU" w:eastAsia="ru-RU" w:bidi="ar-SA"/>
    </w:rPr>
  </w:style>
  <w:style w:type="paragraph" w:styleId="Head31" w:customStyle="1">
    <w:name w:val="Head3"/>
    <w:next w:val="Normal"/>
    <w:link w:val="Head3"/>
    <w:uiPriority w:val="99"/>
    <w:qFormat/>
    <w:pPr>
      <w:keepNext w:val="true"/>
      <w:keepLines/>
      <w:widowControl/>
      <w:numPr>
        <w:ilvl w:val="2"/>
        <w:numId w:val="18"/>
      </w:numPr>
      <w:suppressAutoHyphens w:val="true"/>
      <w:bidi w:val="0"/>
      <w:spacing w:before="120" w:after="120"/>
      <w:jc w:val="both"/>
      <w:outlineLvl w:val="2"/>
    </w:pPr>
    <w:rPr>
      <w:rFonts w:ascii="Times New Roman" w:hAnsi="Times New Roman" w:eastAsia="Calibri" w:cs="Times New Roman"/>
      <w:b/>
      <w:bCs/>
      <w:color w:val="auto"/>
      <w:kern w:val="0"/>
      <w:sz w:val="28"/>
      <w:szCs w:val="28"/>
      <w:lang w:val="ru-RU" w:eastAsia="ru-RU" w:bidi="ar-SA"/>
    </w:rPr>
  </w:style>
  <w:style w:type="paragraph" w:styleId="Head4" w:customStyle="1">
    <w:name w:val="Head4"/>
    <w:next w:val="Normal"/>
    <w:uiPriority w:val="99"/>
    <w:qFormat/>
    <w:pPr>
      <w:keepNext w:val="true"/>
      <w:widowControl/>
      <w:numPr>
        <w:ilvl w:val="3"/>
        <w:numId w:val="18"/>
      </w:numPr>
      <w:suppressAutoHyphens w:val="true"/>
      <w:bidi w:val="0"/>
      <w:spacing w:before="120" w:after="120"/>
      <w:jc w:val="both"/>
      <w:outlineLvl w:val="3"/>
    </w:pPr>
    <w:rPr>
      <w:rFonts w:ascii="Times New Roman" w:hAnsi="Times New Roman" w:eastAsia="Times New Roman" w:cs="Times New Roman"/>
      <w:b/>
      <w:bCs/>
      <w:color w:val="auto"/>
      <w:kern w:val="0"/>
      <w:sz w:val="24"/>
      <w:szCs w:val="24"/>
      <w:lang w:val="ru-RU" w:eastAsia="ru-RU" w:bidi="ar-SA"/>
    </w:rPr>
  </w:style>
  <w:style w:type="paragraph" w:styleId="Head5" w:customStyle="1">
    <w:name w:val="Head5"/>
    <w:next w:val="Normal"/>
    <w:qFormat/>
    <w:pPr>
      <w:keepNext w:val="true"/>
      <w:widowControl/>
      <w:numPr>
        <w:ilvl w:val="4"/>
        <w:numId w:val="18"/>
      </w:numPr>
      <w:suppressAutoHyphens w:val="true"/>
      <w:bidi w:val="0"/>
      <w:spacing w:before="120" w:after="120"/>
      <w:jc w:val="both"/>
      <w:outlineLvl w:val="4"/>
    </w:pPr>
    <w:rPr>
      <w:rFonts w:ascii="Times New Roman" w:hAnsi="Times New Roman" w:eastAsia="Times New Roman" w:cs="Times New Roman"/>
      <w:b/>
      <w:iCs/>
      <w:color w:val="auto"/>
      <w:kern w:val="0"/>
      <w:sz w:val="24"/>
      <w:szCs w:val="24"/>
      <w:lang w:val="ru-RU" w:eastAsia="ru-RU" w:bidi="ar-SA"/>
    </w:rPr>
  </w:style>
  <w:style w:type="paragraph" w:styleId="TableInscription" w:customStyle="1">
    <w:name w:val="TableInscription"/>
    <w:next w:val="Normal"/>
    <w:qFormat/>
    <w:pPr>
      <w:keepNext w:val="true"/>
      <w:widowControl/>
      <w:numPr>
        <w:ilvl w:val="8"/>
        <w:numId w:val="18"/>
      </w:numPr>
      <w:suppressAutoHyphens w:val="true"/>
      <w:bidi w:val="0"/>
      <w:spacing w:before="240" w:after="120"/>
      <w:jc w:val="start"/>
    </w:pPr>
    <w:rPr>
      <w:rFonts w:ascii="Times New Roman" w:hAnsi="Times New Roman" w:eastAsia="Times New Roman" w:cs="Times New Roman"/>
      <w:color w:val="auto"/>
      <w:kern w:val="0"/>
      <w:sz w:val="24"/>
      <w:szCs w:val="20"/>
      <w:lang w:val="ru-RU" w:eastAsia="ru-RU" w:bidi="ar-SA"/>
    </w:rPr>
  </w:style>
  <w:style w:type="paragraph" w:styleId="Head6" w:customStyle="1">
    <w:name w:val="Head6"/>
    <w:next w:val="Normal"/>
    <w:qFormat/>
    <w:pPr>
      <w:widowControl/>
      <w:numPr>
        <w:ilvl w:val="6"/>
        <w:numId w:val="18"/>
      </w:numPr>
      <w:suppressAutoHyphens w:val="true"/>
      <w:bidi w:val="0"/>
      <w:spacing w:before="0" w:after="0"/>
      <w:jc w:val="start"/>
    </w:pPr>
    <w:rPr>
      <w:rFonts w:ascii="Times New Roman" w:hAnsi="Times New Roman" w:eastAsia="Times New Roman" w:cs="Times New Roman"/>
      <w:b/>
      <w:i/>
      <w:color w:val="auto"/>
      <w:kern w:val="0"/>
      <w:sz w:val="22"/>
      <w:szCs w:val="24"/>
      <w:lang w:val="ru-RU" w:eastAsia="ru-RU" w:bidi="ar-SA"/>
    </w:rPr>
  </w:style>
  <w:style w:type="paragraph" w:styleId="Style93" w:customStyle="1">
    <w:name w:val="текст"/>
    <w:basedOn w:val="BodyText"/>
    <w:link w:val="Char"/>
    <w:qFormat/>
    <w:pPr>
      <w:widowControl/>
      <w:spacing w:before="0" w:after="0"/>
      <w:ind w:firstLine="720"/>
    </w:pPr>
    <w:rPr>
      <w:szCs w:val="20"/>
    </w:rPr>
  </w:style>
  <w:style w:type="paragraph" w:styleId="ListParagraph">
    <w:name w:val="List Paragraph"/>
    <w:basedOn w:val="Normal"/>
    <w:link w:val="Style37"/>
    <w:uiPriority w:val="34"/>
    <w:qFormat/>
    <w:pPr>
      <w:widowControl/>
      <w:spacing w:lineRule="auto" w:line="240" w:before="0" w:after="60"/>
      <w:ind w:start="708"/>
    </w:pPr>
    <w:rPr/>
  </w:style>
  <w:style w:type="paragraph" w:styleId="ItemizedList11" w:customStyle="1">
    <w:name w:val="ItemizedList1"/>
    <w:basedOn w:val="Normal"/>
    <w:link w:val="ItemizedList1"/>
    <w:qFormat/>
    <w:pPr>
      <w:widowControl/>
      <w:numPr>
        <w:ilvl w:val="0"/>
        <w:numId w:val="19"/>
      </w:numPr>
      <w:spacing w:lineRule="auto" w:line="240" w:before="120" w:after="120"/>
    </w:pPr>
    <w:rPr>
      <w:rFonts w:eastAsia="Calibri"/>
    </w:rPr>
  </w:style>
  <w:style w:type="paragraph" w:styleId="116" w:customStyle="1">
    <w:name w:val="Рецензия1"/>
    <w:uiPriority w:val="99"/>
    <w:semiHidden/>
    <w:qFormat/>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Style94" w:customStyle="1">
    <w:name w:val="Макрированный список"/>
    <w:basedOn w:val="Normal"/>
    <w:qFormat/>
    <w:pPr>
      <w:widowControl/>
      <w:numPr>
        <w:ilvl w:val="0"/>
        <w:numId w:val="20"/>
      </w:numPr>
      <w:spacing w:lineRule="auto" w:line="240" w:before="80" w:after="80"/>
    </w:pPr>
    <w:rPr>
      <w:szCs w:val="20"/>
    </w:rPr>
  </w:style>
  <w:style w:type="paragraph" w:styleId="TitulSGeneral14" w:customStyle="1">
    <w:name w:val="Titul_Стиль _S_General + 14 пт"/>
    <w:basedOn w:val="Normal"/>
    <w:uiPriority w:val="99"/>
    <w:qFormat/>
    <w:pPr>
      <w:widowControl/>
      <w:spacing w:before="120" w:after="160"/>
      <w:ind w:firstLine="709"/>
    </w:pPr>
    <w:rPr>
      <w:rFonts w:eastAsia="Calibri"/>
      <w:sz w:val="28"/>
      <w:lang w:val="en-US"/>
    </w:rPr>
  </w:style>
  <w:style w:type="paragraph" w:styleId="SGeneral1" w:customStyle="1">
    <w:name w:val="_S_General"/>
    <w:basedOn w:val="Normal"/>
    <w:link w:val="SGeneral"/>
    <w:qFormat/>
    <w:pPr>
      <w:spacing w:before="0" w:after="160"/>
      <w:ind w:firstLine="720"/>
    </w:pPr>
    <w:rPr>
      <w:rFonts w:eastAsia="Calibri"/>
      <w:sz w:val="28"/>
      <w:lang w:eastAsia="en-US"/>
    </w:rPr>
  </w:style>
  <w:style w:type="paragraph" w:styleId="Style95" w:customStyle="1">
    <w:name w:val="_осн. с красной строки"/>
    <w:basedOn w:val="Normal"/>
    <w:link w:val="Style40"/>
    <w:qFormat/>
    <w:pPr>
      <w:keepLines/>
      <w:ind w:firstLine="709"/>
    </w:pPr>
    <w:rPr>
      <w:rFonts w:eastAsia="Calibri"/>
      <w:color w:val="000000"/>
      <w:sz w:val="28"/>
      <w:szCs w:val="28"/>
      <w:shd w:fill="FFFFFF" w:val="clear"/>
      <w:lang w:eastAsia="ar-SA"/>
    </w:rPr>
  </w:style>
  <w:style w:type="paragraph" w:styleId="216" w:customStyle="1">
    <w:name w:val="Маркированный 2"/>
    <w:basedOn w:val="Normal"/>
    <w:qFormat/>
    <w:pPr>
      <w:tabs>
        <w:tab w:val="clear" w:pos="708"/>
        <w:tab w:val="left" w:pos="2880" w:leader="none"/>
      </w:tabs>
      <w:spacing w:before="120" w:after="0"/>
      <w:ind w:hanging="1440" w:start="2880"/>
    </w:pPr>
    <w:rPr>
      <w:rFonts w:eastAsia="Calibri"/>
      <w:color w:val="000000"/>
      <w:szCs w:val="16"/>
      <w:lang w:eastAsia="en-US"/>
    </w:rPr>
  </w:style>
  <w:style w:type="paragraph" w:styleId="PlainText1" w:customStyle="1">
    <w:name w:val="PlainText"/>
    <w:link w:val="PlainText"/>
    <w:qFormat/>
    <w:pPr>
      <w:widowControl/>
      <w:suppressAutoHyphens w:val="true"/>
      <w:bidi w:val="0"/>
      <w:spacing w:before="120" w:after="0"/>
      <w:ind w:firstLine="567"/>
      <w:jc w:val="both"/>
    </w:pPr>
    <w:rPr>
      <w:rFonts w:ascii="Times New Roman" w:hAnsi="Times New Roman" w:eastAsia="Times New Roman" w:cs="Times New Roman"/>
      <w:color w:val="auto"/>
      <w:kern w:val="0"/>
      <w:sz w:val="24"/>
      <w:szCs w:val="24"/>
      <w:lang w:val="ru-RU" w:eastAsia="ru-RU" w:bidi="ar-SA"/>
    </w:rPr>
  </w:style>
  <w:style w:type="paragraph" w:styleId="TableTitle1" w:customStyle="1">
    <w:name w:val="TableTitle"/>
    <w:basedOn w:val="PlainText1"/>
    <w:link w:val="TableTitle"/>
    <w:qFormat/>
    <w:pPr>
      <w:keepNext w:val="true"/>
      <w:ind w:hanging="0"/>
      <w:jc w:val="center"/>
    </w:pPr>
    <w:rPr>
      <w:b/>
      <w:bCs/>
    </w:rPr>
  </w:style>
  <w:style w:type="paragraph" w:styleId="western1" w:customStyle="1">
    <w:name w:val="western1"/>
    <w:basedOn w:val="Normal"/>
    <w:qFormat/>
    <w:pPr>
      <w:widowControl/>
      <w:spacing w:beforeAutospacing="1" w:after="0"/>
    </w:pPr>
    <w:rPr>
      <w:color w:val="000000"/>
    </w:rPr>
  </w:style>
  <w:style w:type="paragraph" w:styleId="217" w:customStyle="1">
    <w:name w:val="!Пункт.2"/>
    <w:basedOn w:val="Heading2"/>
    <w:link w:val="23"/>
    <w:qFormat/>
    <w:pPr>
      <w:numPr>
        <w:ilvl w:val="0"/>
        <w:numId w:val="0"/>
      </w:numPr>
      <w:spacing w:before="120" w:after="120"/>
      <w:ind w:hanging="360" w:start="2574"/>
      <w:outlineLvl w:val="9"/>
    </w:pPr>
    <w:rPr>
      <w:rFonts w:cs="Times New Roman"/>
      <w:b w:val="false"/>
      <w:bCs w:val="false"/>
      <w:sz w:val="28"/>
    </w:rPr>
  </w:style>
  <w:style w:type="paragraph" w:styleId="Style96" w:customStyle="1">
    <w:name w:val="Основной перечень"/>
    <w:basedOn w:val="Normal"/>
    <w:qFormat/>
    <w:pPr>
      <w:widowControl/>
      <w:numPr>
        <w:ilvl w:val="0"/>
        <w:numId w:val="21"/>
      </w:numPr>
    </w:pPr>
    <w:rPr>
      <w:rFonts w:eastAsia="Calibri"/>
      <w:bCs/>
      <w:color w:val="000000"/>
      <w:sz w:val="28"/>
      <w:szCs w:val="28"/>
      <w:lang w:val="en-US" w:eastAsia="ar-SA"/>
    </w:rPr>
  </w:style>
  <w:style w:type="paragraph" w:styleId="218" w:customStyle="1">
    <w:name w:val="_Пункт_2"/>
    <w:basedOn w:val="Heading3"/>
    <w:link w:val="24"/>
    <w:qFormat/>
    <w:pPr>
      <w:keepNext w:val="false"/>
      <w:keepLines w:val="false"/>
      <w:numPr>
        <w:ilvl w:val="2"/>
        <w:numId w:val="1"/>
      </w:numPr>
      <w:spacing w:before="0" w:after="0"/>
      <w:ind w:start="0"/>
    </w:pPr>
    <w:rPr>
      <w:bCs/>
      <w:sz w:val="28"/>
    </w:rPr>
  </w:style>
  <w:style w:type="paragraph" w:styleId="310" w:customStyle="1">
    <w:name w:val="_Пункт_3"/>
    <w:basedOn w:val="Heading4"/>
    <w:qFormat/>
    <w:pPr>
      <w:keepNext w:val="false"/>
      <w:keepLines w:val="false"/>
      <w:numPr>
        <w:ilvl w:val="3"/>
        <w:numId w:val="1"/>
      </w:numPr>
      <w:spacing w:before="0" w:after="0"/>
    </w:pPr>
    <w:rPr>
      <w:b w:val="false"/>
    </w:rPr>
  </w:style>
  <w:style w:type="paragraph" w:styleId="Style97" w:customStyle="1">
    <w:name w:val="Маркированный список с отступом"/>
    <w:basedOn w:val="Normal"/>
    <w:qFormat/>
    <w:pPr>
      <w:widowControl/>
      <w:numPr>
        <w:ilvl w:val="0"/>
        <w:numId w:val="22"/>
      </w:numPr>
    </w:pPr>
    <w:rPr>
      <w:sz w:val="28"/>
    </w:rPr>
  </w:style>
  <w:style w:type="paragraph" w:styleId="117" w:customStyle="1">
    <w:name w:val="_Пункт_1"/>
    <w:basedOn w:val="Heading2"/>
    <w:qFormat/>
    <w:pPr>
      <w:keepNext w:val="false"/>
      <w:keepLines w:val="false"/>
      <w:numPr>
        <w:ilvl w:val="1"/>
        <w:numId w:val="1"/>
      </w:numPr>
      <w:spacing w:before="0" w:after="0"/>
    </w:pPr>
    <w:rPr>
      <w:b w:val="false"/>
      <w:sz w:val="28"/>
    </w:rPr>
  </w:style>
  <w:style w:type="paragraph" w:styleId="45" w:customStyle="1">
    <w:name w:val="_Пункт_4"/>
    <w:basedOn w:val="Heading5"/>
    <w:qFormat/>
    <w:pPr>
      <w:keepNext w:val="false"/>
      <w:keepLines w:val="false"/>
      <w:numPr>
        <w:ilvl w:val="4"/>
        <w:numId w:val="1"/>
      </w:numPr>
      <w:spacing w:before="0" w:after="0"/>
    </w:pPr>
    <w:rPr>
      <w:b w:val="false"/>
    </w:rPr>
  </w:style>
  <w:style w:type="paragraph" w:styleId="53" w:customStyle="1">
    <w:name w:val="_Пункт_5"/>
    <w:basedOn w:val="Heading6"/>
    <w:qFormat/>
    <w:pPr>
      <w:keepNext w:val="false"/>
      <w:keepLines w:val="false"/>
      <w:numPr>
        <w:ilvl w:val="5"/>
        <w:numId w:val="1"/>
      </w:numPr>
      <w:spacing w:before="0" w:after="0"/>
    </w:pPr>
    <w:rPr>
      <w:b w:val="false"/>
    </w:rPr>
  </w:style>
  <w:style w:type="paragraph" w:styleId="61" w:customStyle="1">
    <w:name w:val="_Пункт_6"/>
    <w:basedOn w:val="Heading7"/>
    <w:qFormat/>
    <w:pPr>
      <w:keepNext w:val="false"/>
      <w:keepLines w:val="false"/>
      <w:numPr>
        <w:ilvl w:val="6"/>
        <w:numId w:val="1"/>
      </w:numPr>
      <w:spacing w:before="0" w:after="0"/>
    </w:pPr>
    <w:rPr>
      <w:b w:val="false"/>
    </w:rPr>
  </w:style>
  <w:style w:type="paragraph" w:styleId="72" w:customStyle="1">
    <w:name w:val="_Пункт_7"/>
    <w:basedOn w:val="Heading8"/>
    <w:qFormat/>
    <w:pPr>
      <w:keepNext w:val="false"/>
      <w:keepLines w:val="false"/>
      <w:numPr>
        <w:ilvl w:val="7"/>
        <w:numId w:val="1"/>
      </w:numPr>
      <w:spacing w:before="0" w:after="0"/>
    </w:pPr>
    <w:rPr>
      <w:b w:val="false"/>
    </w:rPr>
  </w:style>
  <w:style w:type="paragraph" w:styleId="82" w:customStyle="1">
    <w:name w:val="_Пункт_8"/>
    <w:basedOn w:val="Heading9"/>
    <w:qFormat/>
    <w:pPr>
      <w:keepNext w:val="false"/>
      <w:keepLines w:val="false"/>
      <w:numPr>
        <w:ilvl w:val="0"/>
        <w:numId w:val="0"/>
      </w:numPr>
      <w:spacing w:before="0" w:after="0"/>
      <w:ind w:firstLine="709"/>
    </w:pPr>
    <w:rPr>
      <w:b w:val="false"/>
    </w:rPr>
  </w:style>
  <w:style w:type="paragraph" w:styleId="46" w:customStyle="1">
    <w:name w:val="!Пункт.4"/>
    <w:basedOn w:val="Heading4"/>
    <w:link w:val="41"/>
    <w:qFormat/>
    <w:pPr>
      <w:numPr>
        <w:ilvl w:val="0"/>
        <w:numId w:val="0"/>
      </w:numPr>
      <w:spacing w:before="120" w:after="120"/>
    </w:pPr>
    <w:rPr>
      <w:b w:val="false"/>
      <w:bCs w:val="false"/>
      <w:lang w:eastAsia="en-US"/>
    </w:rPr>
  </w:style>
  <w:style w:type="paragraph" w:styleId="118" w:customStyle="1">
    <w:name w:val="!Список.1"/>
    <w:basedOn w:val="217"/>
    <w:link w:val="12"/>
    <w:qFormat/>
    <w:pPr>
      <w:keepNext w:val="false"/>
      <w:numPr>
        <w:ilvl w:val="0"/>
        <w:numId w:val="23"/>
      </w:numPr>
      <w:spacing w:before="0" w:after="0"/>
      <w:ind w:hanging="357"/>
    </w:pPr>
    <w:rPr>
      <w:rFonts w:cs="Arial" w:cstheme="minorBidi"/>
      <w:lang w:eastAsia="en-US" w:bidi="ru-RU"/>
    </w:rPr>
  </w:style>
  <w:style w:type="paragraph" w:styleId="47" w:customStyle="1">
    <w:name w:val="!Заг.4"/>
    <w:basedOn w:val="Heading4"/>
    <w:link w:val="42"/>
    <w:qFormat/>
    <w:pPr>
      <w:numPr>
        <w:ilvl w:val="0"/>
        <w:numId w:val="0"/>
      </w:numPr>
      <w:spacing w:before="120" w:after="120"/>
    </w:pPr>
    <w:rPr>
      <w:szCs w:val="28"/>
      <w:lang w:eastAsia="en-US"/>
    </w:rPr>
  </w:style>
  <w:style w:type="paragraph" w:styleId="54" w:customStyle="1">
    <w:name w:val="!Пункт.5"/>
    <w:basedOn w:val="Heading5"/>
    <w:link w:val="51"/>
    <w:qFormat/>
    <w:pPr>
      <w:keepNext w:val="false"/>
      <w:numPr>
        <w:ilvl w:val="0"/>
        <w:numId w:val="0"/>
      </w:numPr>
      <w:spacing w:before="120" w:after="120"/>
    </w:pPr>
    <w:rPr>
      <w:b w:val="false"/>
      <w:bCs w:val="false"/>
      <w:lang w:eastAsia="en-US"/>
    </w:rPr>
  </w:style>
  <w:style w:type="paragraph" w:styleId="Style98" w:customStyle="1">
    <w:name w:val="!Обычный с красной строки"/>
    <w:basedOn w:val="Normal"/>
    <w:link w:val="Style41"/>
    <w:qFormat/>
    <w:pPr>
      <w:widowControl/>
      <w:ind w:firstLine="851"/>
    </w:pPr>
    <w:rPr>
      <w:rFonts w:cs="Arial" w:cstheme="minorBidi"/>
      <w:sz w:val="28"/>
      <w:lang w:eastAsia="en-US"/>
    </w:rPr>
  </w:style>
  <w:style w:type="paragraph" w:styleId="LO-normal" w:customStyle="1">
    <w:name w:val="LO-normal"/>
    <w:qFormat/>
    <w:pPr>
      <w:widowControl w:val="false"/>
      <w:suppressAutoHyphens w:val="true"/>
      <w:bidi w:val="0"/>
      <w:spacing w:lineRule="auto" w:line="360" w:before="0" w:after="0"/>
      <w:jc w:val="both"/>
    </w:pPr>
    <w:rPr>
      <w:rFonts w:ascii="Times New Roman" w:hAnsi="Times New Roman" w:eastAsia="NSimSun" w:cs="Mangal"/>
      <w:color w:val="auto"/>
      <w:kern w:val="0"/>
      <w:sz w:val="24"/>
      <w:szCs w:val="24"/>
      <w:lang w:val="ru-RU" w:eastAsia="zh-CN" w:bidi="hi-IN"/>
    </w:rPr>
  </w:style>
  <w:style w:type="paragraph" w:styleId="Style99" w:customStyle="1">
    <w:name w:val="Табл"/>
    <w:basedOn w:val="Normal"/>
    <w:qFormat/>
    <w:pPr>
      <w:widowControl/>
      <w:spacing w:lineRule="auto" w:line="240"/>
      <w:jc w:val="start"/>
    </w:pPr>
    <w:rPr>
      <w:szCs w:val="20"/>
    </w:rPr>
  </w:style>
  <w:style w:type="paragraph" w:styleId="phtitlepagesystemfull" w:customStyle="1">
    <w:name w:val="ph_titlepage_system_full"/>
    <w:basedOn w:val="Normal"/>
    <w:next w:val="Normal"/>
    <w:qFormat/>
    <w:pPr>
      <w:widowControl/>
      <w:spacing w:before="0" w:after="120"/>
      <w:jc w:val="center"/>
    </w:pPr>
    <w:rPr>
      <w:rFonts w:ascii="Arial" w:hAnsi="Arial" w:cs="Arial"/>
      <w:b/>
      <w:bCs/>
      <w:sz w:val="32"/>
      <w:szCs w:val="32"/>
      <w:lang w:eastAsia="en-US"/>
    </w:rPr>
  </w:style>
  <w:style w:type="paragraph" w:styleId="219" w:customStyle="1">
    <w:name w:val="!Заг.2"/>
    <w:basedOn w:val="217"/>
    <w:link w:val="25"/>
    <w:qFormat/>
    <w:pPr>
      <w:tabs>
        <w:tab w:val="clear" w:pos="708"/>
        <w:tab w:val="left" w:pos="1701" w:leader="none"/>
      </w:tabs>
      <w:ind w:hanging="567" w:start="1701"/>
      <w:outlineLvl w:val="1"/>
    </w:pPr>
    <w:rPr>
      <w:b/>
      <w:bCs/>
    </w:rPr>
  </w:style>
  <w:style w:type="paragraph" w:styleId="220" w:customStyle="1">
    <w:name w:val="!Список.2"/>
    <w:basedOn w:val="118"/>
    <w:qFormat/>
    <w:pPr>
      <w:numPr>
        <w:ilvl w:val="0"/>
        <w:numId w:val="0"/>
      </w:numPr>
      <w:ind w:hanging="360" w:start="2149"/>
    </w:pPr>
    <w:rPr/>
  </w:style>
  <w:style w:type="paragraph" w:styleId="Style100" w:customStyle="1">
    <w:name w:val="!Таб.Текст"/>
    <w:basedOn w:val="Normal"/>
    <w:link w:val="Style42"/>
    <w:qFormat/>
    <w:pPr>
      <w:widowControl/>
      <w:spacing w:lineRule="auto" w:line="240"/>
      <w:ind w:start="113"/>
      <w:jc w:val="start"/>
    </w:pPr>
    <w:rPr>
      <w:rFonts w:eastAsia="Calibri" w:eastAsiaTheme="minorHAnsi"/>
      <w:color w:val="000000"/>
      <w:lang w:eastAsia="en-US"/>
    </w:rPr>
  </w:style>
  <w:style w:type="paragraph" w:styleId="Style101" w:customStyle="1">
    <w:name w:val="Номер приложения"/>
    <w:basedOn w:val="Normal"/>
    <w:next w:val="Normal"/>
    <w:qFormat/>
    <w:pPr>
      <w:keepNext w:val="true"/>
      <w:pageBreakBefore/>
      <w:widowControl/>
      <w:numPr>
        <w:ilvl w:val="0"/>
        <w:numId w:val="24"/>
      </w:numPr>
      <w:spacing w:before="240" w:after="0"/>
      <w:jc w:val="end"/>
      <w:outlineLvl w:val="0"/>
    </w:pPr>
    <w:rPr>
      <w:b/>
      <w:caps/>
      <w:sz w:val="32"/>
      <w:szCs w:val="20"/>
    </w:rPr>
  </w:style>
  <w:style w:type="paragraph" w:styleId="Style102" w:customStyle="1">
    <w:name w:val="Приложение раздел"/>
    <w:basedOn w:val="Style101"/>
    <w:next w:val="Style103"/>
    <w:qFormat/>
    <w:pPr>
      <w:pageBreakBefore w:val="false"/>
      <w:spacing w:before="240" w:after="240"/>
      <w:jc w:val="start"/>
    </w:pPr>
    <w:rPr>
      <w:rFonts w:ascii="Times New Roman Полужирный" w:hAnsi="Times New Roman Полужирный"/>
      <w:b w:val="false"/>
      <w:sz w:val="28"/>
    </w:rPr>
  </w:style>
  <w:style w:type="paragraph" w:styleId="Style103" w:customStyle="1">
    <w:name w:val="Текст пункт Разд.Прил."/>
    <w:basedOn w:val="Normal"/>
    <w:qFormat/>
    <w:pPr>
      <w:keepNext w:val="true"/>
      <w:widowControl/>
      <w:numPr>
        <w:ilvl w:val="3"/>
        <w:numId w:val="24"/>
      </w:numPr>
      <w:spacing w:before="60" w:after="60"/>
      <w:outlineLvl w:val="0"/>
    </w:pPr>
    <w:rPr>
      <w:rFonts w:ascii="Times New Roman Полужирный" w:hAnsi="Times New Roman Полужирный"/>
      <w:b/>
      <w:szCs w:val="20"/>
    </w:rPr>
  </w:style>
  <w:style w:type="paragraph" w:styleId="Style104" w:customStyle="1">
    <w:name w:val="Прил.подраздел"/>
    <w:basedOn w:val="Normal"/>
    <w:next w:val="Style105"/>
    <w:qFormat/>
    <w:pPr>
      <w:widowControl/>
      <w:numPr>
        <w:ilvl w:val="2"/>
        <w:numId w:val="24"/>
      </w:numPr>
      <w:spacing w:before="60" w:after="60"/>
      <w:jc w:val="start"/>
    </w:pPr>
    <w:rPr>
      <w:b/>
      <w:sz w:val="28"/>
      <w:szCs w:val="20"/>
    </w:rPr>
  </w:style>
  <w:style w:type="paragraph" w:styleId="Style105" w:customStyle="1">
    <w:name w:val="Пункт Подразд.Прил."/>
    <w:basedOn w:val="Normal"/>
    <w:link w:val="Style44"/>
    <w:qFormat/>
    <w:pPr>
      <w:widowControl/>
      <w:numPr>
        <w:ilvl w:val="4"/>
        <w:numId w:val="24"/>
      </w:numPr>
      <w:spacing w:before="60" w:after="60"/>
    </w:pPr>
    <w:rPr>
      <w:sz w:val="28"/>
      <w:szCs w:val="20"/>
    </w:rPr>
  </w:style>
  <w:style w:type="paragraph" w:styleId="Style106" w:customStyle="1">
    <w:name w:val="Прил.перечис.букв."/>
    <w:basedOn w:val="Heading7"/>
    <w:qFormat/>
    <w:pPr>
      <w:keepNext w:val="false"/>
      <w:keepLines w:val="false"/>
      <w:numPr>
        <w:ilvl w:val="5"/>
        <w:numId w:val="24"/>
      </w:numPr>
      <w:spacing w:before="60" w:after="60"/>
    </w:pPr>
    <w:rPr>
      <w:b w:val="false"/>
      <w:szCs w:val="24"/>
    </w:rPr>
  </w:style>
  <w:style w:type="paragraph" w:styleId="Style107" w:customStyle="1">
    <w:name w:val="Прил.перечисл.цифр"/>
    <w:basedOn w:val="Heading8"/>
    <w:qFormat/>
    <w:pPr>
      <w:keepNext w:val="false"/>
      <w:keepLines w:val="false"/>
      <w:numPr>
        <w:ilvl w:val="6"/>
        <w:numId w:val="24"/>
      </w:numPr>
      <w:spacing w:before="60" w:after="0"/>
      <w:jc w:val="start"/>
    </w:pPr>
    <w:rPr>
      <w:b w:val="false"/>
    </w:rPr>
  </w:style>
  <w:style w:type="paragraph" w:styleId="Style108" w:customStyle="1">
    <w:name w:val="Прил.перечис.деф."/>
    <w:basedOn w:val="Heading9"/>
    <w:qFormat/>
    <w:pPr>
      <w:keepNext w:val="false"/>
      <w:keepLines w:val="false"/>
      <w:numPr>
        <w:ilvl w:val="7"/>
        <w:numId w:val="24"/>
      </w:numPr>
      <w:spacing w:before="60" w:after="60"/>
      <w:jc w:val="start"/>
    </w:pPr>
    <w:rPr>
      <w:b w:val="false"/>
    </w:rPr>
  </w:style>
  <w:style w:type="paragraph" w:styleId="ScrollListBullet1" w:customStyle="1">
    <w:name w:val="Scroll List Bullet"/>
    <w:basedOn w:val="Normal"/>
    <w:link w:val="ScrollListBullet"/>
    <w:qFormat/>
    <w:pPr>
      <w:widowControl/>
      <w:ind w:hanging="425" w:start="1134"/>
    </w:pPr>
    <w:rPr>
      <w:sz w:val="28"/>
    </w:rPr>
  </w:style>
  <w:style w:type="paragraph" w:styleId="221" w:customStyle="1">
    <w:name w:val="Маркированный2"/>
    <w:basedOn w:val="Normal"/>
    <w:uiPriority w:val="99"/>
    <w:qFormat/>
    <w:pPr>
      <w:widowControl/>
      <w:numPr>
        <w:ilvl w:val="1"/>
        <w:numId w:val="25"/>
      </w:numPr>
      <w:spacing w:before="120" w:after="120"/>
    </w:pPr>
    <w:rPr>
      <w:rFonts w:eastAsia="Calibri"/>
    </w:rPr>
  </w:style>
  <w:style w:type="paragraph" w:styleId="73" w:customStyle="1">
    <w:name w:val="Стиль7"/>
    <w:basedOn w:val="Style93"/>
    <w:link w:val="71"/>
    <w:qFormat/>
    <w:pPr>
      <w:numPr>
        <w:ilvl w:val="0"/>
        <w:numId w:val="26"/>
      </w:numPr>
      <w:ind w:firstLine="709" w:start="0"/>
    </w:pPr>
    <w:rPr>
      <w:sz w:val="28"/>
      <w:szCs w:val="28"/>
    </w:rPr>
  </w:style>
  <w:style w:type="paragraph" w:styleId="83" w:customStyle="1">
    <w:name w:val="Стиль8"/>
    <w:link w:val="81"/>
    <w:qFormat/>
    <w:pPr>
      <w:widowControl/>
      <w:numPr>
        <w:ilvl w:val="0"/>
        <w:numId w:val="27"/>
      </w:numPr>
      <w:suppressAutoHyphens w:val="true"/>
      <w:bidi w:val="0"/>
      <w:spacing w:lineRule="auto" w:line="360" w:before="0" w:after="0"/>
      <w:jc w:val="both"/>
    </w:pPr>
    <w:rPr>
      <w:rFonts w:ascii="Times New Roman" w:hAnsi="Times New Roman" w:eastAsia="Times New Roman" w:cs="Times New Roman"/>
      <w:color w:val="auto"/>
      <w:kern w:val="0"/>
      <w:sz w:val="28"/>
      <w:szCs w:val="20"/>
      <w:lang w:val="ru-RU" w:eastAsia="ru-RU" w:bidi="ar-SA"/>
    </w:rPr>
  </w:style>
  <w:style w:type="paragraph" w:styleId="Default" w:customStyle="1">
    <w:name w:val="Default"/>
    <w:qFormat/>
    <w:pPr>
      <w:widowControl/>
      <w:suppressAutoHyphens w:val="true"/>
      <w:bidi w:val="0"/>
      <w:spacing w:before="0" w:after="0"/>
      <w:jc w:val="start"/>
    </w:pPr>
    <w:rPr>
      <w:rFonts w:ascii="Times New Roman" w:hAnsi="Times New Roman" w:eastAsia="Times New Roman" w:cs="Times New Roman"/>
      <w:color w:val="000000"/>
      <w:kern w:val="0"/>
      <w:sz w:val="24"/>
      <w:szCs w:val="24"/>
      <w:lang w:val="ru-RU" w:eastAsia="ru-RU" w:bidi="ar-SA"/>
    </w:rPr>
  </w:style>
  <w:style w:type="paragraph" w:styleId="119" w:customStyle="1">
    <w:name w:val="заголовок 1"/>
    <w:basedOn w:val="Normal"/>
    <w:next w:val="Normal"/>
    <w:uiPriority w:val="99"/>
    <w:qFormat/>
    <w:pPr>
      <w:keepNext w:val="true"/>
      <w:spacing w:lineRule="auto" w:line="264"/>
      <w:outlineLvl w:val="0"/>
    </w:pPr>
    <w:rPr/>
  </w:style>
  <w:style w:type="paragraph" w:styleId="PictureInscription1" w:customStyle="1">
    <w:name w:val="PictureInscription"/>
    <w:next w:val="Normal"/>
    <w:link w:val="PictureInscription"/>
    <w:qFormat/>
    <w:pPr>
      <w:widowControl/>
      <w:numPr>
        <w:ilvl w:val="7"/>
        <w:numId w:val="28"/>
      </w:numPr>
      <w:suppressAutoHyphens w:val="true"/>
      <w:bidi w:val="0"/>
      <w:spacing w:before="120" w:after="240"/>
      <w:jc w:val="center"/>
    </w:pPr>
    <w:rPr>
      <w:rFonts w:ascii="Times New Roman" w:hAnsi="Times New Roman" w:eastAsia="Times New Roman" w:cs="Times New Roman"/>
      <w:color w:val="auto"/>
      <w:kern w:val="0"/>
      <w:sz w:val="24"/>
      <w:szCs w:val="24"/>
      <w:lang w:val="ru-RU" w:eastAsia="ru-RU" w:bidi="ar-SA"/>
    </w:rPr>
  </w:style>
  <w:style w:type="paragraph" w:styleId="Orderedlist11" w:customStyle="1">
    <w:name w:val="Orderedlist1"/>
    <w:basedOn w:val="Normal"/>
    <w:link w:val="Orderedlist1"/>
    <w:qFormat/>
    <w:pPr>
      <w:widowControl/>
      <w:numPr>
        <w:ilvl w:val="0"/>
        <w:numId w:val="29"/>
      </w:numPr>
      <w:spacing w:lineRule="auto" w:line="240" w:before="120" w:after="120"/>
    </w:pPr>
    <w:rPr/>
  </w:style>
  <w:style w:type="paragraph" w:styleId="Orderedlist2" w:customStyle="1">
    <w:name w:val="Orderedlist2"/>
    <w:basedOn w:val="Normal"/>
    <w:qFormat/>
    <w:pPr>
      <w:widowControl/>
      <w:numPr>
        <w:ilvl w:val="1"/>
        <w:numId w:val="29"/>
      </w:numPr>
      <w:spacing w:lineRule="auto" w:line="240" w:before="120" w:after="120"/>
    </w:pPr>
    <w:rPr/>
  </w:style>
  <w:style w:type="paragraph" w:styleId="Picture" w:customStyle="1">
    <w:name w:val="Picture"/>
    <w:next w:val="Normal"/>
    <w:qFormat/>
    <w:pPr>
      <w:keepNext w:val="true"/>
      <w:widowControl/>
      <w:suppressAutoHyphens w:val="true"/>
      <w:bidi w:val="0"/>
      <w:spacing w:before="240" w:after="120"/>
      <w:jc w:val="center"/>
    </w:pPr>
    <w:rPr>
      <w:rFonts w:ascii="Times New Roman" w:hAnsi="Times New Roman" w:eastAsia="Times New Roman" w:cs="Times New Roman"/>
      <w:color w:val="auto"/>
      <w:kern w:val="0"/>
      <w:sz w:val="26"/>
      <w:szCs w:val="26"/>
      <w:lang w:val="ru-RU" w:eastAsia="ru-RU" w:bidi="ar-SA"/>
    </w:rPr>
  </w:style>
  <w:style w:type="paragraph" w:styleId="OrderedList3" w:customStyle="1">
    <w:name w:val="OrderedList3"/>
    <w:basedOn w:val="Normal"/>
    <w:qFormat/>
    <w:pPr>
      <w:widowControl/>
      <w:numPr>
        <w:ilvl w:val="2"/>
        <w:numId w:val="29"/>
      </w:numPr>
      <w:spacing w:lineRule="auto" w:line="240" w:before="120" w:after="120"/>
    </w:pPr>
    <w:rPr/>
  </w:style>
  <w:style w:type="paragraph" w:styleId="TableOderedList1" w:customStyle="1">
    <w:name w:val="TableOderedList1"/>
    <w:qFormat/>
    <w:pPr>
      <w:widowControl/>
      <w:numPr>
        <w:ilvl w:val="0"/>
        <w:numId w:val="30"/>
      </w:numPr>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TableOderedList3" w:customStyle="1">
    <w:name w:val="TableOderedList3"/>
    <w:basedOn w:val="Normal"/>
    <w:qFormat/>
    <w:pPr>
      <w:widowControl/>
      <w:numPr>
        <w:ilvl w:val="2"/>
        <w:numId w:val="30"/>
      </w:numPr>
      <w:spacing w:lineRule="auto" w:line="240" w:before="0" w:after="60"/>
    </w:pPr>
    <w:rPr/>
  </w:style>
  <w:style w:type="paragraph" w:styleId="TableText1" w:customStyle="1">
    <w:name w:val="TableText"/>
    <w:link w:val="TableText"/>
    <w:qFormat/>
    <w:pPr>
      <w:widowControl w:val="false"/>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PrilHeader1" w:customStyle="1">
    <w:name w:val="PrilHeader1"/>
    <w:basedOn w:val="Normal"/>
    <w:qFormat/>
    <w:pPr>
      <w:keepNext w:val="true"/>
      <w:widowControl/>
      <w:numPr>
        <w:ilvl w:val="0"/>
        <w:numId w:val="31"/>
      </w:numPr>
      <w:spacing w:lineRule="auto" w:line="240" w:before="480" w:after="120"/>
      <w:outlineLvl w:val="1"/>
    </w:pPr>
    <w:rPr>
      <w:b/>
      <w:bCs/>
      <w:sz w:val="28"/>
      <w:szCs w:val="28"/>
    </w:rPr>
  </w:style>
  <w:style w:type="paragraph" w:styleId="PrilHeader2" w:customStyle="1">
    <w:name w:val="PrilHeader2"/>
    <w:basedOn w:val="Normal"/>
    <w:qFormat/>
    <w:pPr>
      <w:keepNext w:val="true"/>
      <w:keepLines/>
      <w:numPr>
        <w:ilvl w:val="1"/>
        <w:numId w:val="31"/>
      </w:numPr>
      <w:spacing w:lineRule="auto" w:line="240" w:before="120" w:after="120"/>
      <w:outlineLvl w:val="2"/>
    </w:pPr>
    <w:rPr>
      <w:b/>
      <w:bCs/>
      <w:iCs/>
      <w:sz w:val="28"/>
      <w:szCs w:val="20"/>
    </w:rPr>
  </w:style>
  <w:style w:type="paragraph" w:styleId="PrilHeader3" w:customStyle="1">
    <w:name w:val="PrilHeader3"/>
    <w:basedOn w:val="Heading3"/>
    <w:qFormat/>
    <w:pPr>
      <w:keepLines w:val="false"/>
      <w:numPr>
        <w:ilvl w:val="0"/>
        <w:numId w:val="0"/>
      </w:numPr>
      <w:spacing w:lineRule="auto" w:line="288" w:before="240" w:after="60"/>
      <w:ind w:firstLine="567"/>
      <w:outlineLvl w:val="3"/>
    </w:pPr>
    <w:rPr>
      <w:rFonts w:cs="Times New Roman"/>
      <w:b/>
      <w:color w:val="000000"/>
      <w:szCs w:val="24"/>
    </w:rPr>
  </w:style>
  <w:style w:type="paragraph" w:styleId="PrilHeader4" w:customStyle="1">
    <w:name w:val="PrilHeader4"/>
    <w:basedOn w:val="PrilHeader3"/>
    <w:qFormat/>
    <w:pPr>
      <w:ind w:firstLine="567"/>
      <w:outlineLvl w:val="4"/>
    </w:pPr>
    <w:rPr/>
  </w:style>
  <w:style w:type="paragraph" w:styleId="222" w:customStyle="1">
    <w:name w:val="2_СписНр_ЗаголПодРазд"/>
    <w:qFormat/>
    <w:pPr>
      <w:keepLines/>
      <w:widowControl/>
      <w:numPr>
        <w:ilvl w:val="1"/>
        <w:numId w:val="32"/>
      </w:numPr>
      <w:suppressAutoHyphens w:val="true"/>
      <w:bidi w:val="0"/>
      <w:spacing w:lineRule="auto" w:line="300" w:before="360" w:after="120"/>
      <w:jc w:val="start"/>
      <w:outlineLvl w:val="1"/>
    </w:pPr>
    <w:rPr>
      <w:rFonts w:ascii="Times New Roman" w:hAnsi="Times New Roman" w:eastAsia="Times New Roman" w:cs="Arial"/>
      <w:b/>
      <w:bCs/>
      <w:iCs/>
      <w:color w:themeColor="text1" w:val="000000"/>
      <w:kern w:val="0"/>
      <w:sz w:val="24"/>
      <w:szCs w:val="28"/>
      <w:lang w:val="ru-RU" w:eastAsia="en-US" w:bidi="ar-SA"/>
    </w:rPr>
  </w:style>
  <w:style w:type="paragraph" w:styleId="120" w:customStyle="1">
    <w:name w:val="1_СписНр_ЗаголРазд"/>
    <w:next w:val="222"/>
    <w:qFormat/>
    <w:pPr>
      <w:pageBreakBefore/>
      <w:widowControl/>
      <w:numPr>
        <w:ilvl w:val="0"/>
        <w:numId w:val="32"/>
      </w:numPr>
      <w:suppressAutoHyphens w:val="true"/>
      <w:bidi w:val="0"/>
      <w:spacing w:lineRule="auto" w:line="300" w:before="0" w:after="240"/>
      <w:jc w:val="center"/>
      <w:outlineLvl w:val="0"/>
    </w:pPr>
    <w:rPr>
      <w:rFonts w:ascii="Times New Roman Полужирный" w:hAnsi="Times New Roman Полужирный" w:eastAsia="Times New Roman" w:cs="Arial"/>
      <w:b/>
      <w:bCs/>
      <w:caps/>
      <w:color w:themeColor="accent5" w:themeShade="80" w:val="1F4E79"/>
      <w:kern w:val="0"/>
      <w:sz w:val="24"/>
      <w:szCs w:val="32"/>
      <w:lang w:val="ru-RU" w:eastAsia="en-US" w:bidi="ar-SA"/>
    </w:rPr>
  </w:style>
  <w:style w:type="paragraph" w:styleId="48" w:customStyle="1">
    <w:name w:val="4_СписНр_Текст"/>
    <w:basedOn w:val="Normal"/>
    <w:qFormat/>
    <w:pPr>
      <w:widowControl/>
      <w:numPr>
        <w:ilvl w:val="3"/>
        <w:numId w:val="32"/>
      </w:numPr>
      <w:spacing w:lineRule="auto" w:line="276"/>
    </w:pPr>
    <w:rPr>
      <w:color w:themeColor="text1" w:val="000000"/>
      <w:lang w:eastAsia="en-US"/>
    </w:rPr>
  </w:style>
  <w:style w:type="paragraph" w:styleId="311" w:customStyle="1">
    <w:name w:val="3_СписНр_Текст"/>
    <w:link w:val="33"/>
    <w:qFormat/>
    <w:pPr>
      <w:widowControl/>
      <w:numPr>
        <w:ilvl w:val="2"/>
        <w:numId w:val="32"/>
      </w:numPr>
      <w:suppressAutoHyphens w:val="true"/>
      <w:bidi w:val="0"/>
      <w:spacing w:lineRule="auto" w:line="259" w:before="240" w:after="0"/>
      <w:jc w:val="both"/>
    </w:pPr>
    <w:rPr>
      <w:rFonts w:ascii="Times New Roman" w:hAnsi="Times New Roman" w:eastAsia="Calibri" w:cs="Times New Roman" w:eastAsiaTheme="minorHAnsi"/>
      <w:color w:themeColor="text1" w:val="000000"/>
      <w:kern w:val="0"/>
      <w:sz w:val="24"/>
      <w:szCs w:val="20"/>
      <w:lang w:val="ru-RU" w:eastAsia="ru-RU" w:bidi="ar-SA"/>
    </w:rPr>
  </w:style>
  <w:style w:type="paragraph" w:styleId="223" w:customStyle="1">
    <w:name w:val="2_Текст"/>
    <w:qFormat/>
    <w:pPr>
      <w:widowControl/>
      <w:suppressAutoHyphens w:val="true"/>
      <w:bidi w:val="0"/>
      <w:spacing w:lineRule="auto" w:line="259" w:before="0" w:after="0"/>
      <w:ind w:firstLine="567"/>
      <w:jc w:val="both"/>
    </w:pPr>
    <w:rPr>
      <w:rFonts w:ascii="Times New Roman" w:hAnsi="Times New Roman" w:eastAsia="Arial" w:cs="Times New Roman"/>
      <w:color w:themeColor="text1" w:val="000000"/>
      <w:kern w:val="0"/>
      <w:sz w:val="24"/>
      <w:szCs w:val="24"/>
      <w:lang w:val="ru-RU" w:eastAsia="en-US" w:bidi="ar-SA"/>
    </w:rPr>
  </w:style>
  <w:style w:type="paragraph" w:styleId="-11" w:customStyle="1">
    <w:name w:val="- Список1"/>
    <w:basedOn w:val="Normal"/>
    <w:link w:val="-1"/>
    <w:qFormat/>
    <w:pPr>
      <w:widowControl/>
      <w:numPr>
        <w:ilvl w:val="0"/>
        <w:numId w:val="33"/>
      </w:numPr>
      <w:spacing w:lineRule="auto" w:line="336" w:before="0" w:after="0"/>
      <w:contextualSpacing/>
    </w:pPr>
    <w:rPr>
      <w:sz w:val="28"/>
      <w:szCs w:val="28"/>
    </w:rPr>
  </w:style>
  <w:style w:type="paragraph" w:styleId="Style109" w:customStyle="1">
    <w:name w:val="А"/>
    <w:basedOn w:val="Normal"/>
    <w:link w:val="Style45"/>
    <w:qFormat/>
    <w:pPr>
      <w:widowControl/>
      <w:spacing w:before="60" w:after="160"/>
      <w:ind w:firstLine="708"/>
    </w:pPr>
    <w:rPr>
      <w:rFonts w:eastAsia="Calibri"/>
      <w:bCs/>
      <w:sz w:val="25"/>
      <w:szCs w:val="25"/>
      <w:lang w:eastAsia="en-US"/>
    </w:rPr>
  </w:style>
  <w:style w:type="paragraph" w:styleId="phlistitemized11" w:customStyle="1">
    <w:name w:val="ph_list_itemized_1"/>
    <w:basedOn w:val="phnormal1"/>
    <w:link w:val="phlistitemized1"/>
    <w:qFormat/>
    <w:pPr>
      <w:numPr>
        <w:ilvl w:val="0"/>
        <w:numId w:val="34"/>
      </w:numPr>
      <w:ind w:end="0"/>
    </w:pPr>
    <w:rPr>
      <w:rFonts w:cs="Arial"/>
      <w:lang w:eastAsia="en-US"/>
    </w:rPr>
  </w:style>
  <w:style w:type="paragraph" w:styleId="phnormal1" w:customStyle="1">
    <w:name w:val="ph_normal"/>
    <w:basedOn w:val="Normal"/>
    <w:link w:val="phnormal"/>
    <w:qFormat/>
    <w:pPr>
      <w:widowControl/>
      <w:ind w:firstLine="851" w:end="-1"/>
    </w:pPr>
    <w:rPr>
      <w:sz w:val="28"/>
      <w:szCs w:val="20"/>
    </w:rPr>
  </w:style>
  <w:style w:type="paragraph" w:styleId="phfiguretitle" w:customStyle="1">
    <w:name w:val="ph_figure_title"/>
    <w:basedOn w:val="Normal"/>
    <w:next w:val="phnormal1"/>
    <w:qFormat/>
    <w:pPr>
      <w:keepLines/>
      <w:widowControl/>
      <w:spacing w:before="120" w:after="120"/>
      <w:jc w:val="center"/>
    </w:pPr>
    <w:rPr>
      <w:rFonts w:cs="Arial"/>
      <w:sz w:val="28"/>
      <w:szCs w:val="20"/>
    </w:rPr>
  </w:style>
  <w:style w:type="paragraph" w:styleId="phtablecellleft" w:customStyle="1">
    <w:name w:val="ph_table_cellleft"/>
    <w:basedOn w:val="Normal"/>
    <w:qFormat/>
    <w:pPr>
      <w:widowControl/>
      <w:spacing w:lineRule="auto" w:line="240"/>
    </w:pPr>
    <w:rPr>
      <w:rFonts w:cs="Arial"/>
      <w:bCs/>
      <w:szCs w:val="20"/>
    </w:rPr>
  </w:style>
  <w:style w:type="paragraph" w:styleId="phtablecolcaption" w:customStyle="1">
    <w:name w:val="ph_table_colcaption"/>
    <w:basedOn w:val="Normal"/>
    <w:next w:val="Normal"/>
    <w:qFormat/>
    <w:pPr>
      <w:keepNext w:val="true"/>
      <w:keepLines/>
      <w:widowControl/>
      <w:spacing w:lineRule="auto" w:line="240" w:before="120" w:after="120"/>
      <w:jc w:val="center"/>
    </w:pPr>
    <w:rPr>
      <w:rFonts w:cs="Arial"/>
      <w:b/>
      <w:bCs/>
      <w:szCs w:val="20"/>
    </w:rPr>
  </w:style>
  <w:style w:type="paragraph" w:styleId="phtabletitle1" w:customStyle="1">
    <w:name w:val="ph_table_title"/>
    <w:basedOn w:val="Normal"/>
    <w:next w:val="phtablecolcaption"/>
    <w:link w:val="phtabletitle"/>
    <w:qFormat/>
    <w:pPr>
      <w:keepNext w:val="true"/>
      <w:widowControl/>
      <w:spacing w:before="20" w:after="120"/>
    </w:pPr>
    <w:rPr>
      <w:sz w:val="28"/>
    </w:rPr>
  </w:style>
  <w:style w:type="paragraph" w:styleId="1591" w:customStyle="1">
    <w:name w:val="Стиль По ширине Первая строка:  1.59 см"/>
    <w:basedOn w:val="Normal"/>
    <w:link w:val="159"/>
    <w:qFormat/>
    <w:pPr>
      <w:widowControl/>
      <w:spacing w:lineRule="auto" w:line="240" w:before="0" w:after="120"/>
      <w:ind w:firstLine="425"/>
    </w:pPr>
    <w:rPr>
      <w:szCs w:val="20"/>
    </w:rPr>
  </w:style>
  <w:style w:type="paragraph" w:styleId="FirstParagraph" w:customStyle="1">
    <w:name w:val="First Paragraph"/>
    <w:basedOn w:val="BodyText"/>
    <w:next w:val="BodyText"/>
    <w:qFormat/>
    <w:pPr>
      <w:widowControl/>
      <w:spacing w:lineRule="auto" w:line="240" w:before="180" w:after="180"/>
      <w:jc w:val="start"/>
    </w:pPr>
    <w:rPr>
      <w:rFonts w:ascii="Calibri" w:hAnsi="Calibri" w:eastAsia="Calibri" w:cs="Arial" w:asciiTheme="minorHAnsi" w:cstheme="minorBidi" w:eastAsiaTheme="minorHAnsi" w:hAnsiTheme="minorHAnsi"/>
      <w:lang w:val="en-US" w:eastAsia="en-US"/>
    </w:rPr>
  </w:style>
  <w:style w:type="paragraph" w:styleId="ds-markdown-paragraph" w:customStyle="1">
    <w:name w:val="ds-markdown-paragraph"/>
    <w:basedOn w:val="Normal"/>
    <w:qFormat/>
    <w:rsid w:val="00bb487f"/>
    <w:pPr>
      <w:widowControl/>
      <w:spacing w:lineRule="auto" w:line="240" w:beforeAutospacing="1" w:afterAutospacing="1"/>
      <w:jc w:val="start"/>
    </w:pPr>
    <w:rPr/>
  </w:style>
  <w:style w:type="paragraph" w:styleId="Revision">
    <w:name w:val="Revision"/>
    <w:uiPriority w:val="99"/>
    <w:semiHidden/>
    <w:qFormat/>
    <w:rsid w:val="00a23a11"/>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MatBody" w:customStyle="1">
    <w:name w:val="MatBody"/>
    <w:basedOn w:val="Normal"/>
    <w:qFormat/>
    <w:pPr>
      <w:numPr>
        <w:ilvl w:val="0"/>
        <w:numId w:val="0"/>
      </w:numPr>
      <w:spacing w:lineRule="auto" w:line="228" w:before="0" w:after="0"/>
      <w:ind w:hanging="0" w:start="0" w:end="0"/>
    </w:pPr>
    <w:rPr>
      <w:rFonts w:ascii="Arial" w:hAnsi="Arial" w:cs="Arial"/>
      <w:sz w:val="20"/>
    </w:rPr>
  </w:style>
  <w:style w:type="paragraph" w:styleId="MatTitle" w:customStyle="1">
    <w:name w:val="MatTitle"/>
    <w:basedOn w:val="Normal"/>
    <w:qFormat/>
    <w:pPr>
      <w:numPr>
        <w:ilvl w:val="0"/>
        <w:numId w:val="0"/>
      </w:numPr>
      <w:spacing w:lineRule="auto" w:line="228" w:before="0" w:after="0"/>
      <w:ind w:hanging="0" w:start="0" w:end="0"/>
    </w:pPr>
    <w:rPr>
      <w:rFonts w:ascii="Arial" w:hAnsi="Arial" w:cs="Arial"/>
      <w:sz w:val="20"/>
    </w:rPr>
  </w:style>
  <w:style w:type="paragraph" w:styleId="MatAppendix" w:customStyle="1">
    <w:name w:val="MatAppendix"/>
    <w:basedOn w:val="Normal"/>
    <w:qFormat/>
    <w:pPr>
      <w:numPr>
        <w:ilvl w:val="0"/>
        <w:numId w:val="0"/>
      </w:numPr>
      <w:spacing w:lineRule="auto" w:line="228" w:before="0" w:after="0"/>
      <w:ind w:hanging="0" w:start="0" w:end="0"/>
    </w:pPr>
    <w:rPr>
      <w:rFonts w:ascii="Arial" w:hAnsi="Arial" w:cs="Arial"/>
      <w:sz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f0">
    <w:name w:val="Normal Table"/>
    <w:uiPriority w:val="99"/>
    <w:semiHidden/>
    <w:unhideWhenUsed/>
    <w:tblPr>
      <w:tblCellMar>
        <w:top w:w="0" w:type="dxa"/>
        <w:left w:w="108" w:type="dxa"/>
        <w:bottom w:w="0" w:type="dxa"/>
        <w:right w:w="108" w:type="dxa"/>
      </w:tblCellMar>
    </w:tblPr>
  </w:style>
  <w:style w:type="table" w:styleId="afff6">
    <w:name w:val="Table Grid"/>
    <w:basedOn w:val="af0"/>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af0"/>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customStyle="1" w:styleId="110">
    <w:name w:val="Таблица простая 11"/>
    <w:basedOn w:val="af0"/>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customStyle="1" w:styleId="210">
    <w:name w:val="Таблица простая 21"/>
    <w:basedOn w:val="af0"/>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customStyle="1" w:styleId="310">
    <w:name w:val="Таблица простая 31"/>
    <w:basedOn w:val="af0"/>
    <w:uiPriority w:val="99"/>
    <w:tblStylePr w:type="firstRow">
      <w:rPr>
        <w:b/>
        <w:caps/>
      </w:rPr>
      <w:tblPr/>
      <w:tcPr>
        <w:tcBorders>
          <w:top w:val="nil"/>
          <w:left w:val="nil"/>
          <w:bottom w:val="single" w:color="404040" w:sz="4" w:space="0"/>
          <w:right w:val="nil"/>
        </w:tcBorders>
      </w:tcPr>
    </w:tblStylePr>
    <w:tblStylePr w:type="lastRow">
      <w:rPr>
        <w:b/>
        <w:caps/>
      </w:rPr>
      <w:tblPr/>
    </w:tblStylePr>
    <w:tblStylePr w:type="firstCol">
      <w:rPr>
        <w:b/>
        <w:caps/>
      </w:rPr>
      <w:tblPr/>
      <w:tcPr>
        <w:tcBorders>
          <w:top w:val="nil"/>
          <w:left w:val="nil"/>
          <w:bottom w:val="nil"/>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410">
    <w:name w:val="Таблица простая 41"/>
    <w:basedOn w:val="af0"/>
    <w:uiPriority w:val="99"/>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510">
    <w:name w:val="Таблица простая 51"/>
    <w:basedOn w:val="af0"/>
    <w:uiPriority w:val="99"/>
    <w:tblStylePr w:type="firstRow">
      <w:rPr>
        <w:i/>
      </w:rPr>
      <w:tblPr/>
      <w:tcPr>
        <w:tcBorders>
          <w:left w:val="nil"/>
          <w:bottom w:val="single" w:color="404040" w:sz="4" w:space="0"/>
          <w:right w:val="nil"/>
        </w:tcBorders>
        <w:shd w:val="clear" w:color="FFFFFF" w:fill="auto"/>
      </w:tcPr>
    </w:tblStylePr>
    <w:tblStylePr w:type="lastRow">
      <w:rPr>
        <w:i/>
      </w:rPr>
      <w:tblPr/>
      <w:tcPr>
        <w:tcBorders>
          <w:top w:val="single" w:color="404040" w:sz="4" w:space="0"/>
          <w:left w:val="nil"/>
          <w:right w:val="nil"/>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11">
    <w:name w:val="Таблица-сетка 1 светлая1"/>
    <w:basedOn w:val="af0"/>
    <w:uiPriority w:val="99"/>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f0"/>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rPr>
      <w:tblPr/>
      <w:tcPr>
        <w:tcBorders>
          <w:bottom w:val="single" w:color="91ACDC"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GridTable1Light-Accent2">
    <w:name w:val="Grid Table 1 Light - Accent 2"/>
    <w:basedOn w:val="af0"/>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af0"/>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af0"/>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af0"/>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rPr>
      <w:tblPr/>
      <w:tcPr>
        <w:tcBorders>
          <w:bottom w:val="single" w:color="9EC4E6"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GridTable1Light-Accent6">
    <w:name w:val="Grid Table 1 Light - Accent 6"/>
    <w:basedOn w:val="af0"/>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21">
    <w:name w:val="Таблица-сетка 21"/>
    <w:basedOn w:val="af0"/>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single" w:color="6A6A6A" w:themeColor="text1" w:sz="12" w:space="0"/>
          <w:right w:val="nil"/>
        </w:tcBorders>
        <w:shd w:val="clear" w:color="FFFFFF" w:fill="auto"/>
      </w:tcPr>
    </w:tblStylePr>
    <w:tblStylePr w:type="lastRow">
      <w:rPr>
        <w:b/>
      </w:rPr>
      <w:tblPr/>
      <w:tcPr>
        <w:tcBorders>
          <w:top w:val="single" w:color="6A6A6A" w:themeColor="tex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f0"/>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single" w:color="537DC8" w:themeColor="accent1" w:sz="12" w:space="0"/>
          <w:right w:val="nil"/>
        </w:tcBorders>
        <w:shd w:val="clear" w:color="FFFFFF" w:fill="auto"/>
      </w:tcPr>
    </w:tblStylePr>
    <w:tblStylePr w:type="lastRow">
      <w:rPr>
        <w:b/>
      </w:rPr>
      <w:tblPr/>
      <w:tcPr>
        <w:tcBorders>
          <w:top w:val="single" w:color="537DC8" w:themeColor="accen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af0"/>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single" w:color="F4B184" w:themeColor="accent2" w:sz="12" w:space="0"/>
          <w:right w:val="nil"/>
        </w:tcBorders>
        <w:shd w:val="clear" w:color="FFFFFF" w:fill="auto"/>
      </w:tcPr>
    </w:tblStylePr>
    <w:tblStylePr w:type="lastRow">
      <w:rPr>
        <w:b/>
      </w:rPr>
      <w:tblPr/>
      <w:tcPr>
        <w:tcBorders>
          <w:top w:val="single" w:color="F4B184" w:themeColor="accent2"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f0"/>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single" w:color="A5A5A5" w:themeColor="accent3" w:sz="12" w:space="0"/>
          <w:right w:val="nil"/>
        </w:tcBorders>
        <w:shd w:val="clear" w:color="FFFFFF" w:fill="auto"/>
      </w:tcPr>
    </w:tblStylePr>
    <w:tblStylePr w:type="lastRow">
      <w:rPr>
        <w:b/>
      </w:rPr>
      <w:tblPr/>
      <w:tcPr>
        <w:tcBorders>
          <w:top w:val="single" w:color="A5A5A5" w:themeColor="accent3"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f0"/>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single" w:color="FFD865" w:themeColor="accent4" w:sz="12" w:space="0"/>
          <w:right w:val="nil"/>
        </w:tcBorders>
        <w:shd w:val="clear" w:color="FFFFFF" w:fill="auto"/>
      </w:tcPr>
    </w:tblStylePr>
    <w:tblStylePr w:type="lastRow">
      <w:rPr>
        <w:b/>
      </w:rPr>
      <w:tblPr/>
      <w:tcPr>
        <w:tcBorders>
          <w:top w:val="single" w:color="FFD865" w:themeColor="accent4"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f0"/>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single" w:color="5B9BD5" w:themeColor="accent5" w:sz="12" w:space="0"/>
          <w:right w:val="nil"/>
        </w:tcBorders>
        <w:shd w:val="clear" w:color="FFFFFF" w:fill="auto"/>
      </w:tcPr>
    </w:tblStylePr>
    <w:tblStylePr w:type="lastRow">
      <w:rPr>
        <w:b/>
      </w:rPr>
      <w:tblPr/>
      <w:tcPr>
        <w:tcBorders>
          <w:top w:val="single" w:color="5B9BD5" w:themeColor="accent5"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af0"/>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single" w:color="70AD47" w:themeColor="accent6" w:sz="12" w:space="0"/>
          <w:right w:val="nil"/>
        </w:tcBorders>
        <w:shd w:val="clear" w:color="FFFFFF" w:fill="auto"/>
      </w:tcPr>
    </w:tblStylePr>
    <w:tblStylePr w:type="lastRow">
      <w:rPr>
        <w:b/>
      </w:rPr>
      <w:tblPr/>
      <w:tcPr>
        <w:tcBorders>
          <w:top w:val="single" w:color="70AD47" w:themeColor="accent6"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31">
    <w:name w:val="Таблица-сетка 31"/>
    <w:basedOn w:val="af0"/>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f0"/>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af0"/>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f0"/>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f0"/>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f0"/>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af0"/>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41">
    <w:name w:val="Таблица-сетка 41"/>
    <w:basedOn w:val="af0"/>
    <w:uiPriority w:val="59"/>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f0"/>
    <w:uiPriority w:val="5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b/>
        <w:sz w:val="22"/>
      </w:rPr>
      <w:tblPr/>
      <w:tcPr>
        <w:tcBorders>
          <w:top w:val="single" w:color="537DC8" w:themeColor="accent1" w:sz="4" w:space="0"/>
          <w:left w:val="single" w:color="537DC8" w:themeColor="accent1" w:sz="4" w:space="0"/>
          <w:bottom w:val="single" w:color="537DC8" w:themeColor="accent1" w:sz="4" w:space="0"/>
          <w:right w:val="single" w:color="537DC8" w:themeColor="accent1" w:sz="4" w:space="0"/>
        </w:tcBorders>
        <w:shd w:val="clear" w:color="537DC8" w:fill="537DC8" w:themeFill="accent1" w:themeFillTint="ea"/>
      </w:tcPr>
    </w:tblStylePr>
    <w:tblStylePr w:type="lastRow">
      <w:rPr>
        <w:b/>
      </w:rPr>
      <w:tblPr/>
      <w:tcPr>
        <w:tcBorders>
          <w:top w:val="single" w:color="537DC8" w:themeColor="accent1" w:sz="4" w:space="0"/>
        </w:tcBorders>
      </w:tcPr>
    </w:tblStylePr>
    <w:tblStylePr w:type="firstCol">
      <w:rPr>
        <w:b/>
      </w:rPr>
      <w:tblPr/>
    </w:tblStylePr>
    <w:tblStylePr w:type="lastCol">
      <w:rPr>
        <w:b/>
      </w:rPr>
      <w:tbl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af0"/>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f0"/>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f0"/>
    <w:uiPriority w:val="5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f0"/>
    <w:uiPriority w:val="5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Row">
      <w:rPr>
        <w:b/>
      </w:rPr>
      <w:tblPr/>
      <w:tcPr>
        <w:tcBorders>
          <w:top w:val="single" w:color="5B9BD5" w:themeColor="accent5" w:sz="4" w:space="0"/>
        </w:tcBorders>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af0"/>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51">
    <w:name w:val="Таблица-сетка 5 темная1"/>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1"/>
      </w:tcPr>
    </w:tblStylePr>
    <w:tblStylePr w:type="lastRow">
      <w:rPr>
        <w:b/>
        <w:sz w:val="22"/>
      </w:rPr>
      <w:tblPr/>
      <w:tcPr>
        <w:tcBorders>
          <w:top w:val="single" w:color="FFFFFF" w:themeColor="light1" w:sz="4" w:space="0"/>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5"/>
      </w:tcPr>
    </w:tblStylePr>
    <w:tblStylePr w:type="lastRow">
      <w:rPr>
        <w:b/>
        <w:sz w:val="22"/>
      </w:rPr>
      <w:tblPr/>
      <w:tcPr>
        <w:tcBorders>
          <w:top w:val="single" w:color="FFFFFF" w:themeColor="light1" w:sz="4" w:space="0"/>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customStyle="1" w:styleId="-61">
    <w:name w:val="Таблица-сетка 6 цветная1"/>
    <w:basedOn w:val="af0"/>
    <w:uiPriority w:val="99"/>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rPr>
      <w:tblPr/>
      <w:tcPr>
        <w:tcBorders>
          <w:bottom w:val="single" w:color="7F7F7F" w:themeColor="text1" w:sz="12" w:space="0"/>
        </w:tcBorders>
      </w:tcPr>
    </w:tblStylePr>
    <w:tblStylePr w:type="lastRow">
      <w:rPr>
        <w:b/>
        <w:color w:val="7f7f7f" w:themeColor="text1" w:themeTint="80"/>
      </w:rPr>
      <w:tblPr/>
    </w:tblStylePr>
    <w:tblStylePr w:type="firstCol">
      <w:rPr>
        <w:b/>
        <w:color w:val="7f7f7f" w:themeColor="text1" w:themeTint="80"/>
      </w:rPr>
      <w:tblPr/>
    </w:tblStylePr>
    <w:tblStylePr w:type="lastCol">
      <w:rPr>
        <w:b/>
        <w:color w:val="7f7f7f" w:themeColor="text1" w:themeTint="80"/>
      </w:rPr>
      <w:tblPr/>
    </w:tblStylePr>
    <w:tblStylePr w:type="band1Vert">
      <w:tblPr/>
      <w:tcPr>
        <w:shd w:val="clear" w:color="CBCBCB" w:fill="CBCBCB" w:themeFill="text1" w:themeFillTint="34"/>
      </w:tcPr>
    </w:tblStylePr>
    <w:tblStylePr w:type="band1Horz">
      <w:rPr>
        <w:color w:val="7f7f7f" w:themeColor="text1" w:themeTint="80"/>
        <w:sz w:val="22"/>
      </w:rPr>
      <w:tblPr/>
      <w:tcPr>
        <w:shd w:val="clear" w:color="CBCBCB" w:fill="CBCBCB" w:themeFill="text1" w:themeFillTint="34"/>
      </w:tcPr>
    </w:tblStylePr>
    <w:tblStylePr w:type="band2Horz">
      <w:rPr>
        <w:color w:val="7f7f7f" w:themeColor="text1" w:themeTint="80"/>
        <w:sz w:val="22"/>
      </w:rPr>
      <w:tblPr/>
    </w:tblStylePr>
  </w:style>
  <w:style w:type="table" w:customStyle="1" w:styleId="GridTable6Colorful-Accent1">
    <w:name w:val="Grid Table 6 Colorful - Accent 1"/>
    <w:basedOn w:val="af0"/>
    <w:uiPriority w:val="99"/>
    <w:tblPr>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rPr>
      <w:tblPr/>
      <w:tcPr>
        <w:tcBorders>
          <w:bottom w:val="single" w:color="A0B7E1" w:themeColor="accent1" w:sz="12" w:space="0"/>
        </w:tcBorders>
      </w:tcPr>
    </w:tblStylePr>
    <w:tblStylePr w:type="lastRow">
      <w:rPr>
        <w:b/>
        <w:color w:val="a0b7e1" w:themeColor="accent1" w:themeTint="80"/>
      </w:rPr>
      <w:tblPr/>
    </w:tblStylePr>
    <w:tblStylePr w:type="firstCol">
      <w:rPr>
        <w:b/>
        <w:color w:val="a0b7e1" w:themeColor="accent1" w:themeTint="80"/>
      </w:rPr>
      <w:tblPr/>
    </w:tblStylePr>
    <w:tblStylePr w:type="lastCol">
      <w:rPr>
        <w:b/>
        <w:color w:val="a0b7e1" w:themeColor="accent1" w:themeTint="80"/>
      </w:rPr>
      <w:tbl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6Colorful-Accent2">
    <w:name w:val="Grid Table 6 Colorful - Accent 2"/>
    <w:basedOn w:val="af0"/>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rPr>
      <w:tblPr/>
      <w:tcPr>
        <w:tcBorders>
          <w:bottom w:val="single" w:color="F4B184" w:themeColor="accent2" w:sz="12" w:space="0"/>
        </w:tcBorders>
      </w:tcPr>
    </w:tblStylePr>
    <w:tblStylePr w:type="lastRow">
      <w:rPr>
        <w:b/>
        <w:color w:val="f4b285" w:themeColor="accent2" w:themeTint="96"/>
      </w:rPr>
      <w:tbl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6Colorful-Accent3">
    <w:name w:val="Grid Table 6 Colorful - Accent 3"/>
    <w:basedOn w:val="af0"/>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rPr>
      <w:tblPr/>
      <w:tcPr>
        <w:tcBorders>
          <w:bottom w:val="single" w:color="A5A5A5" w:themeColor="accent3" w:sz="12" w:space="0"/>
        </w:tcBorders>
      </w:tcPr>
    </w:tblStylePr>
    <w:tblStylePr w:type="lastRow">
      <w:rPr>
        <w:b/>
        <w:color w:val="a5a5a5" w:themeColor="accent3"/>
      </w:rPr>
      <w:tblPr/>
    </w:tblStylePr>
    <w:tblStylePr w:type="firstCol">
      <w:rPr>
        <w:b/>
        <w:color w:val="a5a5a5" w:themeColor="accent3"/>
      </w:rPr>
      <w:tblPr/>
    </w:tblStylePr>
    <w:tblStylePr w:type="lastCol">
      <w:rPr>
        <w:b/>
        <w:color w:val="a5a5a5" w:themeColor="accent3"/>
      </w:rPr>
      <w:tbl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6Colorful-Accent4">
    <w:name w:val="Grid Table 6 Colorful - Accent 4"/>
    <w:basedOn w:val="af0"/>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rPr>
      <w:tblPr/>
      <w:tcPr>
        <w:tcBorders>
          <w:bottom w:val="single" w:color="FFD865" w:themeColor="accent4" w:sz="12" w:space="0"/>
        </w:tcBorders>
      </w:tcPr>
    </w:tblStylePr>
    <w:tblStylePr w:type="lastRow">
      <w:rPr>
        <w:b/>
        <w:color w:val="ffd966" w:themeColor="accent4" w:themeTint="99"/>
      </w:rPr>
      <w:tbl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6Colorful-Accent5">
    <w:name w:val="Grid Table 6 Colorful - Accent 5"/>
    <w:basedOn w:val="af0"/>
    <w:uiPriority w:val="99"/>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c" w:themeColor="accent5" w:themeShade="94"/>
      </w:rPr>
      <w:tblPr/>
      <w:tcPr>
        <w:tcBorders>
          <w:bottom w:val="single" w:color="5B9BD5" w:themeColor="accent5"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6Colorful-Accent6">
    <w:name w:val="Grid Table 6 Colorful - Accent 6"/>
    <w:basedOn w:val="af0"/>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c" w:themeColor="accent5" w:themeShade="94"/>
      </w:rPr>
      <w:tblPr/>
      <w:tcPr>
        <w:tcBorders>
          <w:bottom w:val="single" w:color="70AD47" w:themeColor="accent6"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E1EFD8" w:fill="E1EFD8" w:themeFill="accent6" w:themeFillTint="34"/>
      </w:tcPr>
    </w:tblStylePr>
    <w:tblStylePr w:type="band1Horz">
      <w:rPr>
        <w:color w:val="245a8c" w:themeColor="accent5" w:themeShade="94"/>
        <w:sz w:val="22"/>
      </w:rPr>
      <w:tblPr/>
      <w:tcPr>
        <w:shd w:val="clear" w:color="E1EFD8" w:fill="E1EFD8" w:themeFill="accent6" w:themeFillTint="34"/>
      </w:tcPr>
    </w:tblStylePr>
    <w:tblStylePr w:type="band2Horz">
      <w:rPr>
        <w:color w:val="245a8c" w:themeColor="accent5" w:themeShade="94"/>
        <w:sz w:val="22"/>
      </w:rPr>
      <w:tblPr/>
    </w:tblStylePr>
  </w:style>
  <w:style w:type="table" w:customStyle="1" w:styleId="-71">
    <w:name w:val="Таблица-сетка 7 цветная1"/>
    <w:basedOn w:val="af0"/>
    <w:uiPriority w:val="99"/>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b/>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F2F2F2" w:fill="F2F2F2" w:themeFill="text1" w:themeFillTint="d"/>
      </w:tcPr>
    </w:tblStylePr>
    <w:tblStylePr w:type="band1Horz">
      <w:rPr>
        <w:color w:val="7f7f7f" w:themeColor="text1" w:themeTint="80"/>
        <w:sz w:val="22"/>
      </w:rPr>
      <w:tblPr/>
      <w:tcPr>
        <w:shd w:val="clear" w:color="F2F2F2" w:fill="F2F2F2" w:themeFill="text1" w:themeFillTint="d"/>
      </w:tcPr>
    </w:tblStylePr>
    <w:tblStylePr w:type="band2Horz">
      <w:rPr>
        <w:color w:val="7f7f7f" w:themeColor="text1" w:themeTint="80"/>
        <w:sz w:val="22"/>
      </w:rPr>
      <w:tblPr/>
    </w:tblStylePr>
  </w:style>
  <w:style w:type="table" w:customStyle="1" w:styleId="GridTable7Colorful-Accent1">
    <w:name w:val="Grid Table 7 Colorful - Accent 1"/>
    <w:basedOn w:val="af0"/>
    <w:uiPriority w:val="99"/>
    <w:tblPr>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sz w:val="22"/>
      </w:rPr>
      <w:tblPr/>
      <w:tcPr>
        <w:tcBorders>
          <w:top w:val="nil"/>
          <w:left w:val="nil"/>
          <w:bottom w:val="single" w:color="A0B7E1" w:themeColor="accent1" w:sz="4" w:space="0"/>
          <w:right w:val="nil"/>
        </w:tcBorders>
        <w:shd w:val="clear" w:color="FFFFFF" w:fill="FFFFFF" w:themeFill="light1"/>
      </w:tcPr>
    </w:tblStylePr>
    <w:tblStylePr w:type="lastRow">
      <w:rPr>
        <w:b/>
        <w:color w:val="a0b7e1" w:themeColor="accent1" w:themeTint="80"/>
        <w:sz w:val="22"/>
      </w:rPr>
      <w:tblPr/>
      <w:tcPr>
        <w:tcBorders>
          <w:top w:val="single" w:color="A0B7E1" w:themeColor="accent1" w:sz="4" w:space="0"/>
          <w:left w:val="nil"/>
          <w:bottom w:val="nil"/>
          <w:right w:val="nil"/>
        </w:tcBorders>
        <w:shd w:val="clear" w:color="FFFFFF" w:fill="FFFFFF" w:themeFill="light1"/>
      </w:tcPr>
    </w:tblStylePr>
    <w:tblStylePr w:type="firstCol">
      <w:pPr>
        <w:jc w:val="right"/>
      </w:pPr>
      <w:rPr>
        <w:i/>
        <w:color w:val="a0b7e1" w:themeColor="accent1" w:themeTint="80"/>
        <w:sz w:val="22"/>
      </w:rPr>
      <w:tblPr/>
      <w:tcPr>
        <w:tcBorders>
          <w:top w:val="nil"/>
          <w:left w:val="nil"/>
          <w:bottom w:val="nil"/>
          <w:right w:val="single" w:color="A0B7E1" w:themeColor="accent1" w:sz="4" w:space="0"/>
        </w:tcBorders>
        <w:shd w:val="clear" w:color="FFFFFF" w:fill="auto"/>
      </w:tcPr>
    </w:tblStylePr>
    <w:tblStylePr w:type="lastCol">
      <w:rPr>
        <w:i/>
        <w:color w:val="a0b7e1" w:themeColor="accent1" w:themeTint="80"/>
        <w:sz w:val="22"/>
      </w:rPr>
      <w:tblPr/>
      <w:tcPr>
        <w:tcBorders>
          <w:top w:val="nil"/>
          <w:left w:val="single" w:color="A0B7E1" w:themeColor="accent1" w:sz="4" w:space="0"/>
          <w:bottom w:val="nil"/>
          <w:right w:val="nil"/>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7Colorful-Accent2">
    <w:name w:val="Grid Table 7 Colorful - Accent 2"/>
    <w:basedOn w:val="af0"/>
    <w:uiPriority w:val="99"/>
    <w:tblP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b/>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7Colorful-Accent3">
    <w:name w:val="Grid Table 7 Colorful - Accent 3"/>
    <w:basedOn w:val="af0"/>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sz w:val="22"/>
      </w:rPr>
      <w:tblPr/>
      <w:tcPr>
        <w:tcBorders>
          <w:top w:val="nil"/>
          <w:left w:val="nil"/>
          <w:bottom w:val="single" w:color="A5A5A5" w:themeColor="accent3" w:sz="4" w:space="0"/>
          <w:right w:val="nil"/>
        </w:tcBorders>
        <w:shd w:val="clear" w:color="FFFFFF" w:fill="FFFFFF" w:themeFill="light1"/>
      </w:tcPr>
    </w:tblStylePr>
    <w:tblStylePr w:type="lastRow">
      <w:rPr>
        <w:b/>
        <w:color w:val="a5a5a5" w:themeColor="accent3"/>
        <w:sz w:val="22"/>
      </w:rPr>
      <w:tblPr/>
      <w:tcPr>
        <w:tcBorders>
          <w:top w:val="single" w:color="A5A5A5" w:themeColor="accent3" w:sz="4" w:space="0"/>
          <w:left w:val="nil"/>
          <w:bottom w:val="nil"/>
          <w:right w:val="nil"/>
        </w:tcBorders>
        <w:shd w:val="clear" w:color="FFFFFF" w:fill="FFFFFF" w:themeFill="light1"/>
      </w:tcPr>
    </w:tblStylePr>
    <w:tblStylePr w:type="firstCol">
      <w:pPr>
        <w:jc w:val="right"/>
      </w:pPr>
      <w:rPr>
        <w:i/>
        <w:color w:val="a5a5a5" w:themeColor="accent3"/>
        <w:sz w:val="22"/>
      </w:rPr>
      <w:tblPr/>
      <w:tcPr>
        <w:tcBorders>
          <w:top w:val="nil"/>
          <w:left w:val="nil"/>
          <w:bottom w:val="nil"/>
          <w:right w:val="single" w:color="A5A5A5" w:themeColor="accent3" w:sz="4" w:space="0"/>
        </w:tcBorders>
        <w:shd w:val="clear" w:color="FFFFFF" w:fill="auto"/>
      </w:tcPr>
    </w:tblStylePr>
    <w:tblStylePr w:type="lastCol">
      <w:rPr>
        <w:i/>
        <w:color w:val="a5a5a5" w:themeColor="accent3"/>
        <w:sz w:val="22"/>
      </w:rPr>
      <w:tblPr/>
      <w:tcPr>
        <w:tcBorders>
          <w:top w:val="nil"/>
          <w:left w:val="single" w:color="A5A5A5" w:themeColor="accent3" w:sz="4" w:space="0"/>
          <w:bottom w:val="nil"/>
          <w:right w:val="nil"/>
        </w:tcBorders>
        <w:shd w:val="clear" w:color="FFFFFF" w:fill="auto"/>
      </w:tc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7Colorful-Accent4">
    <w:name w:val="Grid Table 7 Colorful - Accent 4"/>
    <w:basedOn w:val="af0"/>
    <w:uiPriority w:val="99"/>
    <w:tblP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b/>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7Colorful-Accent5">
    <w:name w:val="Grid Table 7 Colorful - Accent 5"/>
    <w:basedOn w:val="af0"/>
    <w:uiPriority w:val="99"/>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color w:val="245a8c" w:themeColor="accent5" w:themeShade="94"/>
        <w:sz w:val="22"/>
      </w:rPr>
      <w:tblPr/>
      <w:tcPr>
        <w:tcBorders>
          <w:top w:val="nil"/>
          <w:left w:val="nil"/>
          <w:bottom w:val="single" w:color="A2C6E7" w:themeColor="accent5" w:sz="4" w:space="0"/>
          <w:right w:val="nil"/>
        </w:tcBorders>
        <w:shd w:val="clear" w:color="FFFFFF" w:fill="FFFFFF" w:themeFill="light1"/>
      </w:tcPr>
    </w:tblStylePr>
    <w:tblStylePr w:type="lastRow">
      <w:rPr>
        <w:b/>
        <w:color w:val="245a8c" w:themeColor="accent5" w:themeShade="94"/>
        <w:sz w:val="22"/>
      </w:rPr>
      <w:tblPr/>
      <w:tcPr>
        <w:tcBorders>
          <w:top w:val="single" w:color="A2C6E7" w:themeColor="accent5" w:sz="4" w:space="0"/>
          <w:left w:val="nil"/>
          <w:bottom w:val="nil"/>
          <w:right w:val="nil"/>
        </w:tcBorders>
        <w:shd w:val="clear" w:color="FFFFFF" w:fill="FFFFFF" w:themeFill="light1"/>
      </w:tcPr>
    </w:tblStylePr>
    <w:tblStylePr w:type="firstCol">
      <w:pPr>
        <w:jc w:val="right"/>
      </w:pPr>
      <w:rPr>
        <w:i/>
        <w:color w:val="245a8c" w:themeColor="accent5" w:themeShade="94"/>
        <w:sz w:val="22"/>
      </w:rPr>
      <w:tblPr/>
      <w:tcPr>
        <w:tcBorders>
          <w:top w:val="nil"/>
          <w:left w:val="nil"/>
          <w:bottom w:val="nil"/>
          <w:right w:val="single" w:color="A2C6E7" w:themeColor="accent5" w:sz="4" w:space="0"/>
        </w:tcBorders>
        <w:shd w:val="clear" w:color="FFFFFF" w:fill="auto"/>
      </w:tcPr>
    </w:tblStylePr>
    <w:tblStylePr w:type="lastCol">
      <w:rPr>
        <w:i/>
        <w:color w:val="245a8c" w:themeColor="accent5" w:themeShade="94"/>
        <w:sz w:val="22"/>
      </w:rPr>
      <w:tblPr/>
      <w:tcPr>
        <w:tcBorders>
          <w:top w:val="nil"/>
          <w:left w:val="single" w:color="A2C6E7" w:themeColor="accent5" w:sz="4" w:space="0"/>
          <w:bottom w:val="nil"/>
          <w:right w:val="nil"/>
        </w:tcBorders>
        <w:shd w:val="clear" w:color="FFFFFF" w:fill="auto"/>
      </w:tc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7Colorful-Accent6">
    <w:name w:val="Grid Table 7 Colorful - Accent 6"/>
    <w:basedOn w:val="af0"/>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06429" w:themeColor="accent6" w:themeShade="94"/>
        <w:sz w:val="22"/>
      </w:rPr>
      <w:tblPr/>
      <w:tcPr>
        <w:tcBorders>
          <w:top w:val="nil"/>
          <w:left w:val="nil"/>
          <w:bottom w:val="single" w:color="ADD394" w:themeColor="accent6" w:sz="4" w:space="0"/>
          <w:right w:val="nil"/>
        </w:tcBorders>
        <w:shd w:val="clear" w:color="FFFFFF" w:fill="FFFFFF" w:themeFill="light1"/>
      </w:tcPr>
    </w:tblStylePr>
    <w:tblStylePr w:type="lastRow">
      <w:rPr>
        <w:b/>
        <w:color w:val="406429" w:themeColor="accent6" w:themeShade="94"/>
        <w:sz w:val="22"/>
      </w:rPr>
      <w:tblPr/>
      <w:tcPr>
        <w:tcBorders>
          <w:top w:val="single" w:color="ADD394" w:themeColor="accent6" w:sz="4" w:space="0"/>
          <w:left w:val="nil"/>
          <w:bottom w:val="nil"/>
          <w:right w:val="nil"/>
        </w:tcBorders>
        <w:shd w:val="clear" w:color="FFFFFF" w:fill="FFFFFF" w:themeFill="light1"/>
      </w:tcPr>
    </w:tblStylePr>
    <w:tblStylePr w:type="firstCol">
      <w:pPr>
        <w:jc w:val="right"/>
      </w:pPr>
      <w:rPr>
        <w:i/>
        <w:color w:val="406429" w:themeColor="accent6" w:themeShade="94"/>
        <w:sz w:val="22"/>
      </w:rPr>
      <w:tblPr/>
      <w:tcPr>
        <w:tcBorders>
          <w:top w:val="nil"/>
          <w:left w:val="nil"/>
          <w:bottom w:val="nil"/>
          <w:right w:val="single" w:color="ADD394" w:themeColor="accent6" w:sz="4" w:space="0"/>
        </w:tcBorders>
        <w:shd w:val="clear" w:color="FFFFFF" w:fill="auto"/>
      </w:tcPr>
    </w:tblStylePr>
    <w:tblStylePr w:type="lastCol">
      <w:rPr>
        <w:i/>
        <w:color w:val="406429" w:themeColor="accent6" w:themeShade="94"/>
        <w:sz w:val="22"/>
      </w:rPr>
      <w:tblPr/>
      <w:tcPr>
        <w:tcBorders>
          <w:top w:val="nil"/>
          <w:left w:val="single" w:color="ADD394" w:themeColor="accent6" w:sz="4" w:space="0"/>
          <w:bottom w:val="nil"/>
          <w:right w:val="nil"/>
        </w:tcBorders>
        <w:shd w:val="clear" w:color="FFFFFF" w:fill="auto"/>
      </w:tcPr>
    </w:tblStylePr>
    <w:tblStylePr w:type="band1Vert">
      <w:tblPr/>
      <w:tcPr>
        <w:shd w:val="clear" w:color="E1EFD8" w:fill="E1EFD8" w:themeFill="accent6" w:themeFillTint="34"/>
      </w:tcPr>
    </w:tblStylePr>
    <w:tblStylePr w:type="band1Horz">
      <w:rPr>
        <w:color w:val="406429" w:themeColor="accent6" w:themeShade="94"/>
        <w:sz w:val="22"/>
      </w:rPr>
      <w:tblPr/>
      <w:tcPr>
        <w:shd w:val="clear" w:color="E1EFD8" w:fill="E1EFD8" w:themeFill="accent6" w:themeFillTint="34"/>
      </w:tcPr>
    </w:tblStylePr>
    <w:tblStylePr w:type="band2Horz">
      <w:rPr>
        <w:color w:val="406429" w:themeColor="accent6" w:themeShade="94"/>
        <w:sz w:val="22"/>
      </w:rPr>
      <w:tblPr/>
    </w:tblStylePr>
  </w:style>
  <w:style w:type="table" w:customStyle="1" w:styleId="-110">
    <w:name w:val="Список-таблица 1 светлая1"/>
    <w:basedOn w:val="af0"/>
    <w:uiPriority w:val="99"/>
    <w:tblStylePr w:type="firstRow">
      <w:rPr>
        <w:b/>
      </w:rPr>
      <w:tblPr/>
      <w:tcPr>
        <w:tcBorders>
          <w:top w:val="nil"/>
          <w:left w:val="nil"/>
          <w:bottom w:val="single" w:color="000000" w:themeColor="text1" w:sz="4" w:space="0"/>
          <w:right w:val="nil"/>
        </w:tcBorders>
      </w:tcPr>
    </w:tblStylePr>
    <w:tblStylePr w:type="lastRow">
      <w:rPr>
        <w:b/>
      </w:rPr>
      <w:tblPr/>
      <w:tcPr>
        <w:tcBorders>
          <w:top w:val="single" w:color="000000" w:themeColor="text1" w:sz="4" w:space="0"/>
          <w:left w:val="nil"/>
          <w:bottom w:val="nil"/>
          <w:right w:val="nil"/>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f0"/>
    <w:uiPriority w:val="99"/>
    <w:tblStylePr w:type="firstRow">
      <w:rPr>
        <w:b/>
      </w:rPr>
      <w:tblPr/>
      <w:tcPr>
        <w:tcBorders>
          <w:top w:val="nil"/>
          <w:left w:val="nil"/>
          <w:bottom w:val="single" w:color="4472C4" w:themeColor="accent1" w:sz="4" w:space="0"/>
          <w:right w:val="nil"/>
        </w:tcBorders>
      </w:tcPr>
    </w:tblStylePr>
    <w:tblStylePr w:type="lastRow">
      <w:rPr>
        <w:b/>
      </w:rPr>
      <w:tblPr/>
      <w:tcPr>
        <w:tcBorders>
          <w:top w:val="single" w:color="4472C4" w:themeColor="accent1" w:sz="4" w:space="0"/>
          <w:left w:val="nil"/>
          <w:bottom w:val="nil"/>
          <w:right w:val="nil"/>
        </w:tcBorders>
      </w:tcPr>
    </w:tblStylePr>
    <w:tblStylePr w:type="firstCol">
      <w:rPr>
        <w:b/>
      </w:rPr>
      <w:tblPr/>
    </w:tblStylePr>
    <w:tblStylePr w:type="lastCol">
      <w:rPr>
        <w:b/>
      </w:rPr>
      <w:tbl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af0"/>
    <w:uiPriority w:val="99"/>
    <w:tblStylePr w:type="firstRow">
      <w:rPr>
        <w:b/>
      </w:rPr>
      <w:tblPr/>
      <w:tcPr>
        <w:tcBorders>
          <w:top w:val="nil"/>
          <w:left w:val="nil"/>
          <w:bottom w:val="single" w:color="ED7D31" w:themeColor="accent2" w:sz="4" w:space="0"/>
          <w:right w:val="nil"/>
        </w:tcBorders>
      </w:tcPr>
    </w:tblStylePr>
    <w:tblStylePr w:type="lastRow">
      <w:rPr>
        <w:b/>
      </w:rPr>
      <w:tblPr/>
      <w:tcPr>
        <w:tcBorders>
          <w:top w:val="single" w:color="ED7D31" w:themeColor="accent2" w:sz="4" w:space="0"/>
          <w:left w:val="nil"/>
          <w:bottom w:val="nil"/>
          <w:right w:val="nil"/>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f0"/>
    <w:uiPriority w:val="99"/>
    <w:tblStylePr w:type="firstRow">
      <w:rPr>
        <w:b/>
      </w:rPr>
      <w:tblPr/>
      <w:tcPr>
        <w:tcBorders>
          <w:top w:val="nil"/>
          <w:left w:val="nil"/>
          <w:bottom w:val="single" w:color="A5A5A5" w:themeColor="accent3" w:sz="4" w:space="0"/>
          <w:right w:val="nil"/>
        </w:tcBorders>
      </w:tcPr>
    </w:tblStylePr>
    <w:tblStylePr w:type="lastRow">
      <w:rPr>
        <w:b/>
      </w:rPr>
      <w:tblPr/>
      <w:tcPr>
        <w:tcBorders>
          <w:top w:val="single" w:color="A5A5A5" w:themeColor="accent3" w:sz="4" w:space="0"/>
          <w:left w:val="nil"/>
          <w:bottom w:val="nil"/>
          <w:right w:val="nil"/>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f0"/>
    <w:uiPriority w:val="99"/>
    <w:tblStylePr w:type="firstRow">
      <w:rPr>
        <w:b/>
      </w:rPr>
      <w:tblPr/>
      <w:tcPr>
        <w:tcBorders>
          <w:top w:val="nil"/>
          <w:left w:val="nil"/>
          <w:bottom w:val="single" w:color="FFC000" w:themeColor="accent4" w:sz="4" w:space="0"/>
          <w:right w:val="nil"/>
        </w:tcBorders>
      </w:tcPr>
    </w:tblStylePr>
    <w:tblStylePr w:type="lastRow">
      <w:rPr>
        <w:b/>
      </w:rPr>
      <w:tblPr/>
      <w:tcPr>
        <w:tcBorders>
          <w:top w:val="single" w:color="FFC000" w:themeColor="accent4" w:sz="4" w:space="0"/>
          <w:left w:val="nil"/>
          <w:bottom w:val="nil"/>
          <w:right w:val="nil"/>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f0"/>
    <w:uiPriority w:val="99"/>
    <w:tblStylePr w:type="firstRow">
      <w:rPr>
        <w:b/>
      </w:rPr>
      <w:tblPr/>
      <w:tcPr>
        <w:tcBorders>
          <w:top w:val="nil"/>
          <w:left w:val="nil"/>
          <w:bottom w:val="single" w:color="5B9BD5" w:themeColor="accent5" w:sz="4" w:space="0"/>
          <w:right w:val="nil"/>
        </w:tcBorders>
      </w:tcPr>
    </w:tblStylePr>
    <w:tblStylePr w:type="lastRow">
      <w:rPr>
        <w:b/>
      </w:rPr>
      <w:tblPr/>
      <w:tcPr>
        <w:tcBorders>
          <w:top w:val="single" w:color="5B9BD5" w:themeColor="accent5" w:sz="4" w:space="0"/>
          <w:left w:val="nil"/>
          <w:bottom w:val="nil"/>
          <w:right w:val="nil"/>
        </w:tcBorders>
      </w:tcPr>
    </w:tblStylePr>
    <w:tblStylePr w:type="firstCol">
      <w:rPr>
        <w:b/>
      </w:rPr>
      <w:tblPr/>
    </w:tblStylePr>
    <w:tblStylePr w:type="lastCol">
      <w:rPr>
        <w:b/>
      </w:rPr>
      <w:tbl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af0"/>
    <w:uiPriority w:val="99"/>
    <w:tblStylePr w:type="firstRow">
      <w:rPr>
        <w:b/>
      </w:rPr>
      <w:tblPr/>
      <w:tcPr>
        <w:tcBorders>
          <w:top w:val="nil"/>
          <w:left w:val="nil"/>
          <w:bottom w:val="single" w:color="70AD47" w:themeColor="accent6" w:sz="4" w:space="0"/>
          <w:right w:val="nil"/>
        </w:tcBorders>
      </w:tcPr>
    </w:tblStylePr>
    <w:tblStylePr w:type="lastRow">
      <w:rPr>
        <w:b/>
      </w:rPr>
      <w:tblPr/>
      <w:tcPr>
        <w:tcBorders>
          <w:top w:val="single" w:color="70AD47" w:themeColor="accent6" w:sz="4" w:space="0"/>
          <w:left w:val="nil"/>
          <w:bottom w:val="nil"/>
          <w:right w:val="nil"/>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customStyle="1" w:styleId="-210">
    <w:name w:val="Список-таблица 21"/>
    <w:basedOn w:val="af0"/>
    <w:uiPriority w:val="99"/>
    <w:tblPr>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il"/>
          <w:bottom w:val="single" w:color="6F6F6F" w:themeColor="text1" w:sz="4" w:space="0"/>
          <w:right w:val="nil"/>
        </w:tcBorders>
      </w:tcPr>
    </w:tblStylePr>
    <w:tblStylePr w:type="lastRow">
      <w:rPr>
        <w:b/>
        <w:sz w:val="22"/>
      </w:rPr>
      <w:tblPr/>
      <w:tcPr>
        <w:tcBorders>
          <w:top w:val="single" w:color="6F6F6F" w:themeColor="text1" w:sz="4" w:space="0"/>
          <w:left w:val="nil"/>
          <w:bottom w:val="single" w:color="6F6F6F" w:themeColor="text1" w:sz="4" w:space="0"/>
          <w:right w:val="nil"/>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f0"/>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b/>
        <w:sz w:val="22"/>
      </w:rPr>
      <w:tblPr/>
      <w:tcPr>
        <w:tcBorders>
          <w:top w:val="single" w:color="95AFDD" w:themeColor="accent1" w:sz="4" w:space="0"/>
          <w:left w:val="nil"/>
          <w:bottom w:val="single" w:color="95AFDD" w:themeColor="accent1" w:sz="4" w:space="0"/>
          <w:right w:val="nil"/>
        </w:tcBorders>
      </w:tcPr>
    </w:tblStylePr>
    <w:tblStylePr w:type="lastRow">
      <w:rPr>
        <w:b/>
        <w:sz w:val="22"/>
      </w:rPr>
      <w:tblPr/>
      <w:tcPr>
        <w:tcBorders>
          <w:top w:val="single" w:color="95AFDD" w:themeColor="accent1" w:sz="4" w:space="0"/>
          <w:left w:val="nil"/>
          <w:bottom w:val="single" w:color="95AFDD" w:themeColor="accent1" w:sz="4" w:space="0"/>
          <w:right w:val="nil"/>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af0"/>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il"/>
          <w:bottom w:val="single" w:color="F4B58A" w:themeColor="accent2" w:sz="4" w:space="0"/>
          <w:right w:val="nil"/>
        </w:tcBorders>
      </w:tcPr>
    </w:tblStylePr>
    <w:tblStylePr w:type="lastRow">
      <w:rPr>
        <w:b/>
        <w:sz w:val="22"/>
      </w:rPr>
      <w:tblPr/>
      <w:tcPr>
        <w:tcBorders>
          <w:top w:val="single" w:color="F4B58A" w:themeColor="accent2" w:sz="4" w:space="0"/>
          <w:left w:val="nil"/>
          <w:bottom w:val="single" w:color="F4B58A" w:themeColor="accent2" w:sz="4" w:space="0"/>
          <w:right w:val="nil"/>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f0"/>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il"/>
          <w:bottom w:val="single" w:color="CCCCCC" w:themeColor="accent3" w:sz="4" w:space="0"/>
          <w:right w:val="nil"/>
        </w:tcBorders>
      </w:tcPr>
    </w:tblStylePr>
    <w:tblStylePr w:type="lastRow">
      <w:rPr>
        <w:b/>
        <w:sz w:val="22"/>
      </w:rPr>
      <w:tblPr/>
      <w:tcPr>
        <w:tcBorders>
          <w:top w:val="single" w:color="CCCCCC" w:themeColor="accent3" w:sz="4" w:space="0"/>
          <w:left w:val="nil"/>
          <w:bottom w:val="single" w:color="CCCCCC" w:themeColor="accent3" w:sz="4" w:space="0"/>
          <w:right w:val="nil"/>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f0"/>
    <w:uiPriority w:val="99"/>
    <w:tblPr>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il"/>
          <w:bottom w:val="single" w:color="FFDB6F" w:themeColor="accent4" w:sz="4" w:space="0"/>
          <w:right w:val="nil"/>
        </w:tcBorders>
      </w:tcPr>
    </w:tblStylePr>
    <w:tblStylePr w:type="lastRow">
      <w:rPr>
        <w:b/>
        <w:sz w:val="22"/>
      </w:rPr>
      <w:tblPr/>
      <w:tcPr>
        <w:tcBorders>
          <w:top w:val="single" w:color="FFDB6F" w:themeColor="accent4" w:sz="4" w:space="0"/>
          <w:left w:val="nil"/>
          <w:bottom w:val="single" w:color="FFDB6F" w:themeColor="accent4" w:sz="4" w:space="0"/>
          <w:right w:val="nil"/>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f0"/>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b/>
        <w:sz w:val="22"/>
      </w:rPr>
      <w:tblPr/>
      <w:tcPr>
        <w:tcBorders>
          <w:top w:val="single" w:color="A2C6E7" w:themeColor="accent5" w:sz="4" w:space="0"/>
          <w:left w:val="nil"/>
          <w:bottom w:val="single" w:color="A2C6E7" w:themeColor="accent5" w:sz="4" w:space="0"/>
          <w:right w:val="nil"/>
        </w:tcBorders>
      </w:tcPr>
    </w:tblStylePr>
    <w:tblStylePr w:type="lastRow">
      <w:rPr>
        <w:b/>
        <w:sz w:val="22"/>
      </w:rPr>
      <w:tblPr/>
      <w:tcPr>
        <w:tcBorders>
          <w:top w:val="single" w:color="A2C6E7" w:themeColor="accent5" w:sz="4" w:space="0"/>
          <w:left w:val="nil"/>
          <w:bottom w:val="single" w:color="A2C6E7" w:themeColor="accent5" w:sz="4" w:space="0"/>
          <w:right w:val="nil"/>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af0"/>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il"/>
          <w:bottom w:val="single" w:color="ADD394" w:themeColor="accent6" w:sz="4" w:space="0"/>
          <w:right w:val="nil"/>
        </w:tcBorders>
      </w:tcPr>
    </w:tblStylePr>
    <w:tblStylePr w:type="lastRow">
      <w:rPr>
        <w:b/>
        <w:sz w:val="22"/>
      </w:rPr>
      <w:tblPr/>
      <w:tcPr>
        <w:tcBorders>
          <w:top w:val="single" w:color="ADD394" w:themeColor="accent6" w:sz="4" w:space="0"/>
          <w:left w:val="nil"/>
          <w:bottom w:val="single" w:color="ADD394" w:themeColor="accent6" w:sz="4" w:space="0"/>
          <w:right w:val="nil"/>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310">
    <w:name w:val="Список-таблица 31"/>
    <w:basedOn w:val="af0"/>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f0"/>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472C4" w:themeColor="accent1" w:sz="4" w:space="0"/>
          <w:right w:val="single" w:color="4472C4" w:themeColor="accent1" w:sz="4" w:space="0"/>
        </w:tcBorders>
      </w:tcPr>
    </w:tblStylePr>
    <w:tblStylePr w:type="band1Horz">
      <w:rPr>
        <w:sz w:val="22"/>
      </w:rPr>
      <w:tblPr/>
      <w:tcPr>
        <w:tcBorders>
          <w:top w:val="single" w:color="4472C4" w:themeColor="accent1" w:sz="4" w:space="0"/>
          <w:bottom w:val="single" w:color="4472C4" w:themeColor="accent1" w:sz="4" w:space="0"/>
        </w:tcBorders>
      </w:tcPr>
    </w:tblStylePr>
  </w:style>
  <w:style w:type="table" w:customStyle="1" w:styleId="ListTable3-Accent2">
    <w:name w:val="List Table 3 - Accent 2"/>
    <w:basedOn w:val="af0"/>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af0"/>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af0"/>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af0"/>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b/>
        <w:sz w:val="22"/>
      </w:rPr>
      <w:tblPr/>
      <w:tcPr>
        <w:shd w:val="clear" w:color="9BC2E5" w:fill="9BC2E5"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BC2E5" w:themeColor="accent5" w:sz="4" w:space="0"/>
          <w:right w:val="single" w:color="9BC2E5" w:themeColor="accent5" w:sz="4" w:space="0"/>
        </w:tcBorders>
      </w:tcPr>
    </w:tblStylePr>
    <w:tblStylePr w:type="band1Horz">
      <w:rPr>
        <w:sz w:val="22"/>
      </w:rPr>
      <w:tblPr/>
      <w:tcPr>
        <w:tcBorders>
          <w:top w:val="single" w:color="9BC2E5" w:themeColor="accent5" w:sz="4" w:space="0"/>
          <w:bottom w:val="single" w:color="9BC2E5" w:themeColor="accent5" w:sz="4" w:space="0"/>
        </w:tcBorders>
      </w:tcPr>
    </w:tblStylePr>
  </w:style>
  <w:style w:type="table" w:customStyle="1" w:styleId="ListTable3-Accent6">
    <w:name w:val="List Table 3 - Accent 6"/>
    <w:basedOn w:val="af0"/>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customStyle="1" w:styleId="-410">
    <w:name w:val="Список-таблица 41"/>
    <w:basedOn w:val="af0"/>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f0"/>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af0"/>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f0"/>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f0"/>
    <w:uiPriority w:val="9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f0"/>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b/>
        <w:sz w:val="22"/>
      </w:rPr>
      <w:tblPr/>
      <w:tcPr>
        <w:shd w:val="clear" w:color="5B9BD5" w:fill="5B9BD5"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af0"/>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510">
    <w:name w:val="Список-таблица 5 темная1"/>
    <w:basedOn w:val="af0"/>
    <w:uiPriority w:val="99"/>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f0"/>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b/>
        <w:color w:val="ffffff"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Row">
      <w:rPr>
        <w:b/>
        <w:color w:val="ffffff" w:themeColor="light1"/>
        <w:sz w:val="22"/>
      </w:rPr>
      <w:tblPr/>
    </w:tblStylePr>
    <w:tblStylePr w:type="firstCol">
      <w:rPr>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fill="4472C4" w:themeFill="accent1"/>
      </w:tcPr>
    </w:tblStylePr>
    <w:tblStylePr w:type="band2Horz">
      <w:tblPr/>
      <w:tcPr>
        <w:tcBorders>
          <w:top w:val="single" w:color="FFFFFF" w:themeColor="light1" w:sz="4" w:space="0"/>
          <w:bottom w:val="single" w:color="FFFFFF" w:themeColor="light1" w:sz="4" w:space="0"/>
        </w:tcBorders>
        <w:shd w:val="clear" w:color="4472C4" w:fill="4472C4" w:themeFill="accent1"/>
      </w:tcPr>
    </w:tblStylePr>
  </w:style>
  <w:style w:type="table" w:customStyle="1" w:styleId="ListTable5Dark-Accent2">
    <w:name w:val="List Table 5 Dark - Accent 2"/>
    <w:basedOn w:val="af0"/>
    <w:uiPriority w:val="99"/>
    <w:tblP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f0"/>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f0"/>
    <w:uiPriority w:val="99"/>
    <w:tblP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val="ffffff"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f0"/>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b/>
        <w:color w:val="ffffff" w:themeColor="light1"/>
        <w:sz w:val="22"/>
      </w:rPr>
      <w:tblPr/>
      <w:tcPr>
        <w:tcBorders>
          <w:top w:val="single" w:color="9BC2E5" w:themeColor="accent5" w:sz="32" w:space="0"/>
          <w:bottom w:val="single" w:color="FFFFFF" w:themeColor="light1" w:sz="12" w:space="0"/>
        </w:tcBorders>
        <w:shd w:val="clear" w:color="9BC2E5" w:fill="9BC2E5"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9BC2E5" w:themeColor="accent5" w:sz="32" w:space="0"/>
          <w:right w:val="single" w:color="FFFFFF" w:themeColor="light1" w:sz="4" w:space="0"/>
        </w:tcBorders>
      </w:tcPr>
    </w:tblStylePr>
    <w:tblStylePr w:type="lastCol">
      <w:tblPr/>
      <w:tcPr>
        <w:tcBorders>
          <w:left w:val="single" w:color="FFFFFF" w:themeColor="light1" w:sz="4" w:space="0"/>
          <w:right w:val="single" w:color="9BC2E5" w:themeColor="accent5" w:sz="32" w:space="0"/>
        </w:tcBorders>
      </w:tcPr>
    </w:tblStylePr>
    <w:tblStylePr w:type="band1Vert">
      <w:tblPr/>
      <w:tcPr>
        <w:tcBorders>
          <w:left w:val="single" w:color="FFFFFF" w:themeColor="light1" w:sz="4" w:space="0"/>
          <w:right w:val="single" w:color="FFFFFF" w:themeColor="light1" w:sz="4" w:space="0"/>
        </w:tcBorders>
        <w:shd w:val="clear" w:color="9BC2E5"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fill="9BC2E5" w:themeFill="accent5" w:themeFillTint="9a"/>
      </w:tcPr>
    </w:tblStylePr>
  </w:style>
  <w:style w:type="table" w:customStyle="1" w:styleId="ListTable5Dark-Accent6">
    <w:name w:val="List Table 5 Dark - Accent 6"/>
    <w:basedOn w:val="af0"/>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customStyle="1" w:styleId="-610">
    <w:name w:val="Список-таблица 6 цветная1"/>
    <w:basedOn w:val="af0"/>
    <w:uiPriority w:val="99"/>
    <w:tblPr>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sz="4" w:space="0"/>
        </w:tcBorders>
      </w:tcPr>
    </w:tblStylePr>
    <w:tblStylePr w:type="lastRow">
      <w:rPr>
        <w:b/>
        <w:color w:val="000000" w:themeColor="text1"/>
      </w:rPr>
      <w:tblPr/>
      <w:tcPr>
        <w:tcBorders>
          <w:top w:val="single" w:color="7F7F7F"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af0"/>
    <w:uiPriority w:val="99"/>
    <w:tblPr>
      <w:tblBorders>
        <w:top w:val="single" w:color="4472C4" w:themeColor="accent1" w:sz="4" w:space="0"/>
        <w:bottom w:val="single" w:color="4472C4" w:themeColor="accent1" w:sz="4" w:space="0"/>
      </w:tblBorders>
    </w:tblPr>
    <w:tblStylePr w:type="firstRow">
      <w:rPr>
        <w:b/>
        <w:color w:val="244174" w:themeColor="accent1" w:themeShade="94"/>
      </w:rPr>
      <w:tblPr/>
      <w:tcPr>
        <w:tcBorders>
          <w:bottom w:val="single" w:color="4472C4" w:themeColor="accent1" w:sz="4" w:space="0"/>
        </w:tcBorders>
      </w:tcPr>
    </w:tblStylePr>
    <w:tblStylePr w:type="lastRow">
      <w:rPr>
        <w:b/>
        <w:color w:val="244174" w:themeColor="accent1" w:themeShade="94"/>
      </w:rPr>
      <w:tblPr/>
      <w:tcPr>
        <w:tcBorders>
          <w:top w:val="single" w:color="4472C4" w:themeColor="accent1" w:sz="4" w:space="0"/>
        </w:tcBorders>
      </w:tcPr>
    </w:tblStylePr>
    <w:tblStylePr w:type="firstCol">
      <w:rPr>
        <w:b/>
        <w:color w:val="244174" w:themeColor="accent1" w:themeShade="94"/>
      </w:rPr>
      <w:tblPr/>
    </w:tblStylePr>
    <w:tblStylePr w:type="lastCol">
      <w:rPr>
        <w:b/>
        <w:color w:val="244174" w:themeColor="accent1" w:themeShade="94"/>
      </w:rPr>
      <w:tbl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6Colorful-Accent2">
    <w:name w:val="List Table 6 Colorful - Accent 2"/>
    <w:basedOn w:val="af0"/>
    <w:uiPriority w:val="99"/>
    <w:tblPr>
      <w:tblBorders>
        <w:top w:val="single" w:color="F4B184" w:themeColor="accent2" w:themeTint="97" w:sz="4" w:space="0"/>
        <w:bottom w:val="single" w:color="F4B184" w:themeColor="accent2" w:themeTint="97" w:sz="4" w:space="0"/>
      </w:tblBorders>
    </w:tblPr>
    <w:tblStylePr w:type="firstRow">
      <w:rPr>
        <w:b/>
        <w:color w:val="f4b285" w:themeColor="accent2" w:themeTint="96"/>
      </w:rPr>
      <w:tblPr/>
      <w:tcPr>
        <w:tcBorders>
          <w:bottom w:val="single" w:color="F4B184" w:themeColor="accent2" w:sz="4" w:space="0"/>
        </w:tcBorders>
      </w:tcPr>
    </w:tblStylePr>
    <w:tblStylePr w:type="lastRow">
      <w:rPr>
        <w:b/>
        <w:color w:val="f4b285" w:themeColor="accent2" w:themeTint="96"/>
      </w:rPr>
      <w:tblPr/>
      <w:tcPr>
        <w:tcBorders>
          <w:top w:val="single" w:color="F4B184" w:themeColor="accent2" w:sz="4" w:space="0"/>
        </w:tcBorders>
      </w:tc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6Colorful-Accent3">
    <w:name w:val="List Table 6 Colorful - Accent 3"/>
    <w:basedOn w:val="af0"/>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rPr>
      <w:tblPr/>
      <w:tcPr>
        <w:tcBorders>
          <w:bottom w:val="single" w:color="C9C9C9" w:themeColor="accent3" w:sz="4" w:space="0"/>
        </w:tcBorders>
      </w:tcPr>
    </w:tblStylePr>
    <w:tblStylePr w:type="lastRow">
      <w:rPr>
        <w:b/>
        <w:color w:val="c9c9c9" w:themeColor="accent3" w:themeTint="99"/>
      </w:rPr>
      <w:tblPr/>
      <w:tcPr>
        <w:tcBorders>
          <w:top w:val="single" w:color="C9C9C9" w:themeColor="accent3" w:sz="4" w:space="0"/>
        </w:tcBorders>
      </w:tcPr>
    </w:tblStylePr>
    <w:tblStylePr w:type="firstCol">
      <w:rPr>
        <w:b/>
        <w:color w:val="c9c9c9" w:themeColor="accent3" w:themeTint="99"/>
      </w:rPr>
      <w:tblPr/>
    </w:tblStylePr>
    <w:tblStylePr w:type="lastCol">
      <w:rPr>
        <w:b/>
        <w:color w:val="c9c9c9" w:themeColor="accent3" w:themeTint="99"/>
      </w:rPr>
      <w:tbl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6Colorful-Accent4">
    <w:name w:val="List Table 6 Colorful - Accent 4"/>
    <w:basedOn w:val="af0"/>
    <w:uiPriority w:val="99"/>
    <w:tblPr>
      <w:tblBorders>
        <w:top w:val="single" w:color="FFD865" w:themeColor="accent4" w:themeTint="9a" w:sz="4" w:space="0"/>
        <w:bottom w:val="single" w:color="FFD865" w:themeColor="accent4" w:themeTint="9a" w:sz="4" w:space="0"/>
      </w:tblBorders>
    </w:tblPr>
    <w:tblStylePr w:type="firstRow">
      <w:rPr>
        <w:b/>
        <w:color w:val="ffd966" w:themeColor="accent4" w:themeTint="99"/>
      </w:rPr>
      <w:tblPr/>
      <w:tcPr>
        <w:tcBorders>
          <w:bottom w:val="single" w:color="FFD865" w:themeColor="accent4" w:sz="4" w:space="0"/>
        </w:tcBorders>
      </w:tcPr>
    </w:tblStylePr>
    <w:tblStylePr w:type="lastRow">
      <w:rPr>
        <w:b/>
        <w:color w:val="ffd966" w:themeColor="accent4" w:themeTint="99"/>
      </w:rPr>
      <w:tblPr/>
      <w:tcPr>
        <w:tcBorders>
          <w:top w:val="single" w:color="FFD865" w:themeColor="accent4" w:sz="4" w:space="0"/>
        </w:tcBorders>
      </w:tc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6Colorful-Accent5">
    <w:name w:val="List Table 6 Colorful - Accent 5"/>
    <w:basedOn w:val="af0"/>
    <w:uiPriority w:val="99"/>
    <w:tblPr>
      <w:tblBorders>
        <w:top w:val="single" w:color="9BC2E5" w:themeColor="accent5" w:themeTint="9a" w:sz="4" w:space="0"/>
        <w:bottom w:val="single" w:color="9BC2E5" w:themeColor="accent5" w:themeTint="9a" w:sz="4" w:space="0"/>
      </w:tblBorders>
    </w:tblPr>
    <w:tblStylePr w:type="firstRow">
      <w:rPr>
        <w:b/>
        <w:color w:val="9cc2e5" w:themeColor="accent5" w:themeTint="99"/>
      </w:rPr>
      <w:tblPr/>
      <w:tcPr>
        <w:tcBorders>
          <w:bottom w:val="single" w:color="9BC2E5" w:themeColor="accent5" w:sz="4" w:space="0"/>
        </w:tcBorders>
      </w:tcPr>
    </w:tblStylePr>
    <w:tblStylePr w:type="lastRow">
      <w:rPr>
        <w:b/>
        <w:color w:val="9cc2e5" w:themeColor="accent5" w:themeTint="99"/>
      </w:rPr>
      <w:tblPr/>
      <w:tcPr>
        <w:tcBorders>
          <w:top w:val="single" w:color="9BC2E5" w:themeColor="accent5" w:sz="4" w:space="0"/>
        </w:tcBorders>
      </w:tcPr>
    </w:tblStylePr>
    <w:tblStylePr w:type="firstCol">
      <w:rPr>
        <w:b/>
        <w:color w:val="9cc2e5" w:themeColor="accent5" w:themeTint="99"/>
      </w:rPr>
      <w:tblPr/>
    </w:tblStylePr>
    <w:tblStylePr w:type="lastCol">
      <w:rPr>
        <w:b/>
        <w:color w:val="9cc2e5" w:themeColor="accent5" w:themeTint="99"/>
      </w:rPr>
      <w:tbl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6Colorful-Accent6">
    <w:name w:val="List Table 6 Colorful - Accent 6"/>
    <w:basedOn w:val="af0"/>
    <w:uiPriority w:val="99"/>
    <w:tblPr>
      <w:tblBorders>
        <w:top w:val="single" w:color="A9D08E" w:themeColor="accent6" w:themeTint="98" w:sz="4" w:space="0"/>
        <w:bottom w:val="single" w:color="A9D08E" w:themeColor="accent6" w:themeTint="98" w:sz="4" w:space="0"/>
      </w:tblBorders>
    </w:tblPr>
    <w:tblStylePr w:type="firstRow">
      <w:rPr>
        <w:b/>
        <w:color w:val="a8d08d" w:themeColor="accent6" w:themeTint="99"/>
      </w:rPr>
      <w:tblPr/>
      <w:tcPr>
        <w:tcBorders>
          <w:bottom w:val="single" w:color="A9D08E" w:themeColor="accent6" w:sz="4" w:space="0"/>
        </w:tcBorders>
      </w:tcPr>
    </w:tblStylePr>
    <w:tblStylePr w:type="lastRow">
      <w:rPr>
        <w:b/>
        <w:color w:val="a8d08d" w:themeColor="accent6" w:themeTint="99"/>
      </w:rPr>
      <w:tblPr/>
      <w:tcPr>
        <w:tcBorders>
          <w:top w:val="single" w:color="A9D08E" w:themeColor="accent6" w:sz="4" w:space="0"/>
        </w:tcBorders>
      </w:tcPr>
    </w:tblStylePr>
    <w:tblStylePr w:type="firstCol">
      <w:rPr>
        <w:b/>
        <w:color w:val="a8d08d" w:themeColor="accent6" w:themeTint="99"/>
      </w:rPr>
      <w:tblPr/>
    </w:tblStylePr>
    <w:tblStylePr w:type="lastCol">
      <w:rPr>
        <w:b/>
        <w:color w:val="a8d08d" w:themeColor="accent6" w:themeTint="99"/>
      </w:rPr>
      <w:tbl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710">
    <w:name w:val="Список-таблица 7 цветная1"/>
    <w:basedOn w:val="af0"/>
    <w:uiPriority w:val="99"/>
    <w:tblPr>
      <w:tblBorders>
        <w:right w:val="single" w:color="7F7F7F" w:themeColor="text1" w:themeTint="80" w:sz="4" w:space="0"/>
      </w:tblBorders>
    </w:tblPr>
    <w:tblStylePr w:type="firstRow">
      <w:rPr>
        <w:i/>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i/>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sz w:val="22"/>
      </w:rPr>
      <w:tblPr/>
      <w:tcPr>
        <w:shd w:val="clear" w:color="BFBFBF" w:fill="BFBFBF" w:themeFill="text1" w:themeFillTint="40"/>
      </w:tcPr>
    </w:tblStylePr>
    <w:tblStylePr w:type="band2Horz">
      <w:rPr>
        <w:color w:val="7f7f7f" w:themeColor="text1" w:themeTint="80"/>
        <w:sz w:val="22"/>
      </w:rPr>
      <w:tblPr/>
    </w:tblStylePr>
  </w:style>
  <w:style w:type="table" w:customStyle="1" w:styleId="ListTable7Colorful-Accent1">
    <w:name w:val="List Table 7 Colorful - Accent 1"/>
    <w:basedOn w:val="af0"/>
    <w:uiPriority w:val="99"/>
    <w:tblPr>
      <w:tblBorders>
        <w:right w:val="single" w:color="4472C4" w:themeColor="accent1" w:sz="4" w:space="0"/>
      </w:tblBorders>
    </w:tblPr>
    <w:tblStylePr w:type="firstRow">
      <w:rPr>
        <w:i/>
        <w:color w:val="244174" w:themeColor="accent1" w:themeShade="94"/>
        <w:sz w:val="22"/>
      </w:rPr>
      <w:tblPr/>
      <w:tcPr>
        <w:tcBorders>
          <w:top w:val="nil"/>
          <w:left w:val="nil"/>
          <w:bottom w:val="single" w:color="4472C4" w:themeColor="accent1" w:sz="4" w:space="0"/>
          <w:right w:val="nil"/>
        </w:tcBorders>
        <w:shd w:val="clear" w:color="FFFFFF" w:fill="FFFFFF" w:themeFill="light1"/>
      </w:tcPr>
    </w:tblStylePr>
    <w:tblStylePr w:type="lastRow">
      <w:rPr>
        <w:i/>
        <w:color w:val="244174" w:themeColor="accent1" w:themeShade="94"/>
        <w:sz w:val="22"/>
      </w:rPr>
      <w:tblPr/>
      <w:tcPr>
        <w:tcBorders>
          <w:top w:val="single" w:color="4472C4" w:themeColor="accent1" w:sz="4" w:space="0"/>
          <w:left w:val="nil"/>
          <w:bottom w:val="nil"/>
          <w:right w:val="nil"/>
        </w:tcBorders>
        <w:shd w:val="clear" w:color="FFFFFF" w:fill="FFFFFF" w:themeFill="light1"/>
      </w:tcPr>
    </w:tblStylePr>
    <w:tblStylePr w:type="firstCol">
      <w:pPr>
        <w:jc w:val="right"/>
      </w:pPr>
      <w:rPr>
        <w:i/>
        <w:color w:val="244174" w:themeColor="accent1" w:themeShade="94"/>
        <w:sz w:val="22"/>
      </w:rPr>
      <w:tblPr/>
      <w:tcPr>
        <w:tcBorders>
          <w:top w:val="nil"/>
          <w:left w:val="nil"/>
          <w:bottom w:val="nil"/>
          <w:right w:val="single" w:color="4472C4" w:themeColor="accent1" w:sz="4" w:space="0"/>
        </w:tcBorders>
        <w:shd w:val="clear" w:color="FFFFFF" w:fill="auto"/>
      </w:tcPr>
    </w:tblStylePr>
    <w:tblStylePr w:type="lastCol">
      <w:rPr>
        <w:i/>
        <w:color w:val="244174" w:themeColor="accent1" w:themeShade="94"/>
        <w:sz w:val="22"/>
      </w:rPr>
      <w:tblPr/>
      <w:tcPr>
        <w:tcBorders>
          <w:top w:val="nil"/>
          <w:left w:val="single" w:color="4472C4" w:themeColor="accent1" w:sz="4" w:space="0"/>
          <w:bottom w:val="nil"/>
          <w:right w:val="nil"/>
        </w:tcBorders>
        <w:shd w:val="clear" w:color="FFFFFF" w:fill="auto"/>
      </w:tc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7Colorful-Accent2">
    <w:name w:val="List Table 7 Colorful - Accent 2"/>
    <w:basedOn w:val="af0"/>
    <w:uiPriority w:val="99"/>
    <w:tblPr>
      <w:tblBorders>
        <w:right w:val="single" w:color="F4B184" w:themeColor="accent2" w:themeTint="97" w:sz="4" w:space="0"/>
      </w:tblBorders>
    </w:tblPr>
    <w:tblStylePr w:type="firstRow">
      <w:rPr>
        <w:i/>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i/>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7Colorful-Accent3">
    <w:name w:val="List Table 7 Colorful - Accent 3"/>
    <w:basedOn w:val="af0"/>
    <w:uiPriority w:val="99"/>
    <w:tblPr>
      <w:tblBorders>
        <w:right w:val="single" w:color="C9C9C9" w:themeColor="accent3" w:themeTint="98" w:sz="4" w:space="0"/>
      </w:tblBorders>
    </w:tblPr>
    <w:tblStylePr w:type="firstRow">
      <w:rPr>
        <w:i/>
        <w:color w:val="c9c9c9" w:themeColor="accent3" w:themeTint="99"/>
        <w:sz w:val="22"/>
      </w:rPr>
      <w:tblPr/>
      <w:tcPr>
        <w:tcBorders>
          <w:top w:val="nil"/>
          <w:left w:val="nil"/>
          <w:bottom w:val="single" w:color="C9C9C9" w:themeColor="accent3" w:sz="4" w:space="0"/>
          <w:right w:val="nil"/>
        </w:tcBorders>
        <w:shd w:val="clear" w:color="FFFFFF" w:fill="FFFFFF" w:themeFill="light1"/>
      </w:tcPr>
    </w:tblStylePr>
    <w:tblStylePr w:type="lastRow">
      <w:rPr>
        <w:i/>
        <w:color w:val="c9c9c9" w:themeColor="accent3" w:themeTint="99"/>
        <w:sz w:val="22"/>
      </w:rPr>
      <w:tblPr/>
      <w:tcPr>
        <w:tcBorders>
          <w:top w:val="single" w:color="C9C9C9" w:themeColor="accent3" w:sz="4" w:space="0"/>
          <w:left w:val="nil"/>
          <w:bottom w:val="nil"/>
          <w:right w:val="nil"/>
        </w:tcBorders>
        <w:shd w:val="clear" w:color="FFFFFF" w:fill="FFFFFF" w:themeFill="light1"/>
      </w:tcPr>
    </w:tblStylePr>
    <w:tblStylePr w:type="firstCol">
      <w:pPr>
        <w:jc w:val="right"/>
      </w:pPr>
      <w:rPr>
        <w:i/>
        <w:color w:val="c9c9c9" w:themeColor="accent3" w:themeTint="99"/>
        <w:sz w:val="22"/>
      </w:rPr>
      <w:tblPr/>
      <w:tcPr>
        <w:tcBorders>
          <w:top w:val="nil"/>
          <w:left w:val="nil"/>
          <w:bottom w:val="nil"/>
          <w:right w:val="single" w:color="C9C9C9" w:themeColor="accent3" w:sz="4" w:space="0"/>
        </w:tcBorders>
        <w:shd w:val="clear" w:color="FFFFFF" w:fill="auto"/>
      </w:tcPr>
    </w:tblStylePr>
    <w:tblStylePr w:type="lastCol">
      <w:rPr>
        <w:i/>
        <w:color w:val="c9c9c9" w:themeColor="accent3" w:themeTint="99"/>
        <w:sz w:val="22"/>
      </w:rPr>
      <w:tblPr/>
      <w:tcPr>
        <w:tcBorders>
          <w:top w:val="nil"/>
          <w:left w:val="single" w:color="C9C9C9" w:themeColor="accent3" w:sz="4" w:space="0"/>
          <w:bottom w:val="nil"/>
          <w:right w:val="nil"/>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7Colorful-Accent4">
    <w:name w:val="List Table 7 Colorful - Accent 4"/>
    <w:basedOn w:val="af0"/>
    <w:uiPriority w:val="99"/>
    <w:tblPr>
      <w:tblBorders>
        <w:right w:val="single" w:color="FFD865" w:themeColor="accent4" w:themeTint="9a" w:sz="4" w:space="0"/>
      </w:tblBorders>
    </w:tblPr>
    <w:tblStylePr w:type="firstRow">
      <w:rPr>
        <w:i/>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i/>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7Colorful-Accent5">
    <w:name w:val="List Table 7 Colorful - Accent 5"/>
    <w:basedOn w:val="af0"/>
    <w:uiPriority w:val="99"/>
    <w:tblPr>
      <w:tblBorders>
        <w:right w:val="single" w:color="9BC2E5" w:themeColor="accent5" w:themeTint="9a" w:sz="4" w:space="0"/>
      </w:tblBorders>
    </w:tblPr>
    <w:tblStylePr w:type="firstRow">
      <w:rPr>
        <w:i/>
        <w:color w:val="9cc2e5" w:themeColor="accent5" w:themeTint="99"/>
        <w:sz w:val="22"/>
      </w:rPr>
      <w:tblPr/>
      <w:tcPr>
        <w:tcBorders>
          <w:top w:val="nil"/>
          <w:left w:val="nil"/>
          <w:bottom w:val="single" w:color="9BC2E5" w:themeColor="accent5" w:sz="4" w:space="0"/>
          <w:right w:val="nil"/>
        </w:tcBorders>
        <w:shd w:val="clear" w:color="FFFFFF" w:fill="FFFFFF" w:themeFill="light1"/>
      </w:tcPr>
    </w:tblStylePr>
    <w:tblStylePr w:type="lastRow">
      <w:rPr>
        <w:i/>
        <w:color w:val="9cc2e5" w:themeColor="accent5" w:themeTint="99"/>
        <w:sz w:val="22"/>
      </w:rPr>
      <w:tblPr/>
      <w:tcPr>
        <w:tcBorders>
          <w:top w:val="single" w:color="9BC2E5" w:themeColor="accent5" w:sz="4" w:space="0"/>
          <w:left w:val="nil"/>
          <w:bottom w:val="nil"/>
          <w:right w:val="nil"/>
        </w:tcBorders>
        <w:shd w:val="clear" w:color="FFFFFF" w:fill="FFFFFF" w:themeFill="light1"/>
      </w:tcPr>
    </w:tblStylePr>
    <w:tblStylePr w:type="firstCol">
      <w:pPr>
        <w:jc w:val="right"/>
      </w:pPr>
      <w:rPr>
        <w:i/>
        <w:color w:val="9cc2e5" w:themeColor="accent5" w:themeTint="99"/>
        <w:sz w:val="22"/>
      </w:rPr>
      <w:tblPr/>
      <w:tcPr>
        <w:tcBorders>
          <w:top w:val="nil"/>
          <w:left w:val="nil"/>
          <w:bottom w:val="nil"/>
          <w:right w:val="single" w:color="9BC2E5" w:themeColor="accent5" w:sz="4" w:space="0"/>
        </w:tcBorders>
        <w:shd w:val="clear" w:color="FFFFFF" w:fill="auto"/>
      </w:tcPr>
    </w:tblStylePr>
    <w:tblStylePr w:type="lastCol">
      <w:rPr>
        <w:i/>
        <w:color w:val="9cc2e5" w:themeColor="accent5" w:themeTint="99"/>
        <w:sz w:val="22"/>
      </w:rPr>
      <w:tblPr/>
      <w:tcPr>
        <w:tcBorders>
          <w:top w:val="nil"/>
          <w:left w:val="single" w:color="9BC2E5" w:themeColor="accent5" w:sz="4" w:space="0"/>
          <w:bottom w:val="nil"/>
          <w:right w:val="nil"/>
        </w:tcBorders>
        <w:shd w:val="clear" w:color="FFFFFF" w:fill="auto"/>
      </w:tc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7Colorful-Accent6">
    <w:name w:val="List Table 7 Colorful - Accent 6"/>
    <w:basedOn w:val="af0"/>
    <w:uiPriority w:val="99"/>
    <w:tblPr>
      <w:tblBorders>
        <w:right w:val="single" w:color="A9D08E" w:themeColor="accent6" w:themeTint="98" w:sz="4" w:space="0"/>
      </w:tblBorders>
    </w:tblPr>
    <w:tblStylePr w:type="firstRow">
      <w:rPr>
        <w:i/>
        <w:color w:val="a8d08d" w:themeColor="accent6" w:themeTint="99"/>
        <w:sz w:val="22"/>
      </w:rPr>
      <w:tblPr/>
      <w:tcPr>
        <w:tcBorders>
          <w:top w:val="nil"/>
          <w:left w:val="nil"/>
          <w:bottom w:val="single" w:color="A9D08E" w:themeColor="accent6" w:sz="4" w:space="0"/>
          <w:right w:val="nil"/>
        </w:tcBorders>
        <w:shd w:val="clear" w:color="FFFFFF" w:fill="FFFFFF" w:themeFill="light1"/>
      </w:tcPr>
    </w:tblStylePr>
    <w:tblStylePr w:type="lastRow">
      <w:rPr>
        <w:i/>
        <w:color w:val="a8d08d" w:themeColor="accent6" w:themeTint="99"/>
        <w:sz w:val="22"/>
      </w:rPr>
      <w:tblPr/>
      <w:tcPr>
        <w:tcBorders>
          <w:top w:val="single" w:color="A9D08E" w:themeColor="accent6" w:sz="4" w:space="0"/>
          <w:left w:val="nil"/>
          <w:bottom w:val="nil"/>
          <w:right w:val="nil"/>
        </w:tcBorders>
        <w:shd w:val="clear" w:color="FFFFFF" w:fill="FFFFFF" w:themeFill="light1"/>
      </w:tcPr>
    </w:tblStylePr>
    <w:tblStylePr w:type="firstCol">
      <w:pPr>
        <w:jc w:val="right"/>
      </w:pPr>
      <w:rPr>
        <w:i/>
        <w:color w:val="a8d08d" w:themeColor="accent6" w:themeTint="99"/>
        <w:sz w:val="22"/>
      </w:rPr>
      <w:tblPr/>
      <w:tcPr>
        <w:tcBorders>
          <w:top w:val="nil"/>
          <w:left w:val="nil"/>
          <w:bottom w:val="nil"/>
          <w:right w:val="single" w:color="A9D08E" w:themeColor="accent6" w:sz="4" w:space="0"/>
        </w:tcBorders>
        <w:shd w:val="clear" w:color="FFFFFF" w:fill="auto"/>
      </w:tcPr>
    </w:tblStylePr>
    <w:tblStylePr w:type="lastCol">
      <w:rPr>
        <w:i/>
        <w:color w:val="a8d08d" w:themeColor="accent6" w:themeTint="99"/>
        <w:sz w:val="22"/>
      </w:rPr>
      <w:tblPr/>
      <w:tcPr>
        <w:tcBorders>
          <w:top w:val="nil"/>
          <w:left w:val="single" w:color="A9D08E" w:themeColor="accent6" w:sz="4" w:space="0"/>
          <w:bottom w:val="nil"/>
          <w:right w:val="nil"/>
        </w:tcBorders>
        <w:shd w:val="clear" w:color="FFFFFF" w:fill="auto"/>
      </w:tc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Lined-Accent">
    <w:name w:val="Lined - Accent"/>
    <w:basedOn w:val="af0"/>
    <w:uiPriority w:val="99"/>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f0"/>
    <w:uiPriority w:val="99"/>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Lined-Accent2">
    <w:name w:val="Lined - Accent 2"/>
    <w:basedOn w:val="af0"/>
    <w:uiPriority w:val="99"/>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f0"/>
    <w:uiPriority w:val="99"/>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f0"/>
    <w:uiPriority w:val="99"/>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f0"/>
    <w:uiPriority w:val="99"/>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Lined-Accent6">
    <w:name w:val="Lined - Accent 6"/>
    <w:basedOn w:val="af0"/>
    <w:uiPriority w:val="99"/>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f0"/>
    <w:uiPriority w:val="99"/>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f0"/>
    <w:uiPriority w:val="99"/>
    <w:tblPr>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af0"/>
    <w:uiPriority w:val="99"/>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f0"/>
    <w:uiPriority w:val="99"/>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f0"/>
    <w:uiPriority w:val="99"/>
    <w:tblPr>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f0"/>
    <w:uiPriority w:val="99"/>
    <w:tblPr>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af0"/>
    <w:uiPriority w:val="99"/>
    <w:tblPr>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f0"/>
    <w:uiPriority w:val="99"/>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f0"/>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sz w:val="22"/>
      </w:rPr>
      <w:tblPr/>
      <w:tcPr>
        <w:tcBorders>
          <w:bottom w:val="single" w:color="4472C4" w:themeColor="accent1" w:sz="12" w:space="0"/>
        </w:tcBorders>
      </w:tcPr>
    </w:tblStylePr>
    <w:tblStylePr w:type="lastRow">
      <w:rPr>
        <w:sz w:val="22"/>
      </w:rPr>
      <w:tblPr/>
      <w:tcPr>
        <w:tcBorders>
          <w:top w:val="single" w:color="4472C4" w:themeColor="accent1" w:sz="12" w:space="0"/>
        </w:tcBorders>
      </w:tcPr>
    </w:tblStylePr>
    <w:tblStylePr w:type="firstCol">
      <w:rPr>
        <w:sz w:val="22"/>
      </w:rPr>
      <w:tblPr/>
    </w:tblStylePr>
    <w:tblStylePr w:type="lastCol">
      <w:rPr>
        <w:sz w:val="22"/>
      </w:rPr>
      <w:tblPr/>
      <w:tcPr>
        <w:tcBorders>
          <w:left w:val="single" w:color="4472C4" w:themeColor="accent1" w:sz="12" w:space="0"/>
        </w:tcBorders>
      </w:tc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Bordered-Accent2">
    <w:name w:val="Bordered - Accent 2"/>
    <w:basedOn w:val="af0"/>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af0"/>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af0"/>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af0"/>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sz w:val="22"/>
      </w:rPr>
      <w:tblPr/>
      <w:tcPr>
        <w:tcBorders>
          <w:bottom w:val="single" w:color="9BC2E5" w:themeColor="accent5" w:sz="12" w:space="0"/>
        </w:tcBorders>
      </w:tcPr>
    </w:tblStylePr>
    <w:tblStylePr w:type="lastRow">
      <w:rPr>
        <w:sz w:val="22"/>
      </w:rPr>
      <w:tblPr/>
      <w:tcPr>
        <w:tcBorders>
          <w:top w:val="single" w:color="9BC2E5" w:themeColor="accent5" w:sz="12" w:space="0"/>
        </w:tcBorders>
      </w:tcPr>
    </w:tblStylePr>
    <w:tblStylePr w:type="firstCol">
      <w:rPr>
        <w:sz w:val="22"/>
      </w:rPr>
      <w:tblPr/>
    </w:tblStylePr>
    <w:tblStylePr w:type="lastCol">
      <w:rPr>
        <w:sz w:val="22"/>
      </w:rPr>
      <w:tblPr/>
      <w:tcPr>
        <w:tcBorders>
          <w:left w:val="single" w:color="9BC2E5" w:themeColor="accent5" w:sz="12" w:space="0"/>
        </w:tcBorders>
      </w:tc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Bordered-Accent6">
    <w:name w:val="Bordered - Accent 6"/>
    <w:basedOn w:val="af0"/>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afffff7">
    <w:name w:val="_Таблица"/>
    <w:basedOn w:val="a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afffff8">
    <w:name w:val="_Таблица примечания"/>
    <w:basedOn w:val="af0"/>
    <w:pPr>
      <w:spacing w:before="120" w:after="120"/>
    </w:pPr>
    <w:tblStylePr w:type="lastCol">
      <w:tblPr/>
      <w:tcPr>
        <w:tcBorders>
          <w:top w:val="single" w:color="000000" w:sz="4" w:space="0"/>
          <w:left w:val="single" w:color="000000" w:sz="4" w:space="0"/>
          <w:bottom w:val="single" w:color="000000" w:sz="4" w:space="0"/>
          <w:right w:val="single" w:color="000000" w:sz="4" w:space="0"/>
        </w:tcBorders>
      </w:tcPr>
    </w:tblStylePr>
  </w:style>
  <w:style w:type="table" w:customStyle="1" w:styleId="afffff9">
    <w:name w:val="_Таблица содержания работ"/>
    <w:basedOn w:val="a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lastCol">
      <w:pPr>
        <w:jc w:val="center"/>
      </w:pPr>
      <w:tblPr/>
      <w:tcPr>
        <w:vAlign w:val="center"/>
      </w:tcPr>
    </w:tblStylePr>
  </w:style>
  <w:style w:type="table" w:customStyle="1" w:styleId="afffffff0">
    <w:name w:val="_Титул_Невидимая таблица"/>
    <w:basedOn w:val="af0"/>
  </w:style>
  <w:style w:type="table" w:customStyle="1" w:styleId="1f1">
    <w:name w:val="Сетка таблицы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reestr.digital.gov.ru/" TargetMode="External"/><Relationship Id="rId9" Type="http://schemas.openxmlformats.org/officeDocument/2006/relationships/hyperlink" Target="https://reestr.digital.gov.ru/" TargetMode="External"/><Relationship Id="rId10" Type="http://schemas.openxmlformats.org/officeDocument/2006/relationships/hyperlink" Target="https://help.vetrf.ru/wiki/&#1057;&#1087;&#1088;&#1072;&#1074;&#1086;&#1095;&#1085;&#1072;&#1103;_&#1089;&#1080;&#1089;&#1090;&#1077;&#1084;&#1072;" TargetMode="External"/><Relationship Id="rId11" Type="http://schemas.openxmlformats.org/officeDocument/2006/relationships/hyperlink" Target="https://rosstat.gov.ru/statistics/price" TargetMode="Externa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oleObject" Target="embeddings/oleObject1.bin"/><Relationship Id="rId25" Type="http://schemas.openxmlformats.org/officeDocument/2006/relationships/image" Target="media/image1.emf"/><Relationship Id="rId26" Type="http://schemas.openxmlformats.org/officeDocument/2006/relationships/image" Target="media/image2.png"/><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275CF-ADAA-46E5-9E97-13F6106B8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5375</TotalTime>
  <Application>LibreOffice/26.2.6.3$Linux_X86_64 LibreOffice_project/620$Build-3</Application>
  <AppVersion>15.0000</AppVersion>
  <Pages>71</Pages>
  <Words>15588</Words>
  <Characters>115277</Characters>
  <CharactersWithSpaces>129625</CharactersWithSpaces>
  <Paragraphs>1030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2026-04-10T11:29:00Z</dcterms:created>
  <dc:creator/>
  <dc:description/>
  <dc:language>en-US</dc:language>
  <cp:lastModifiedBy/>
  <dcterms:modified xsi:type="dcterms:W3CDTF">2026-10-07T18:41:07Z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6EE6F4A8B8094D7199298AD13AD892A1_13</vt:lpwstr>
  </property>
  <property fmtid="{D5CDD505-2E9C-101B-9397-08002B2CF9AE}" pid="3" name="KSOProductBuildVer">
    <vt:lpwstr>1049-12.2.0.23196</vt:lpwstr>
  </property>
</Properties>
</file>