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Матрица ответственности: РСХН «Цифровой надзор» (на основе ТЗ от 30.09.2026)</w:t>
      </w:r>
    </w:p>
    <w:tbl>
      <w:tblPr>
        <w:tblStyle w:val="TableGrid"/>
        <w:tblW w:w="1470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51"/>
        <w:gridCol w:w="2450"/>
        <w:gridCol w:w="2452"/>
        <w:gridCol w:w="2451"/>
        <w:gridCol w:w="2450"/>
        <w:gridCol w:w="2452"/>
      </w:tblGrid>
      <w:tr>
        <w:trPr>
          <w:tblHeader w:val="true"/>
        </w:trPr>
        <w:tc>
          <w:tcPr>
            <w:tcW w:w="2451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Блок ТЗ (источник в ТЗ)</w:t>
            </w:r>
          </w:p>
        </w:tc>
        <w:tc>
          <w:tcPr>
            <w:tcW w:w="245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Modus BI</w:t>
            </w:r>
          </w:p>
        </w:tc>
        <w:tc>
          <w:tcPr>
            <w:tcW w:w="2452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Сбербанк</w:t>
            </w:r>
          </w:p>
        </w:tc>
        <w:tc>
          <w:tcPr>
            <w:tcW w:w="2451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ИВИС</w:t>
            </w:r>
          </w:p>
        </w:tc>
        <w:tc>
          <w:tcPr>
            <w:tcW w:w="245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Генподрядчик</w:t>
            </w:r>
          </w:p>
        </w:tc>
        <w:tc>
          <w:tcPr>
            <w:tcW w:w="2452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Не определено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1. Управление проектом и ответственность за ТЗ в целом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п. 1.4; пп. 2.1.1–2.1.14; разд. 3; пп. 4.1–4.3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Выполнить выделенный объём задач Modus BI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Реализовать выделенные сервисы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Подтвердить состав 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и 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сроки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 своей части и интерфейсов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Сквозной результат перед заказчиком, проектный офис, общий план, согласование распределения работ и изменений объёма, контроль зависимостей, сдача результатов, патентная чистота и конфиденциальность (пп. 2.1.1, 2.1.8, 2.1.10)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Кто выступает Исполнителем/генподрядчиком; как оформляются ответственность подрядчиков и изменение сроков/стоимости («не ограничиваясь ими», п. 2.1.1)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2. Обследование, ЧТЗ, техническое и рабочее проектирование, единая архитектура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п. 1.9 (задачи 1–3); пп. 2.2, 2.3, 2.4; Прил. 2, разд. 1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Описать процессы, данные, интерфейсы, статусы, права и интеграции своего контура; 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при необходимости, 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изменения существующих АРМ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Описать алгоритмы и архитектуру ИИ, доказательной базы и НДС, входы/выходы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Описать механизм обмена, виды сведений 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 ограничения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Разработать и согласовать единые ЧТЗ и технический проект, границы компонентов, нормативные алгоритмы; назначить владельцев нераспределённых работ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Единый технический владелец архитектуры; совмещение с параллельными изменениями действующей АС; перенос действующих данных и процессов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3. Модернизация 10 сценарных ИИ-моделей (5 ключевых + 5 дополнительных)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п. 2.2.1; разд. 1 (подсистема ИИ)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Принимать и отображать результаты моделей, идентификаторы, статусы, ошибки; связать с карточками и решениями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Модернизировать модели (алгоритмы/правила/ML), использовать разметку, сохранять служебные данные и тестовое описание расчётов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—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перечень моделей и критерии результата, обеспечить доступ к разметке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Окончательный перечень и форматы результатов; исполнитель привязан к разделению зон — подтвердить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4. Отслеживаемые факты, расчёт и пересчёт цифровых индикаторов (5 индикаторов приказа № 732)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п. 2.1; п. 2.2.2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Пользовательская часть: ручной ввод и подтверждение фактов, смена статуса, вызов пересчёта, приём результата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Передавать результаты ИИ-моделей и данные для учёта фактов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—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Назначить исполнителя расчётной части, согласовать алгоритмы, периодичность, проверку качества (не ниже исходной версии)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Исполнитель выявления фактов самими ЦИ, агрегации, расчёта срабатывания и пересчёта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 (за интерфейсом и ИИ он не закрыт)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5. Интерфейсы: АРМ Эксперта/Инспектора, карточки срабатываний ЦИ, решения инспектора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п. 2.3.1; п. 2.3.2; п. 2.2.2 (карточки)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Доработать формы одиночной/групповой обработки, создать формы работы с ЦИ: списки, карточки, статусы, позиция инспектора, предупреждения и запреты отправки, история действий, вызов доказательной базы и пересчёта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Возвращать результаты, ошибки, расхождения для отображения и блокировки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Возвращать статусы СМЭВ-обменов для карточки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сценарии, роли, макеты, статусы; обеспечить связность пользовательского и расчётного сценариев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Модель статусов и смысл «автоматически удалённой» карточки; точный состав изменений существующих форм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6. Технические и системные справочники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п. 2.2.3; разд. 4 (системные справочники); разд. 5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Использовать справочники в формах, ручной ввод отсутствующих значений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Использовать согласованные значения в моделях и сервисах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Требования внешнего обмена к кодам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перечень справочников, правила наполнения и актуализации, владельцев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Исполнитель хранилища справочников, первичного наполнения, актуализации, сопоставления кодов между контурами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7. Автоматический сбор доказательной базы (PDF, JSON/XML)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разд. 3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Вызывать сервис, передавать идентификаторы, принимать и отображать материалы и результаты проверки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Сервис сбора и обогащения доказательств, PDF-пакет, структурированные сведения, подключение сервиса подписи заказчика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Передать пакет во внешний контур, если он входит в СМЭВ-сообщение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состав доказательств, доступы к источникам, сервис подписания PDF (предоставляет Заказчик)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Хранение файлов (файлы или ссылки), доступ и сроки хранения; ручное прикрепление; подпись PDF ≠ подпись СМЭВ-сообщения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8. Категорирование: расчёт категории риска и отслеживание факторов, ручное уточнение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разд. 4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Базово: готовить данные, принимать и отображать категорию, факторы, статусы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Передавать имеющиеся данные и результаты сервисов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При необходимости обмен по СМЭВ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архитектуру категорирования и покрытие требований раздела 4, назначить исполнителя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Исполнитель первичного/повторного расчёта, факторов, справочников, хранения обоснований и полного пользовательского процесса (ручное дополнение, подтверждение)</w:t>
            </w: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; где работают пользователи — в АС или во внешнем контуре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9. НДС и объёмы подконтрольной продукции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разд. 5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Получать и отображать результаты, связывать с объектом и решением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НДС-сервис: справочники продукции и цен, сбор нарушений, расчёт и агрегация ущерба, доступ внешним потребителям, поиск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Только при отдельном СМЭВ-сценарии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источники, потребителей, доступы, критерии приёмки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Реализация форм управления справочниками и поиска; поддержка справочников после сдачи; протокол доступа и ролевая модель (определяются техпроектом)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10. Статистические и технические отчёты (10 шт.)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разд. 6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Реализовать отчётность в контуре АС по согласованным макетам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Предоставить результаты и события сервисов, показатели НДС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Статусы и технические данные обменов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перечень, макеты и источники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Полный состав 10 отчётов, источники данных по КНМ, правонарушениям и мерам; исполнитель отчётов вне АС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11. Данные: дополнительные источники, ETL, хранилище, хранение результатов и истории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разд. 1 (источник данных); п. 2.2.1; п. 2.2.2; разд. 4; разд. 5; п. 2.3.2 (история); разд. 7 (приём и сохранение)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Определить потребности карточек, форм и отчётов в витринах; хранить карточки, решения, статусы, историю и след обменов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Обосновать дополнительные данные; хранить расчёты и результаты своих сервисов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Данные по согласованным источникам СМЭВ; идентификаторы и статусы обменов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перечень источников, план загрузок, исполнителей ETL; Заказчик обеспечивает первичную загрузку, ETL выполняет Исполнитель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Исполнители ETL, витрин и новых связей; схема хранения, сроки, резервное копирование; хранение полного XML и файлов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12. Интеграции: СМЭВ 3 (срабатывания, изменение категории), приём ответов, внутренние вызовы, ЕРВК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Прил. 2, разд. 7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Подготовить данные, инициировать отправку, принять и сохранить ответ и ошибки; своя сторона внутренних вызовов (пересчёт ЦИ, доказательная база, справочники)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Своя сторона интерфейсов ИИ, доказательной базы, НДС; форматы и ошибки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Транспорт через СМЭВ 3 и возврат результата; XML — после закрепления варианта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Согласовать контракты, схемы, доступы и сквозную проверку; назначить владельцев интеграций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Кто формирует и валидирует XML, маппинг, подпись транспорта, повторы; вид сведений СМЭВ 3 для изменения категории (в ТЗ «какого?»); механизм внутренних вызовов; ЕРВК в ТЗ напрямую не требуется — состав сценариев согласовать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13. Информационная безопасность: роли и права, меры защиты, безопасная разработка, уязвимости, удалённый доступ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п. 4.4 (вкл. 4.4.1); п. 2.3; Прил. 2, разд. 1 (готовность к аттестации, Astra Linux SE)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Права на свои интерфейсы и данные, регистрация событий (УПД, РСБ), безопасная разработка и устранение уязвимостей своей части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Аналогично по своим сервисам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Меры защиты своего контура обмена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Анализ защищённости, ролевая модель и общие механизмы, контроль устранения уязвимостей (условие окончательной приёмки), соглашения о неразглашении и ИБ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Исполнитель общесистемных ИБ-проверок и исправления существующих компонентов; владельцы общих механизмов; граница с работами Заказчика (сертификация, аттестация, угрозы — вне ТЗ, п. 4.4.1)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14. Среды, ПО, производительность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п. 2.1.3; Прил. 2, разд. 1 (Astra Linux SE 1.7+, свободное ПО, 300 пользователей, отклик до 30 с, нагрузочное тестирование)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Готовность своей части к развёртыванию, совместимость с ОС и ПО, показатели интерфейса и интеграций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То же по расчётным сервисам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Характеристики обмена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Распределить зоны сред с Заказчиком (п. 2.1.3), общее развёртывание, сквозное нагрузочное тестирование на ПИ и ПНИ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Кто предоставляет и администрирует инфраструктуру и лицензии; исполнитель общесистемного нагрузочного тестирования; охват требований 300/30 с на существующие АРМ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15. Пусконаладка, испытания (предварительные, опытная эксплуатация, приёмочные)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п. 2.5; п. 3.1; Прил. 1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Проверить свою функциональность и интеграции, участвовать в сквозных сценариях, устранять дефекты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Проверить модели и сервисы, дать тестовые данные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Проверка обменов, ответы и ошибки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Программы и методики, последовательность пусконаладка → ПИ → ОЭ → ПсИ, сводные протоколы и акты, устранение межкомпонентных дефектов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Команда общесистемного тестирования, тестовые наборы, внешние стенды, сроки исправлений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16. Документация, исходный код, сдача по календарному плану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пп. 2.1.4, 2.1.5, 2.1.11; пп. 2.3, 2.4; разд. 3.1, 3.2; Прил. 1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Документация и исходный код своих доработок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Документация и код своих сервисов, описание расчётов и контрактов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Описание своей части обмена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Полный комплект ЧТЗ, техпроекта, рабочей и эксплуатационной документации по ГОСТ, свод частей, передача Заказчику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Авторы и согласующие общесистемных документов; границы обновления документации существующей АС; материалы по доработкам ИВИС</w:t>
            </w:r>
          </w:p>
        </w:tc>
      </w:tr>
      <w:tr>
        <w:trPr/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17. Гарантийные обязательства и устранение замечаний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i/>
                <w:color w:val="404040"/>
                <w:kern w:val="0"/>
                <w:sz w:val="15"/>
                <w:szCs w:val="22"/>
                <w:lang w:val="en-US" w:eastAsia="en-US" w:bidi="ar-SA"/>
              </w:rPr>
              <w:t>Источник: ТЗ п. 4.2; п. 3.1.4; п. 4.3; п. 4.4.1 (уязвимости в гарантийный срок)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Устранять дефекты и уязвимости своей части</w:t>
            </w:r>
          </w:p>
        </w:tc>
        <w:tc>
          <w:tcPr>
            <w:tcW w:w="245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Аналогично по своим сервисам</w:t>
            </w:r>
          </w:p>
        </w:tc>
        <w:tc>
          <w:tcPr>
            <w:tcW w:w="2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Дефекты своей части обмена</w:t>
            </w:r>
          </w:p>
        </w:tc>
        <w:tc>
          <w:tcPr>
            <w:tcW w:w="24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Единый приём замечаний, назначение исполнителей, соблюдение условий гарантии</w:t>
            </w:r>
          </w:p>
        </w:tc>
        <w:tc>
          <w:tcPr>
            <w:tcW w:w="2452" w:type="dxa"/>
            <w:tcBorders/>
            <w:shd w:fill="FFF2CC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Порядок сопровождения смежных и существующих компонентов, сроки реакции, распределение затрат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16"/>
        </w:rPr>
        <w:t>Примечания. Ссылки даны на оригинальный ТЗ: «ТЗ п. …» — основной текст, «Прил. 2, разд./п. …» — Приложение 2 «Требования к развитию Системы», «Прил. 1» — Календарный план. Столбец «Не определено» — работы и решения, которые ТЗ не закрепляет за конкретной стороной и которые нужно назначить или согласовать. Распределение по Modus BI, Сбербанку и ИВИС — рабочая гипотеза для согласования с заказчиком и участниками, а не условие ТЗ: ТЗ говорит только об «Исполнителе» и «Заказчике».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16"/>
        </w:rPr>
        <w:t>Граница работ по ИБ (ТЗ п. 4.4.1): сертификация/инспекционный контроль, формирование требований к защите информации, доработка и внедрение системы защиты, аттестация и определение угроз выполняются отдельно и в ТЗ не входят; встроенные функции безопасности, проектные решения по защите, анализ защищённости и устранение уязвимостей остаются в объёме Исполнителя.</w:t>
      </w:r>
    </w:p>
    <w:sectPr>
      <w:type w:val="nextPage"/>
      <w:pgSz w:orient="landscape" w:w="15840" w:h="12240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LibreOffice/26.2.6.3$Linux_X86_64 LibreOffice_project/620$Build-3</Application>
  <AppVersion>15.0000</AppVersion>
  <Pages>4</Pages>
  <Words>1386</Words>
  <Characters>9441</Characters>
  <CharactersWithSpaces>10708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2026-10-07T09:55:19Z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