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er1.xml" ContentType="application/vnd.openxmlformats-officedocument.wordprocessingml.footer+xml"/>
  <Override PartName="/word/header5.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b/>
          <w:color w:val="000000"/>
          <w:sz w:val="28"/>
        </w:rPr>
      </w:pPr>
      <w:r>
        <w:rPr>
          <w:b/>
          <w:color w:val="000000"/>
          <w:sz w:val="28"/>
        </w:rPr>
      </w:r>
    </w:p>
    <w:p>
      <w:pPr>
        <w:pStyle w:val="Normal"/>
        <w:jc w:val="center"/>
        <w:rPr>
          <w:sz w:val="28"/>
          <w:szCs w:val="28"/>
        </w:rPr>
      </w:pPr>
      <w:r>
        <w:rPr>
          <w:b/>
          <w:color w:val="000000"/>
          <w:sz w:val="28"/>
        </w:rPr>
        <w:t>ФУНКЦИОНАЛЬНЫЕ ТРЕБОВАНИЯ</w:t>
      </w:r>
    </w:p>
    <w:p>
      <w:pPr>
        <w:pStyle w:val="Normal"/>
        <w:rPr>
          <w:sz w:val="28"/>
          <w:szCs w:val="28"/>
        </w:rPr>
      </w:pPr>
      <w:r>
        <w:rPr>
          <w:sz w:val="28"/>
          <w:szCs w:val="28"/>
        </w:rPr>
      </w:r>
    </w:p>
    <w:p>
      <w:pPr>
        <w:pStyle w:val="Normal"/>
        <w:jc w:val="center"/>
        <w:rPr>
          <w:sz w:val="28"/>
          <w:szCs w:val="28"/>
        </w:rPr>
      </w:pPr>
      <w:r>
        <w:rPr>
          <w:sz w:val="28"/>
          <w:szCs w:val="28"/>
        </w:rPr>
        <w:t>к созданию сервиса Россельхознадзора «Цифровой надзор» единой цифровой платформы Российской Федерации «ГосТех» в части государственного ветеринарного надзора</w:t>
      </w:r>
    </w:p>
    <w:p>
      <w:pPr>
        <w:pStyle w:val="Normal"/>
        <w:jc w:val="center"/>
        <w:rPr>
          <w:sz w:val="28"/>
          <w:szCs w:val="28"/>
        </w:rPr>
      </w:pPr>
      <w:r>
        <w:rPr>
          <w:sz w:val="28"/>
          <w:szCs w:val="28"/>
        </w:rPr>
      </w:r>
    </w:p>
    <w:p>
      <w:pPr>
        <w:pStyle w:val="Normal"/>
        <w:jc w:val="center"/>
        <w:rPr>
          <w:sz w:val="28"/>
          <w:szCs w:val="28"/>
        </w:rPr>
      </w:pPr>
      <w:r>
        <w:rPr>
          <w:sz w:val="28"/>
          <w:szCs w:val="28"/>
        </w:rPr>
        <w:t>(для Аналитической системы Россельхознадзора)</w:t>
      </w:r>
    </w:p>
    <w:p>
      <w:pPr>
        <w:pStyle w:val="Normal"/>
        <w:jc w:val="center"/>
        <w:rPr>
          <w:sz w:val="28"/>
          <w:szCs w:val="28"/>
        </w:rPr>
      </w:pPr>
      <w:r>
        <w:rPr>
          <w:sz w:val="28"/>
          <w:szCs w:val="28"/>
        </w:rPr>
      </w:r>
    </w:p>
    <w:p>
      <w:pPr>
        <w:pStyle w:val="Normal"/>
        <w:spacing w:before="0" w:after="0"/>
        <w:jc w:val="center"/>
        <w:rPr/>
        <w:sectPr>
          <w:headerReference w:type="even" r:id="rId2"/>
          <w:headerReference w:type="default" r:id="rId3"/>
          <w:headerReference w:type="first" r:id="rId4"/>
          <w:type w:val="nextPage"/>
          <w:pgSz w:w="11906" w:h="16838"/>
          <w:pgMar w:left="1701" w:right="850" w:gutter="0" w:header="708" w:top="1134" w:footer="0" w:bottom="1134"/>
          <w:pgNumType w:start="1" w:fmt="decimal"/>
          <w:formProt w:val="false"/>
          <w:textDirection w:val="lrTb"/>
          <w:docGrid w:type="default" w:linePitch="360" w:charSpace="0"/>
        </w:sectPr>
      </w:pPr>
      <w:r>
        <w:rPr/>
      </w:r>
    </w:p>
    <w:p>
      <w:pPr>
        <w:pStyle w:val="Heading1"/>
        <w:ind w:hanging="431" w:start="431"/>
        <w:rPr>
          <w:rFonts w:eastAsia="Calibri"/>
        </w:rPr>
      </w:pPr>
      <w:r>
        <w:rPr/>
        <w:t>Наименование сервиса</w:t>
      </w:r>
    </w:p>
    <w:p>
      <w:pPr>
        <w:pStyle w:val="Normal"/>
        <w:rPr>
          <w:b/>
        </w:rPr>
      </w:pPr>
      <w:r>
        <w:rPr>
          <w:b/>
        </w:rPr>
      </w:r>
    </w:p>
    <w:p>
      <w:pPr>
        <w:pStyle w:val="Normal"/>
        <w:rPr/>
      </w:pPr>
      <w:r>
        <w:rPr>
          <w:b/>
        </w:rPr>
        <w:t>Полное наименование:</w:t>
      </w:r>
      <w:r>
        <w:rPr/>
        <w:t xml:space="preserve"> Сервис Россельхознадзора «Цифровой надзор» единой цифровой платформы Российской Федерации «ГосТех».</w:t>
      </w:r>
    </w:p>
    <w:p>
      <w:pPr>
        <w:pStyle w:val="Normal"/>
        <w:rPr/>
      </w:pPr>
      <w:r>
        <w:rPr>
          <w:b/>
        </w:rPr>
        <w:t>Краткое наименование</w:t>
      </w:r>
      <w:r>
        <w:rPr/>
        <w:t>: Сервис.</w:t>
      </w:r>
    </w:p>
    <w:p>
      <w:pPr>
        <w:pStyle w:val="Normal"/>
        <w:rPr/>
      </w:pPr>
      <w:r>
        <w:rPr/>
      </w:r>
    </w:p>
    <w:p>
      <w:pPr>
        <w:pStyle w:val="Heading1"/>
        <w:ind w:hanging="431" w:start="431"/>
        <w:rPr/>
      </w:pPr>
      <w:r>
        <w:rPr/>
        <w:t>Цель и задачи создания сервиса</w:t>
      </w:r>
    </w:p>
    <w:p>
      <w:pPr>
        <w:pStyle w:val="Normal"/>
        <w:ind w:firstLine="431"/>
        <w:rPr/>
      </w:pPr>
      <w:r>
        <w:rPr/>
        <w:t xml:space="preserve">Сервис Россельхознадзора «Цифровой надзор» единой цифровой платформы Российской Федерации «ГосТех» (далее – </w:t>
      </w:r>
      <w:commentRangeStart w:id="0"/>
      <w:commentRangeStart w:id="1"/>
      <w:r>
        <w:rPr/>
        <w:t>Сервис РСХН) и интегрированная</w:t>
      </w:r>
      <w:r>
        <w:rPr/>
      </w:r>
      <w:commentRangeEnd w:id="0"/>
      <w:r>
        <w:commentReference w:id="0"/>
      </w:r>
      <w:r>
        <w:rPr/>
      </w:r>
      <w:commentRangeEnd w:id="1"/>
      <w:r>
        <w:commentReference w:id="1"/>
      </w:r>
      <w:r>
        <w:rPr/>
        <w:t xml:space="preserve"> с ним Аналитическая система Россельхознадзора (далее – Аналитическая система РСХН; при совместном упоминании – Сервис) предназначены для </w:t>
      </w:r>
      <w:r>
        <w:rPr>
          <w:rFonts w:cs="Calibri" w:cstheme="minorHAnsi"/>
        </w:rPr>
        <w:t xml:space="preserve">осуществления в цифровом виде государственной контрольной (надзорной) деятельности в соответствии с </w:t>
      </w:r>
      <w:r>
        <w:rPr/>
        <w:t>Федеральным законом от 31.07.2020 № 248-ФЗ «О государственном контроле (надзоре) и муниципальном контроле в Российской Федерации» (далее – Закон 248-ФЗ) в части государственного ветеринарного надзора.</w:t>
      </w:r>
    </w:p>
    <w:p>
      <w:pPr>
        <w:pStyle w:val="Normal"/>
        <w:ind w:firstLine="431"/>
        <w:rPr/>
      </w:pPr>
      <w:r>
        <w:rPr/>
        <w:t>Целями создания Сервиса с учетом п. 5 ст. 17 Закона 248-ФЗ являются:</w:t>
      </w:r>
    </w:p>
    <w:p>
      <w:pPr>
        <w:pStyle w:val="ListParagraph"/>
        <w:numPr>
          <w:ilvl w:val="0"/>
          <w:numId w:val="5"/>
        </w:numPr>
        <w:rPr/>
      </w:pPr>
      <w:r>
        <w:rPr/>
        <w:t>учет объектов контроля и связанных с ними контролируемых лиц;</w:t>
      </w:r>
    </w:p>
    <w:p>
      <w:pPr>
        <w:pStyle w:val="ListParagraph"/>
        <w:numPr>
          <w:ilvl w:val="0"/>
          <w:numId w:val="5"/>
        </w:numPr>
        <w:rPr/>
      </w:pPr>
      <w:r>
        <w:rPr/>
        <w:t>учет сведений о соблюдении (несоблюдении) контролируемыми лицами обязательных требований, в том числе посредством сбора данных, использования технических средств (включая электронные устройства и инструменты анализа данных и выявления цифровых индикаторов риска нарушения обязательных требований);</w:t>
      </w:r>
    </w:p>
    <w:p>
      <w:pPr>
        <w:pStyle w:val="ListParagraph"/>
        <w:numPr>
          <w:ilvl w:val="0"/>
          <w:numId w:val="5"/>
        </w:numPr>
        <w:rPr/>
      </w:pPr>
      <w:r>
        <w:rPr/>
        <w:t>взаимодействие при организации и осуществлении федерального государственного ветеринарного надзора с контролируемыми лицами, органами прокуратуры, иными гражданами и организациями, государственными органами, органами местного самоуправления;</w:t>
      </w:r>
    </w:p>
    <w:p>
      <w:pPr>
        <w:pStyle w:val="ListParagraph"/>
        <w:numPr>
          <w:ilvl w:val="0"/>
          <w:numId w:val="5"/>
        </w:numPr>
        <w:rPr/>
      </w:pPr>
      <w:r>
        <w:rPr/>
        <w:t>учет действий и решений должностных лиц Федеральной службы по ветеринарному и фитосанитарному надзору и решений Федеральной службы по ветеринарному и фитосанитарному надзору, принимаемых при организации и осуществлении федерального государственного ветеринарного надзора;</w:t>
      </w:r>
    </w:p>
    <w:p>
      <w:pPr>
        <w:pStyle w:val="ListParagraph"/>
        <w:numPr>
          <w:ilvl w:val="0"/>
          <w:numId w:val="5"/>
        </w:numPr>
        <w:rPr/>
      </w:pPr>
      <w:r>
        <w:rPr/>
        <w:t>учет результатов проведения профилактических мероприятий, контрольных (надзорных) мероприятий федерального государственного ветеринарного надзора;</w:t>
      </w:r>
    </w:p>
    <w:p>
      <w:pPr>
        <w:pStyle w:val="ListParagraph"/>
        <w:numPr>
          <w:ilvl w:val="0"/>
          <w:numId w:val="5"/>
        </w:numPr>
        <w:rPr/>
      </w:pPr>
      <w:r>
        <w:rPr/>
        <w:t>учет сведений о пресечении выявленных нарушений обязательных требований, об устранении их последствий и (или) о восстановлении правового положения, существовавшего до таких нарушений;</w:t>
      </w:r>
    </w:p>
    <w:p>
      <w:pPr>
        <w:pStyle w:val="ListParagraph"/>
        <w:numPr>
          <w:ilvl w:val="0"/>
          <w:numId w:val="5"/>
        </w:numPr>
        <w:rPr/>
      </w:pPr>
      <w:r>
        <w:rPr/>
        <w:t xml:space="preserve">информационное сопровождение организации и осуществления федерального государственного ветеринарного надзора, включая совершенствование цифровых индикаторов рисков из </w:t>
      </w:r>
      <w:r>
        <w:rPr>
          <w:color w:val="000000"/>
        </w:rPr>
        <w:t>Дорожной карты РСХН.</w:t>
      </w:r>
    </w:p>
    <w:p>
      <w:pPr>
        <w:pStyle w:val="Normal"/>
        <w:rPr/>
      </w:pPr>
      <w:r>
        <w:rPr/>
        <w:t>Задачами создания Сервиса с учетом положений Постановления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являются:</w:t>
      </w:r>
    </w:p>
    <w:p>
      <w:pPr>
        <w:pStyle w:val="ListParagraph"/>
        <w:numPr>
          <w:ilvl w:val="0"/>
          <w:numId w:val="5"/>
        </w:numPr>
        <w:rPr/>
      </w:pPr>
      <w:r>
        <w:rPr/>
        <w:t>проектирование Сервиса;</w:t>
      </w:r>
    </w:p>
    <w:p>
      <w:pPr>
        <w:pStyle w:val="ListParagraph"/>
        <w:numPr>
          <w:ilvl w:val="0"/>
          <w:numId w:val="5"/>
        </w:numPr>
        <w:rPr/>
      </w:pPr>
      <w:r>
        <w:rPr/>
        <w:t>разработка Сервиса и рабочей документации к нему;</w:t>
      </w:r>
    </w:p>
    <w:p>
      <w:pPr>
        <w:pStyle w:val="ListParagraph"/>
        <w:numPr>
          <w:ilvl w:val="0"/>
          <w:numId w:val="5"/>
        </w:numPr>
        <w:rPr/>
      </w:pPr>
      <w:r>
        <w:rPr/>
        <w:t>пусконаладочные работы Сервиса;</w:t>
      </w:r>
    </w:p>
    <w:p>
      <w:pPr>
        <w:pStyle w:val="ListParagraph"/>
        <w:numPr>
          <w:ilvl w:val="0"/>
          <w:numId w:val="5"/>
        </w:numPr>
        <w:rPr/>
      </w:pPr>
      <w:r>
        <w:rPr/>
        <w:t>предварительные испытания Сервиса;</w:t>
      </w:r>
    </w:p>
    <w:p>
      <w:pPr>
        <w:pStyle w:val="ListParagraph"/>
        <w:numPr>
          <w:ilvl w:val="0"/>
          <w:numId w:val="5"/>
        </w:numPr>
        <w:rPr/>
      </w:pPr>
      <w:r>
        <w:rPr/>
        <w:t>опытная эксплуатацию Сервиса;</w:t>
      </w:r>
    </w:p>
    <w:p>
      <w:pPr>
        <w:pStyle w:val="ListParagraph"/>
        <w:numPr>
          <w:ilvl w:val="0"/>
          <w:numId w:val="5"/>
        </w:numPr>
        <w:rPr/>
      </w:pPr>
      <w:r>
        <w:rPr/>
        <w:t>приемочные испытания Сервиса.</w:t>
      </w:r>
    </w:p>
    <w:p>
      <w:pPr>
        <w:pStyle w:val="Heading1"/>
        <w:ind w:hanging="431" w:start="431"/>
        <w:rPr>
          <w:rFonts w:eastAsia="Calibri"/>
        </w:rPr>
      </w:pPr>
      <w:r>
        <w:rPr/>
        <w:t>Исходные данные</w:t>
      </w:r>
    </w:p>
    <w:p>
      <w:pPr>
        <w:pStyle w:val="Heading2"/>
        <w:rPr/>
      </w:pPr>
      <w:r>
        <w:rPr/>
        <w:t>Перечень исходных материалов и документов, использованных при разработке описания сервиса</w:t>
      </w:r>
    </w:p>
    <w:p>
      <w:pPr>
        <w:pStyle w:val="Normal"/>
        <w:rPr/>
      </w:pPr>
      <w:r>
        <w:rPr/>
        <w:t>Перечень документов, использованных при разработке ФТ, приведен в Приложении А к ФТ.</w:t>
      </w:r>
    </w:p>
    <w:p>
      <w:pPr>
        <w:pStyle w:val="Normal"/>
        <w:rPr/>
      </w:pPr>
      <w:r>
        <w:rPr/>
        <w:t>Перечень используемых терминов и определений приведен в Приложении Б к ФТ.</w:t>
      </w:r>
    </w:p>
    <w:p>
      <w:pPr>
        <w:pStyle w:val="Normal"/>
        <w:rPr/>
      </w:pPr>
      <w:r>
        <w:rPr/>
        <w:t>Предварительное архитектурное представление и функциональные возможности Сервиса приведены в приложении В к ФТ.</w:t>
      </w:r>
    </w:p>
    <w:p>
      <w:pPr>
        <w:pStyle w:val="Normal"/>
        <w:rPr/>
      </w:pPr>
      <w:r>
        <w:rPr/>
        <w:t>Календарный план выполнения работ приведен в приложении Г.</w:t>
      </w:r>
    </w:p>
    <w:p>
      <w:pPr>
        <w:pStyle w:val="Heading2"/>
        <w:rPr/>
      </w:pPr>
      <w:r>
        <w:rPr/>
        <w:t>Сведения о цифровых индикаторах риска</w:t>
      </w:r>
    </w:p>
    <w:p>
      <w:pPr>
        <w:pStyle w:val="Normal"/>
        <w:ind w:firstLine="431"/>
        <w:rPr/>
      </w:pPr>
      <w:commentRangeStart w:id="2"/>
      <w:r>
        <w:rPr>
          <w:color w:val="000000"/>
        </w:rPr>
        <w:t xml:space="preserve">В Дорожной карте </w:t>
      </w:r>
      <w:r>
        <w:rPr>
          <w:rFonts w:cs="Calibri" w:cstheme="minorHAnsi"/>
          <w:color w:val="000000"/>
        </w:rPr>
        <w:t xml:space="preserve">РСХН </w:t>
      </w:r>
      <w:r>
        <w:rPr>
          <w:rFonts w:cs="Calibri" w:cstheme="minorHAnsi"/>
          <w:color w:val="000000"/>
        </w:rPr>
      </w:r>
      <w:commentRangeEnd w:id="2"/>
      <w:r>
        <w:commentReference w:id="2"/>
      </w:r>
      <w:r>
        <w:rPr>
          <w:rFonts w:cs="Calibri" w:cstheme="minorHAnsi"/>
          <w:color w:val="000000"/>
        </w:rPr>
        <w:t xml:space="preserve">указаны цифровые индикаторы рисков, развитие которых необходимо в рамках создания Сервиса. Они созданы на основе следующих нормативных индикаторов риска из </w:t>
      </w:r>
      <w:r>
        <w:rPr/>
        <w:t>Приказа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ListParagraph"/>
        <w:numPr>
          <w:ilvl w:val="0"/>
          <w:numId w:val="6"/>
        </w:numPr>
        <w:rPr/>
      </w:pPr>
      <w:r>
        <w:rPr/>
        <w:t xml:space="preserve">№ </w:t>
      </w:r>
      <w:r>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6"/>
        </w:numPr>
        <w:rPr/>
      </w:pPr>
      <w:r>
        <w:rPr/>
        <w:t xml:space="preserve">№ </w:t>
      </w:r>
      <w:r>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6"/>
        </w:numPr>
        <w:rPr/>
      </w:pPr>
      <w:r>
        <w:rPr/>
        <w:t xml:space="preserve">№ </w:t>
      </w:r>
      <w:r>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6"/>
        </w:numPr>
        <w:rPr/>
      </w:pPr>
      <w:r>
        <w:rPr>
          <w:rStyle w:val="docdata"/>
          <w:color w:val="000000"/>
        </w:rPr>
        <w:t xml:space="preserve">№ </w:t>
      </w:r>
      <w:r>
        <w:rPr>
          <w:rStyle w:val="docdata"/>
          <w:color w:val="000000"/>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6"/>
        </w:numPr>
        <w:rPr/>
      </w:pPr>
      <w:r>
        <w:rPr>
          <w:rStyle w:val="docdata"/>
          <w:color w:val="000000"/>
        </w:rPr>
        <w:t xml:space="preserve">№ </w:t>
      </w:r>
      <w:r>
        <w:rPr>
          <w:rStyle w:val="docdata"/>
          <w:color w:val="000000"/>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Heading1"/>
        <w:ind w:hanging="431" w:start="431"/>
        <w:rPr>
          <w:rFonts w:eastAsia="Calibri"/>
        </w:rPr>
      </w:pPr>
      <w:r>
        <w:rPr/>
        <w:t xml:space="preserve">Характеристика автоматизируемой функции </w:t>
      </w:r>
    </w:p>
    <w:p>
      <w:pPr>
        <w:pStyle w:val="Heading2"/>
        <w:rPr/>
      </w:pPr>
      <w:r>
        <w:rPr/>
        <w:t>Требования к работам в части Аналитической системы РСХН</w:t>
      </w:r>
    </w:p>
    <w:p>
      <w:pPr>
        <w:pStyle w:val="Heading3"/>
        <w:rPr/>
      </w:pPr>
      <w:r>
        <w:rPr/>
        <w:t>Требования к сервису выявления индикаторов риска</w:t>
      </w:r>
    </w:p>
    <w:p>
      <w:pPr>
        <w:pStyle w:val="NormalWeb"/>
        <w:numPr>
          <w:ilvl w:val="0"/>
          <w:numId w:val="7"/>
        </w:numPr>
        <w:spacing w:beforeAutospacing="0" w:before="0" w:afterAutospacing="0" w:after="0"/>
        <w:jc w:val="both"/>
        <w:rPr>
          <w:color w:val="000000"/>
        </w:rPr>
      </w:pPr>
      <w:commentRangeStart w:id="3"/>
      <w:commentRangeStart w:id="4"/>
      <w:r>
        <w:rPr>
          <w:color w:val="000000"/>
        </w:rPr>
        <w:t xml:space="preserve">Сервис выявления индикаторов риска </w:t>
      </w:r>
      <w:r>
        <w:rPr>
          <w:color w:val="000000"/>
        </w:rPr>
      </w:r>
      <w:commentRangeEnd w:id="4"/>
      <w:r>
        <w:commentReference w:id="4"/>
      </w:r>
      <w:r>
        <w:rPr>
          <w:color w:val="000000"/>
        </w:rPr>
      </w:r>
      <w:commentRangeEnd w:id="3"/>
      <w:r>
        <w:commentReference w:id="3"/>
      </w:r>
      <w:r>
        <w:rPr>
          <w:color w:val="000000"/>
        </w:rPr>
        <w:t xml:space="preserve">должен входить в состав </w:t>
      </w:r>
      <w:commentRangeStart w:id="5"/>
      <w:commentRangeStart w:id="6"/>
      <w:r>
        <w:rPr>
          <w:color w:val="000000"/>
        </w:rPr>
        <w:t>подсистемы цифровых индикаторов рисков</w:t>
      </w:r>
      <w:r>
        <w:rPr>
          <w:color w:val="000000"/>
        </w:rPr>
      </w:r>
      <w:commentRangeEnd w:id="6"/>
      <w:r>
        <w:commentReference w:id="6"/>
      </w:r>
      <w:r>
        <w:rPr>
          <w:color w:val="000000"/>
        </w:rPr>
      </w:r>
      <w:commentRangeEnd w:id="5"/>
      <w:r>
        <w:commentReference w:id="5"/>
      </w:r>
      <w:r>
        <w:rPr>
          <w:color w:val="000000"/>
        </w:rPr>
        <w:t xml:space="preserve"> Аналитической системы РСХН. В рамках работ по созданию сервиса выявления индикаторов риска необходимо доработать функциональные возможности по выполнению регулярного расчета значений цифровых индикаторов риска для индикаторов, определенных Дорожной картой РСХН, согласно следующим требованиям: </w:t>
      </w:r>
    </w:p>
    <w:p>
      <w:pPr>
        <w:pStyle w:val="NormalWeb"/>
        <w:numPr>
          <w:ilvl w:val="1"/>
          <w:numId w:val="7"/>
        </w:numPr>
        <w:spacing w:beforeAutospacing="0" w:before="0" w:afterAutospacing="0" w:after="0"/>
        <w:ind w:hanging="432" w:start="720"/>
        <w:jc w:val="both"/>
        <w:rPr>
          <w:color w:val="000000"/>
        </w:rPr>
      </w:pPr>
      <w:commentRangeStart w:id="7"/>
      <w:r>
        <w:rPr>
          <w:color w:val="000000"/>
        </w:rPr>
        <w:t>Необходимо</w:t>
      </w:r>
      <w:r>
        <w:rPr>
          <w:color w:val="000000"/>
        </w:rPr>
      </w:r>
      <w:commentRangeEnd w:id="7"/>
      <w:r>
        <w:commentReference w:id="7"/>
      </w:r>
      <w:r>
        <w:rPr>
          <w:color w:val="000000"/>
        </w:rPr>
        <w:t xml:space="preserve"> </w:t>
      </w:r>
      <w:commentRangeStart w:id="8"/>
      <w:r>
        <w:rPr>
          <w:color w:val="000000"/>
        </w:rPr>
        <w:t xml:space="preserve">оптимизировать алгоритмы работы и расширить атрибутивный состав </w:t>
      </w:r>
      <w:r>
        <w:rPr>
          <w:color w:val="000000"/>
        </w:rPr>
      </w:r>
      <w:commentRangeEnd w:id="8"/>
      <w:r>
        <w:commentReference w:id="8"/>
      </w:r>
      <w:r>
        <w:rPr>
          <w:color w:val="000000"/>
        </w:rPr>
        <w:t>выходных данных ИИ-моделей под алгоритмы работы цифровых индикаторов рисков согласно следующим требованиям:</w:t>
      </w:r>
    </w:p>
    <w:p>
      <w:pPr>
        <w:pStyle w:val="NormalWeb"/>
        <w:numPr>
          <w:ilvl w:val="2"/>
          <w:numId w:val="7"/>
        </w:numPr>
        <w:spacing w:beforeAutospacing="0" w:before="0" w:afterAutospacing="0" w:after="0"/>
        <w:ind w:hanging="504" w:start="1080"/>
        <w:jc w:val="both"/>
        <w:rPr>
          <w:color w:val="000000"/>
        </w:rPr>
      </w:pPr>
      <w:r>
        <w:rPr>
          <w:color w:val="000000"/>
        </w:rPr>
        <w:t xml:space="preserve">В качестве ключевых ИИ-моделей, подлежащих доработке, в приоритетном порядке должны быть рассмотрены следующие ИИ-модели: № 11 «При производстве объем сырья не соответствует объему продукции», № 12 «При производстве тип сырья не соответствует типу продукции», № 13 «Отсутствие сырья», № 27 «Изменение сроков годности продукции через производство», № 30 «По итогам инвентаризации предприятие аномально увеличило объем продукции. Возможен Вброс продукции без ВСЭ». В качестве дополнительных ИИ-моделей в приоритетном порядке должны быть рассмотрены следующие ИИ-модели: № 14 «Создание записей журнала на основе бумажного ВСД», № 25 «Биологический вид животного в продукции отсутствует или во время производственной транзакции изменен биологический или зоологический вид продукции», № 31 «Жировой баланс молока», №35 «Рост числа биоотходов», № 36 «Отклонения в производстве». </w:t>
      </w:r>
      <w:commentRangeStart w:id="9"/>
      <w:r>
        <w:rPr>
          <w:color w:val="000000"/>
        </w:rPr>
        <w:t>Итоговый перечень дорабатываемых ИИ-моделей необходимо привести в ЧТЗ.</w:t>
      </w:r>
      <w:commentRangeEnd w:id="9"/>
      <w:r>
        <w:commentReference w:id="9"/>
      </w:r>
      <w:r>
        <w:rPr>
          <w:color w:val="000000"/>
        </w:rPr>
      </w:r>
    </w:p>
    <w:p>
      <w:pPr>
        <w:pStyle w:val="NormalWeb"/>
        <w:numPr>
          <w:ilvl w:val="2"/>
          <w:numId w:val="7"/>
        </w:numPr>
        <w:spacing w:beforeAutospacing="0" w:before="0" w:afterAutospacing="0" w:after="0"/>
        <w:ind w:hanging="504" w:start="1080"/>
        <w:jc w:val="both"/>
        <w:rPr>
          <w:color w:val="000000"/>
        </w:rPr>
      </w:pPr>
      <w:r>
        <w:rPr>
          <w:color w:val="000000"/>
        </w:rPr>
        <w:t>В ходе доработки ИИ-моделей необходимо:</w:t>
      </w:r>
    </w:p>
    <w:p>
      <w:pPr>
        <w:pStyle w:val="NormalWeb"/>
        <w:numPr>
          <w:ilvl w:val="3"/>
          <w:numId w:val="7"/>
        </w:numPr>
        <w:spacing w:beforeAutospacing="0" w:before="0" w:afterAutospacing="0" w:after="0"/>
        <w:ind w:hanging="648" w:start="1440"/>
        <w:jc w:val="both"/>
        <w:rPr>
          <w:color w:val="000000"/>
        </w:rPr>
      </w:pPr>
      <w:r>
        <w:rPr>
          <w:color w:val="000000"/>
        </w:rPr>
        <w:t>Использовать отраслевую разметку, предоставляемую функциональным заказчиком. </w:t>
      </w:r>
    </w:p>
    <w:p>
      <w:pPr>
        <w:pStyle w:val="NormalWeb"/>
        <w:numPr>
          <w:ilvl w:val="3"/>
          <w:numId w:val="7"/>
        </w:numPr>
        <w:spacing w:beforeAutospacing="0" w:before="0" w:afterAutospacing="0" w:after="0"/>
        <w:ind w:hanging="648" w:start="1440"/>
        <w:jc w:val="both"/>
        <w:rPr>
          <w:color w:val="000000"/>
        </w:rPr>
      </w:pPr>
      <w:commentRangeStart w:id="10"/>
      <w:r>
        <w:rPr>
          <w:color w:val="000000"/>
        </w:rPr>
        <w:t xml:space="preserve">Расширить атрибутивный состав </w:t>
      </w:r>
      <w:r>
        <w:rPr>
          <w:color w:val="000000"/>
        </w:rPr>
      </w:r>
      <w:commentRangeEnd w:id="10"/>
      <w:r>
        <w:commentReference w:id="10"/>
      </w:r>
      <w:r>
        <w:rPr>
          <w:color w:val="000000"/>
        </w:rPr>
        <w:t>выходных данных для обеспечения возможности формирования детальной информации о сработавшем цифровом индикаторе рисков и дальнейшей ее передачи в Сервис РСХН.</w:t>
      </w:r>
    </w:p>
    <w:p>
      <w:pPr>
        <w:pStyle w:val="NormalWeb"/>
        <w:numPr>
          <w:ilvl w:val="2"/>
          <w:numId w:val="7"/>
        </w:numPr>
        <w:spacing w:beforeAutospacing="0" w:before="0" w:afterAutospacing="0" w:after="0"/>
        <w:ind w:hanging="504" w:start="1080"/>
        <w:jc w:val="both"/>
        <w:rPr>
          <w:color w:val="000000"/>
        </w:rPr>
      </w:pPr>
      <w:r>
        <w:rPr>
          <w:color w:val="000000"/>
        </w:rPr>
        <w:t xml:space="preserve">При использовании каждой доработанной ИИ-модели необходимо обеспечить </w:t>
      </w:r>
      <w:commentRangeStart w:id="11"/>
      <w:r>
        <w:rPr>
          <w:color w:val="000000"/>
        </w:rPr>
        <w:t>сохранение служебной информации</w:t>
      </w:r>
      <w:r>
        <w:rPr>
          <w:color w:val="000000"/>
        </w:rPr>
      </w:r>
      <w:commentRangeEnd w:id="11"/>
      <w:r>
        <w:commentReference w:id="11"/>
      </w:r>
      <w:r>
        <w:rPr>
          <w:color w:val="000000"/>
        </w:rPr>
        <w:t>,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следующих таблицах: «Идентификаторы» и «Расчеты» (для сохранения расчетов и определения аномальности); окончательный перечень таблиц и их атрибутивный состав необходимо привести в ЧТЗ.</w:t>
      </w:r>
    </w:p>
    <w:p>
      <w:pPr>
        <w:pStyle w:val="NormalWeb"/>
        <w:numPr>
          <w:ilvl w:val="2"/>
          <w:numId w:val="7"/>
        </w:numPr>
        <w:spacing w:beforeAutospacing="0" w:before="0" w:afterAutospacing="0" w:after="0"/>
        <w:ind w:hanging="504" w:start="1080"/>
        <w:jc w:val="both"/>
        <w:rPr>
          <w:color w:val="000000"/>
        </w:rPr>
      </w:pPr>
      <w:commentRangeStart w:id="12"/>
      <w:r>
        <w:rPr>
          <w:color w:val="000000"/>
        </w:rPr>
        <w:t>Для</w:t>
      </w:r>
      <w:r>
        <w:rPr>
          <w:color w:val="000000"/>
        </w:rPr>
      </w:r>
      <w:commentRangeEnd w:id="12"/>
      <w:r>
        <w:commentReference w:id="12"/>
      </w:r>
      <w:r>
        <w:rPr>
          <w:color w:val="000000"/>
        </w:rPr>
        <w:t xml:space="preserve"> каждого цифрового индикатора риска в рамках выполнения требований, предусмотренных в пп. 1.1.1-1.1.3 п. 4.1.1,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 (</w:t>
      </w:r>
      <w:commentRangeStart w:id="13"/>
      <w:r>
        <w:rPr>
          <w:color w:val="000000"/>
        </w:rPr>
        <w:t xml:space="preserve">3 формы для каждого индикатора – «Просмотр информации о сработавшем индикаторе рисков», «Просмотр детальной информации о фактах», «Просмотр нормативной информации»; </w:t>
      </w:r>
      <w:r>
        <w:rPr>
          <w:color w:val="000000"/>
        </w:rPr>
      </w:r>
      <w:commentRangeStart w:id="14"/>
      <w:commentRangeEnd w:id="13"/>
      <w:r>
        <w:commentReference w:id="13"/>
      </w:r>
      <w:r>
        <w:rPr>
          <w:color w:val="000000"/>
        </w:rPr>
        <w:t>суммарно 15 экранных форм</w:t>
      </w:r>
      <w:r>
        <w:rPr>
          <w:color w:val="000000"/>
        </w:rPr>
      </w:r>
      <w:commentRangeStart w:id="15"/>
      <w:commentRangeEnd w:id="14"/>
      <w:r>
        <w:commentReference w:id="14"/>
      </w:r>
      <w:r>
        <w:rPr>
          <w:color w:val="000000"/>
        </w:rPr>
        <w:t>)</w:t>
      </w:r>
      <w:r>
        <w:rPr>
          <w:color w:val="000000"/>
        </w:rPr>
      </w:r>
      <w:commentRangeEnd w:id="15"/>
      <w:r>
        <w:commentReference w:id="15"/>
      </w:r>
      <w:r>
        <w:rPr>
          <w:color w:val="000000"/>
        </w:rPr>
        <w:t>. Описание состава элементов дорабатываемых и создаваемых экранных форм необходимо привести в ЧТЗ.</w:t>
      </w:r>
    </w:p>
    <w:p>
      <w:pPr>
        <w:pStyle w:val="NormalWeb"/>
        <w:numPr>
          <w:ilvl w:val="1"/>
          <w:numId w:val="7"/>
        </w:numPr>
        <w:spacing w:beforeAutospacing="0" w:before="0" w:afterAutospacing="0" w:after="0"/>
        <w:ind w:hanging="432" w:start="720"/>
        <w:jc w:val="both"/>
        <w:rPr>
          <w:color w:val="000000"/>
        </w:rPr>
      </w:pPr>
      <w:commentRangeStart w:id="16"/>
      <w:commentRangeStart w:id="17"/>
      <w:r>
        <w:rPr>
          <w:color w:val="000000"/>
        </w:rPr>
        <w:t xml:space="preserve">Доработать </w:t>
      </w:r>
      <w:r>
        <w:rPr>
          <w:color w:val="000000"/>
        </w:rPr>
      </w:r>
      <w:commentRangeEnd w:id="17"/>
      <w:r>
        <w:commentReference w:id="17"/>
      </w:r>
      <w:r>
        <w:rPr>
          <w:color w:val="000000"/>
        </w:rPr>
      </w:r>
      <w:commentRangeEnd w:id="16"/>
      <w:r>
        <w:commentReference w:id="16"/>
      </w:r>
      <w:r>
        <w:rPr>
          <w:color w:val="000000"/>
        </w:rPr>
        <w:t>функциональные возможности подтверждения/отклонения инспектором автоматически рассчитанных цифровых индикаторов рисков и отслеживаемых в их рамках фактов отклонений согласно следующим требованиям:</w:t>
      </w:r>
    </w:p>
    <w:p>
      <w:pPr>
        <w:pStyle w:val="NormalWeb"/>
        <w:numPr>
          <w:ilvl w:val="2"/>
          <w:numId w:val="7"/>
        </w:numPr>
        <w:spacing w:beforeAutospacing="0" w:before="0" w:afterAutospacing="0" w:after="0"/>
        <w:ind w:hanging="504" w:start="1080"/>
        <w:jc w:val="both"/>
        <w:rPr>
          <w:color w:val="000000"/>
        </w:rPr>
      </w:pPr>
      <w:r>
        <w:rPr>
          <w:color w:val="000000"/>
        </w:rPr>
        <w:t>Необходимо расширить состав сохраняемых сведений (в приоритетном порядке должны быть рассмотрены 2 множества значений: реквизиты документов-подтверждений о принятых мерах и конкретные пункты нормативных правовых актов или требований, которые были нарушены); окончательный перечень сохраняемых сведений необходимо привести в ЧТЗ.</w:t>
      </w:r>
    </w:p>
    <w:p>
      <w:pPr>
        <w:pStyle w:val="NormalWeb"/>
        <w:numPr>
          <w:ilvl w:val="2"/>
          <w:numId w:val="7"/>
        </w:numPr>
        <w:spacing w:beforeAutospacing="0" w:before="0" w:afterAutospacing="0" w:after="0"/>
        <w:ind w:hanging="504" w:start="1080"/>
        <w:jc w:val="both"/>
        <w:rPr>
          <w:color w:val="000000"/>
        </w:rPr>
      </w:pPr>
      <w:r>
        <w:rPr>
          <w:color w:val="000000"/>
        </w:rPr>
        <w:t xml:space="preserve">В случае подтверждения цифровых индикаторов рисков и отслеживаемых в их рамках фактов отклонений необходимо обеспечить возможность вызова сервиса сбора доказательной базы по сработавшим индикаторам (в соответствии с п. 4.1.2) и </w:t>
      </w:r>
      <w:commentRangeStart w:id="18"/>
      <w:r>
        <w:rPr>
          <w:color w:val="000000"/>
        </w:rPr>
        <w:t xml:space="preserve">Сервиса РСХН </w:t>
      </w:r>
      <w:r>
        <w:rPr>
          <w:color w:val="000000"/>
        </w:rPr>
      </w:r>
      <w:commentRangeEnd w:id="18"/>
      <w:r>
        <w:commentReference w:id="18"/>
      </w:r>
      <w:r>
        <w:rPr>
          <w:color w:val="000000"/>
        </w:rPr>
        <w:t xml:space="preserve">(не является частью данных функциональных требований). В части, касающейся </w:t>
      </w:r>
      <w:r>
        <w:rPr>
          <w:color w:val="0C0D0E"/>
          <w:shd w:fill="FFFFFF" w:val="clear"/>
        </w:rPr>
        <w:t>выявленных нарушений при обороте продукции животного происхождения, для автоматической генерации мотивированных представлений должен использоваться сервис автогенерации материалов (</w:t>
      </w:r>
      <w:r>
        <w:rPr>
          <w:color w:val="000000"/>
        </w:rPr>
        <w:t>не является частью данных функциональных требований</w:t>
      </w:r>
      <w:r>
        <w:rPr>
          <w:color w:val="0C0D0E"/>
          <w:shd w:fill="FFFFFF" w:val="clear"/>
        </w:rPr>
        <w:t>) и сервис взаимодействия с Большой языковой моделью (</w:t>
      </w:r>
      <w:r>
        <w:rPr>
          <w:color w:val="000000"/>
        </w:rPr>
        <w:t>не является частью данных функциональных требований</w:t>
      </w:r>
      <w:r>
        <w:rPr>
          <w:color w:val="0C0D0E"/>
          <w:shd w:fill="FFFFFF" w:val="clear"/>
        </w:rPr>
        <w:t>).</w:t>
      </w:r>
    </w:p>
    <w:p>
      <w:pPr>
        <w:pStyle w:val="NormalWeb"/>
        <w:numPr>
          <w:ilvl w:val="2"/>
          <w:numId w:val="7"/>
        </w:numPr>
        <w:spacing w:beforeAutospacing="0" w:before="0" w:afterAutospacing="0" w:after="0"/>
        <w:ind w:hanging="504" w:start="1080"/>
        <w:jc w:val="both"/>
        <w:rPr>
          <w:color w:val="000000"/>
        </w:rPr>
      </w:pPr>
      <w:commentRangeStart w:id="19"/>
      <w:r>
        <w:rPr>
          <w:color w:val="000000"/>
        </w:rPr>
        <w:t>Должны</w:t>
      </w:r>
      <w:r>
        <w:rPr>
          <w:color w:val="000000"/>
        </w:rPr>
      </w:r>
      <w:commentRangeEnd w:id="19"/>
      <w:r>
        <w:commentReference w:id="19"/>
      </w:r>
      <w:r>
        <w:rPr>
          <w:color w:val="000000"/>
        </w:rPr>
        <w:t xml:space="preserve"> быть доработаны экранные формы одиночной и групповой обработки подозрительных операций (после подтверждения становящихся отслеживаемыми фактами) и экранные формы обработки цифровых индикаторов рисков (в части указания статуса рассмотрения и мнения инспектора, включая пункты соответствующих нормативных правовых актов, а также обеспечения </w:t>
      </w:r>
      <w:commentRangeStart w:id="20"/>
      <w:r>
        <w:rPr>
          <w:color w:val="000000"/>
        </w:rPr>
        <w:t>вызова</w:t>
      </w:r>
      <w:r>
        <w:rPr>
          <w:color w:val="000000"/>
        </w:rPr>
      </w:r>
      <w:commentRangeEnd w:id="20"/>
      <w:r>
        <w:commentReference w:id="20"/>
      </w:r>
      <w:r>
        <w:rPr>
          <w:color w:val="000000"/>
        </w:rPr>
        <w:t xml:space="preserve"> сервисов (Сервиса РСХН и </w:t>
      </w:r>
      <w:r>
        <w:rPr>
          <w:color w:val="0C0D0E"/>
          <w:shd w:fill="FFFFFF" w:val="clear"/>
        </w:rPr>
        <w:t>сервиса взаимодействия с Большой языковой моделью, не являющихся предметом данных функциональных требований</w:t>
      </w:r>
      <w:r>
        <w:rPr>
          <w:color w:val="000000"/>
        </w:rPr>
        <w:t>), вывод информации о ходе обработки и просмотр сформированных файлов и другой системной информации); суммарно 3 экранные формы.</w:t>
      </w:r>
    </w:p>
    <w:p>
      <w:pPr>
        <w:pStyle w:val="NormalWeb"/>
        <w:numPr>
          <w:ilvl w:val="1"/>
          <w:numId w:val="7"/>
        </w:numPr>
        <w:spacing w:beforeAutospacing="0" w:before="0" w:afterAutospacing="0" w:after="0"/>
        <w:ind w:hanging="432" w:start="720"/>
        <w:jc w:val="both"/>
        <w:rPr>
          <w:color w:val="000000"/>
        </w:rPr>
      </w:pPr>
      <w:commentRangeStart w:id="21"/>
      <w:commentRangeStart w:id="22"/>
      <w:r>
        <w:rPr>
          <w:color w:val="000000"/>
        </w:rPr>
        <w:t xml:space="preserve">Обеспечить передачу сведений </w:t>
      </w:r>
      <w:r>
        <w:rPr>
          <w:color w:val="000000"/>
        </w:rPr>
      </w:r>
      <w:commentRangeEnd w:id="21"/>
      <w:r>
        <w:commentReference w:id="21"/>
      </w:r>
      <w:r>
        <w:rPr>
          <w:color w:val="000000"/>
        </w:rPr>
      </w:r>
      <w:commentRangeEnd w:id="22"/>
      <w:r>
        <w:commentReference w:id="22"/>
      </w:r>
      <w:r>
        <w:rPr>
          <w:color w:val="000000"/>
        </w:rPr>
        <w:t xml:space="preserve">о подтвержденном цифровом индикаторе риска в сервисы КНД, АП, ИП (не является частью данных функциональных требований). Передаче подлежат: идентификационные данные о подтвержденном инциденте; сведения об объекте/субъекте контроля; вид индикатора; дата и время проведения расчета; данные об инспекторе, подтвердившем сработавший инцидент; сведения, образующие доказательную базу, и другие сведения, необходимые </w:t>
      </w:r>
      <w:r>
        <w:rPr>
          <w:color w:val="000000"/>
          <w:highlight w:val="yellow"/>
        </w:rPr>
        <w:t xml:space="preserve">для взаимодействия с Сервисом </w:t>
      </w:r>
      <w:commentRangeStart w:id="23"/>
      <w:r>
        <w:rPr>
          <w:color w:val="000000"/>
          <w:highlight w:val="yellow"/>
        </w:rPr>
        <w:t>РСХН</w:t>
      </w:r>
      <w:r>
        <w:rPr>
          <w:color w:val="000000"/>
          <w:highlight w:val="yellow"/>
        </w:rPr>
      </w:r>
      <w:commentRangeEnd w:id="23"/>
      <w:r>
        <w:commentReference w:id="23"/>
      </w:r>
      <w:r>
        <w:rPr>
          <w:color w:val="000000"/>
        </w:rPr>
        <w:t xml:space="preserve"> (окончательный перечень передаваемых сведений и их атрибутивный состав необходимо привести в ЧТЗ).</w:t>
      </w:r>
    </w:p>
    <w:p>
      <w:pPr>
        <w:pStyle w:val="NormalWeb"/>
        <w:numPr>
          <w:ilvl w:val="1"/>
          <w:numId w:val="7"/>
        </w:numPr>
        <w:spacing w:beforeAutospacing="0" w:before="0" w:afterAutospacing="0" w:after="0"/>
        <w:ind w:hanging="432" w:start="720"/>
        <w:jc w:val="both"/>
        <w:rPr>
          <w:color w:val="000000"/>
        </w:rPr>
      </w:pPr>
      <w:r>
        <w:rPr>
          <w:color w:val="000000"/>
        </w:rPr>
        <w:t xml:space="preserve">Обеспечить возможность сохранения сведений о мероприятиях, проведенных по подтвержденному цифровому индикатору риска, с целью дальнейшего улучшения качества ИИ-моделей и учета в статистической отчетности. Для сохранения должны быть созданы служебные таблицы, фиксирующие </w:t>
      </w:r>
      <w:commentRangeStart w:id="24"/>
      <w:r>
        <w:rPr>
          <w:color w:val="000000"/>
        </w:rPr>
        <w:t xml:space="preserve">КНМ </w:t>
      </w:r>
      <w:r>
        <w:rPr>
          <w:color w:val="000000"/>
        </w:rPr>
      </w:r>
      <w:commentRangeEnd w:id="24"/>
      <w:r>
        <w:commentReference w:id="24"/>
      </w:r>
      <w:r>
        <w:rPr>
          <w:color w:val="000000"/>
        </w:rPr>
        <w:t>и связанные с ним сущности (в приоритетном порядке должны быть рассмотрены таблицы для сущностей «КНМ», «ДО», «АД»); окончательный перечень служебных таблиц и их атрибутивный состав необходимо привести в ЧТЗ.</w:t>
      </w:r>
    </w:p>
    <w:p>
      <w:pPr>
        <w:pStyle w:val="NormalWeb"/>
        <w:numPr>
          <w:ilvl w:val="1"/>
          <w:numId w:val="7"/>
        </w:numPr>
        <w:spacing w:beforeAutospacing="0" w:before="0" w:afterAutospacing="0" w:after="0"/>
        <w:ind w:hanging="432" w:start="720"/>
        <w:jc w:val="both"/>
        <w:rPr>
          <w:color w:val="000000"/>
        </w:rPr>
      </w:pPr>
      <w:commentRangeStart w:id="25"/>
      <w:r>
        <w:rPr>
          <w:color w:val="000000"/>
        </w:rPr>
        <w:t xml:space="preserve">Создать системные справочники, </w:t>
      </w:r>
      <w:r>
        <w:rPr>
          <w:color w:val="000000"/>
        </w:rPr>
      </w:r>
      <w:commentRangeEnd w:id="25"/>
      <w:r>
        <w:commentReference w:id="25"/>
      </w:r>
      <w:r>
        <w:rPr>
          <w:color w:val="000000"/>
        </w:rPr>
        <w:t>необходимые для взаимодействия с Сервисом РСХН и его компонентами, а также для функционирования доработанных ИИ-моделей и доработанных функциональных возможностей подтверждения цифровых индикаторов рисков и отслеживаемых фактов отклонений, включая справочники: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 окончательный перечень справочников и их атрибутивный состав необходимо привести в ЧТЗ.</w:t>
      </w:r>
    </w:p>
    <w:p>
      <w:pPr>
        <w:pStyle w:val="NormalWeb"/>
        <w:numPr>
          <w:ilvl w:val="0"/>
          <w:numId w:val="7"/>
        </w:numPr>
        <w:spacing w:beforeAutospacing="0" w:before="0" w:afterAutospacing="0" w:after="0"/>
        <w:jc w:val="both"/>
        <w:rPr>
          <w:color w:val="000000"/>
        </w:rPr>
      </w:pPr>
      <w:r>
        <w:rPr>
          <w:color w:val="000000"/>
        </w:rPr>
        <w:t xml:space="preserve">В ЧТЗ </w:t>
      </w:r>
      <w:commentRangeStart w:id="26"/>
      <w:r>
        <w:rPr>
          <w:color w:val="000000"/>
        </w:rPr>
        <w:t xml:space="preserve">необходимо привести описание подходов </w:t>
      </w:r>
      <w:r>
        <w:rPr>
          <w:color w:val="000000"/>
        </w:rPr>
      </w:r>
      <w:commentRangeEnd w:id="26"/>
      <w:r>
        <w:commentReference w:id="26"/>
      </w:r>
      <w:r>
        <w:rPr>
          <w:color w:val="000000"/>
        </w:rPr>
        <w:t>к реализации требований, перечисленных в пп. 1.1–1.5 п. 4.1.1, включая: </w:t>
      </w:r>
    </w:p>
    <w:p>
      <w:pPr>
        <w:pStyle w:val="NormalWeb"/>
        <w:numPr>
          <w:ilvl w:val="1"/>
          <w:numId w:val="7"/>
        </w:numPr>
        <w:spacing w:beforeAutospacing="0" w:before="0" w:afterAutospacing="0" w:after="0"/>
        <w:ind w:hanging="432" w:start="720"/>
        <w:jc w:val="both"/>
        <w:rPr>
          <w:color w:val="000000"/>
        </w:rPr>
      </w:pPr>
      <w:commentRangeStart w:id="27"/>
      <w:r>
        <w:rPr>
          <w:color w:val="000000"/>
        </w:rPr>
        <w:t xml:space="preserve">Правила поиска исходных </w:t>
      </w:r>
      <w:r>
        <w:rPr>
          <w:color w:val="000000"/>
        </w:rPr>
      </w:r>
      <w:commentRangeEnd w:id="27"/>
      <w:r>
        <w:commentReference w:id="27"/>
      </w:r>
      <w:r>
        <w:rPr>
          <w:color w:val="000000"/>
        </w:rPr>
        <w:t>данных, подлежащих использованию для реализации требований, и их выбора из компонентов ФГИС «ВетИС» и иных источников в составе инфраструктуры РСХН.</w:t>
      </w:r>
    </w:p>
    <w:p>
      <w:pPr>
        <w:pStyle w:val="NormalWeb"/>
        <w:numPr>
          <w:ilvl w:val="1"/>
          <w:numId w:val="7"/>
        </w:numPr>
        <w:spacing w:beforeAutospacing="0" w:before="0" w:afterAutospacing="0" w:after="0"/>
        <w:ind w:hanging="432" w:start="720"/>
        <w:jc w:val="both"/>
        <w:rPr>
          <w:color w:val="000000"/>
        </w:rPr>
      </w:pPr>
      <w:r>
        <w:rPr>
          <w:color w:val="000000"/>
        </w:rPr>
        <w:t>Порядок подтверждения/отклонения инспектором автоматически рассчитанных цифровых индикаторов рисков и отслеживаемых в их рамках фактов отклонений.</w:t>
      </w:r>
    </w:p>
    <w:p>
      <w:pPr>
        <w:pStyle w:val="Heading3"/>
        <w:rPr/>
      </w:pPr>
      <w:commentRangeStart w:id="28"/>
      <w:r>
        <w:rPr/>
        <w:t>Требования</w:t>
      </w:r>
      <w:r>
        <w:rPr/>
      </w:r>
      <w:commentRangeEnd w:id="28"/>
      <w:r>
        <w:commentReference w:id="28"/>
      </w:r>
      <w:r>
        <w:rPr/>
        <w:t xml:space="preserve"> к сервису сбора доказательной базы по сработавшим индикаторам </w:t>
      </w:r>
    </w:p>
    <w:p>
      <w:pPr>
        <w:pStyle w:val="NormalWeb"/>
        <w:numPr>
          <w:ilvl w:val="0"/>
          <w:numId w:val="8"/>
        </w:numPr>
        <w:spacing w:beforeAutospacing="0" w:before="0" w:afterAutospacing="0" w:after="0"/>
        <w:jc w:val="both"/>
        <w:rPr>
          <w:color w:val="000000"/>
        </w:rPr>
      </w:pPr>
      <w:r>
        <w:rPr>
          <w:color w:val="000000"/>
        </w:rPr>
        <w:t xml:space="preserve">Сервис сбора доказательной базы по сработавшим индикаторам должен включать в себя совокупность </w:t>
      </w:r>
      <w:r>
        <w:rPr>
          <w:color w:val="0C0D0E"/>
          <w:shd w:fill="FFFFFF" w:val="clear"/>
        </w:rPr>
        <w:t>алгоритмических моделей для сбора доказательной базы по сработавшим цифровым индикаторам рисков, созданных в подсистеме отчетности, статистики и аналитики в составе Аналитической системы РСХН.</w:t>
      </w:r>
      <w:r>
        <w:rPr>
          <w:color w:val="000000"/>
        </w:rPr>
        <w:t xml:space="preserve"> Необходимо реализовать сервис</w:t>
      </w:r>
      <w:r>
        <w:rPr>
          <w:color w:val="000000"/>
          <w:sz w:val="22"/>
          <w:szCs w:val="22"/>
        </w:rPr>
        <w:t xml:space="preserve"> </w:t>
      </w:r>
      <w:r>
        <w:rPr>
          <w:color w:val="000000"/>
        </w:rPr>
        <w:t>сбора доказательной базы по сработавшим индикаторам согласно следующим требованиям: </w:t>
      </w:r>
    </w:p>
    <w:p>
      <w:pPr>
        <w:pStyle w:val="NormalWeb"/>
        <w:numPr>
          <w:ilvl w:val="1"/>
          <w:numId w:val="8"/>
        </w:numPr>
        <w:spacing w:beforeAutospacing="0" w:before="0" w:afterAutospacing="0" w:after="0"/>
        <w:ind w:hanging="432" w:start="720"/>
        <w:jc w:val="both"/>
        <w:rPr>
          <w:color w:val="000000"/>
        </w:rPr>
      </w:pPr>
      <w:r>
        <w:rPr>
          <w:color w:val="000000"/>
        </w:rPr>
        <w:t>Обеспечить возможность поиска и извлечения сведений из компонентов ФГИС «ВетИС» и других источников в составе инфраструктуры РСХН для субъекта/объекта контроля, в отношении которого сработал индикатор риска. </w:t>
      </w:r>
    </w:p>
    <w:p>
      <w:pPr>
        <w:pStyle w:val="NormalWeb"/>
        <w:numPr>
          <w:ilvl w:val="1"/>
          <w:numId w:val="8"/>
        </w:numPr>
        <w:spacing w:beforeAutospacing="0" w:before="0" w:afterAutospacing="0" w:after="0"/>
        <w:ind w:hanging="432" w:start="720"/>
        <w:jc w:val="both"/>
        <w:rPr>
          <w:color w:val="000000"/>
        </w:rPr>
      </w:pPr>
      <w:r>
        <w:rPr>
          <w:color w:val="000000"/>
        </w:rPr>
        <w:t>Обеспечить формирование и передачу сведений, обнаруженных в соответствии с пп. 1.1 п. 4.1.2, для дальнейшего автоматического формирования с использованием таких сведений проектов документов – оснований для ПМ или КНМ в отношении выявленных субъектов рисков в ответ на запрос из сервиса выявления индикаторов рисков.</w:t>
      </w:r>
    </w:p>
    <w:p>
      <w:pPr>
        <w:pStyle w:val="NormalWeb"/>
        <w:numPr>
          <w:ilvl w:val="1"/>
          <w:numId w:val="8"/>
        </w:numPr>
        <w:spacing w:beforeAutospacing="0" w:before="0" w:afterAutospacing="0" w:after="0"/>
        <w:ind w:hanging="432" w:start="720"/>
        <w:jc w:val="both"/>
        <w:rPr>
          <w:color w:val="000000"/>
        </w:rPr>
      </w:pPr>
      <w:r>
        <w:rPr>
          <w:color w:val="000000"/>
        </w:rPr>
        <w:t>Обеспечить возможность дообогащения собранных сведений дополнительной информацией (в том числе, с указанием на служебную информацию о роли материалов в доказательной базе). Описание источников возможного дообогащения информации, порядка их использования, а также описание порядка принятия решения о необходимости дообогащения требуется привести в ЧТЗ.</w:t>
      </w:r>
    </w:p>
    <w:p>
      <w:pPr>
        <w:pStyle w:val="NormalWeb"/>
        <w:numPr>
          <w:ilvl w:val="0"/>
          <w:numId w:val="8"/>
        </w:numPr>
        <w:spacing w:beforeAutospacing="0" w:before="0" w:afterAutospacing="0" w:after="0"/>
        <w:jc w:val="both"/>
        <w:rPr>
          <w:color w:val="000000"/>
        </w:rPr>
      </w:pPr>
      <w:r>
        <w:rPr>
          <w:color w:val="000000"/>
        </w:rPr>
        <w:t>В ЧТЗ необходимо привести описание:</w:t>
      </w:r>
    </w:p>
    <w:p>
      <w:pPr>
        <w:pStyle w:val="NormalWeb"/>
        <w:numPr>
          <w:ilvl w:val="1"/>
          <w:numId w:val="8"/>
        </w:numPr>
        <w:spacing w:beforeAutospacing="0" w:before="0" w:afterAutospacing="0" w:after="0"/>
        <w:ind w:hanging="432" w:start="720"/>
        <w:jc w:val="both"/>
        <w:rPr>
          <w:color w:val="000000"/>
        </w:rPr>
      </w:pPr>
      <w:r>
        <w:rPr>
          <w:color w:val="000000"/>
        </w:rPr>
        <w:t>Алгоритмов поиска, выбора и дообогащения сведений из компонентов ФГИС «ВетИС» и других источников в составе инфраструктуры РСХН для каждого вида индикатора риска.</w:t>
      </w:r>
    </w:p>
    <w:p>
      <w:pPr>
        <w:pStyle w:val="NormalWeb"/>
        <w:numPr>
          <w:ilvl w:val="1"/>
          <w:numId w:val="8"/>
        </w:numPr>
        <w:spacing w:beforeAutospacing="0" w:before="0" w:afterAutospacing="0" w:after="0"/>
        <w:ind w:hanging="432" w:start="720"/>
        <w:jc w:val="both"/>
        <w:rPr>
          <w:color w:val="000000"/>
        </w:rPr>
      </w:pPr>
      <w:r>
        <w:rPr>
          <w:color w:val="000000"/>
        </w:rPr>
        <w:t>Формата и режима передачи сведений согласно пп. 1.2 п. 4.1.2.</w:t>
      </w:r>
    </w:p>
    <w:p>
      <w:pPr>
        <w:pStyle w:val="Heading3"/>
        <w:rPr/>
      </w:pPr>
      <w:r>
        <w:rPr/>
        <w:t xml:space="preserve">Требования к </w:t>
      </w:r>
      <w:commentRangeStart w:id="29"/>
      <w:r>
        <w:rPr/>
        <w:t xml:space="preserve">сервису расчета </w:t>
      </w:r>
      <w:r>
        <w:rPr/>
      </w:r>
      <w:commentRangeEnd w:id="29"/>
      <w:r>
        <w:commentReference w:id="29"/>
      </w:r>
      <w:r>
        <w:rPr/>
        <w:t>категорий риска </w:t>
      </w:r>
    </w:p>
    <w:p>
      <w:pPr>
        <w:pStyle w:val="NormalWeb"/>
        <w:numPr>
          <w:ilvl w:val="0"/>
          <w:numId w:val="9"/>
        </w:numPr>
        <w:spacing w:beforeAutospacing="0" w:before="0" w:afterAutospacing="0" w:after="0"/>
        <w:jc w:val="both"/>
        <w:rPr>
          <w:color w:val="000000"/>
        </w:rPr>
      </w:pPr>
      <w:r>
        <w:rPr>
          <w:color w:val="000000"/>
        </w:rPr>
        <w:t>Категорирование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в соответствии с разделом II Положения о федеральном государственном ветеринарном контроле (надзоре) (далее – Положение), утвержденного Постановлением Правительства Российской Федерации от 30.06.2021 № 1097 «О федеральном государственном ветеринарном контроле (надзоре)», необходимо реализовать согласно следующим требованиям:</w:t>
      </w:r>
    </w:p>
    <w:p>
      <w:pPr>
        <w:pStyle w:val="NormalWeb"/>
        <w:numPr>
          <w:ilvl w:val="1"/>
          <w:numId w:val="9"/>
        </w:numPr>
        <w:spacing w:beforeAutospacing="0" w:before="0" w:afterAutospacing="0" w:after="0"/>
        <w:ind w:hanging="432" w:start="720"/>
        <w:jc w:val="both"/>
        <w:rPr>
          <w:color w:val="000000"/>
        </w:rPr>
      </w:pPr>
      <w:r>
        <w:rPr>
          <w:color w:val="000000"/>
        </w:rPr>
        <w:t>Обеспечить 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NormalWeb"/>
        <w:numPr>
          <w:ilvl w:val="1"/>
          <w:numId w:val="9"/>
        </w:numPr>
        <w:spacing w:beforeAutospacing="0" w:before="0" w:afterAutospacing="0" w:after="0"/>
        <w:ind w:hanging="432" w:start="720"/>
        <w:jc w:val="both"/>
        <w:rPr>
          <w:color w:val="000000"/>
        </w:rPr>
      </w:pPr>
      <w:r>
        <w:rPr>
          <w:color w:val="000000"/>
        </w:rPr>
        <w:t>Обеспечить 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При этом:</w:t>
      </w:r>
    </w:p>
    <w:p>
      <w:pPr>
        <w:pStyle w:val="NormalWeb"/>
        <w:numPr>
          <w:ilvl w:val="2"/>
          <w:numId w:val="9"/>
        </w:numPr>
        <w:spacing w:beforeAutospacing="0" w:before="0" w:afterAutospacing="0" w:after="0"/>
        <w:ind w:hanging="504" w:start="1080"/>
        <w:jc w:val="both"/>
        <w:rPr>
          <w:color w:val="000000"/>
        </w:rPr>
      </w:pPr>
      <w:r>
        <w:rPr>
          <w:color w:val="000000"/>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NormalWeb"/>
        <w:numPr>
          <w:ilvl w:val="2"/>
          <w:numId w:val="9"/>
        </w:numPr>
        <w:spacing w:beforeAutospacing="0" w:before="0" w:afterAutospacing="0" w:after="0"/>
        <w:ind w:hanging="504" w:start="1080"/>
        <w:jc w:val="both"/>
        <w:rPr>
          <w:color w:val="000000"/>
        </w:rPr>
      </w:pPr>
      <w:r>
        <w:rPr>
          <w:color w:val="000000"/>
        </w:rPr>
        <w:t xml:space="preserve">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привести в ЧТЗ)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вноситься вручную специалистами </w:t>
      </w:r>
      <w:commentRangeStart w:id="30"/>
      <w:r>
        <w:rPr>
          <w:color w:val="000000"/>
        </w:rPr>
        <w:t>с приложением обосновывающих материалов</w:t>
      </w:r>
      <w:r>
        <w:rPr>
          <w:color w:val="000000"/>
        </w:rPr>
      </w:r>
      <w:commentRangeEnd w:id="30"/>
      <w:r>
        <w:commentReference w:id="30"/>
      </w:r>
      <w:r>
        <w:rPr>
          <w:color w:val="000000"/>
        </w:rPr>
        <w:t>,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 Окончательный состав экранных форм, описание их элементов и функций обработки потенциального изменения категорий риска необходимо привести в ЧТЗ.</w:t>
      </w:r>
    </w:p>
    <w:p>
      <w:pPr>
        <w:pStyle w:val="NormalWeb"/>
        <w:numPr>
          <w:ilvl w:val="1"/>
          <w:numId w:val="9"/>
        </w:numPr>
        <w:spacing w:beforeAutospacing="0" w:before="0" w:afterAutospacing="0" w:after="0"/>
        <w:ind w:hanging="432" w:start="720"/>
        <w:jc w:val="both"/>
        <w:rPr>
          <w:color w:val="000000"/>
        </w:rPr>
      </w:pPr>
      <w:r>
        <w:rPr>
          <w:color w:val="000000"/>
        </w:rPr>
        <w:t>Обеспечить сохранение результатов расчета категорий риска и их обоснований в привязке к дате расчета и объекту контроля.</w:t>
      </w:r>
    </w:p>
    <w:p>
      <w:pPr>
        <w:pStyle w:val="NormalWeb"/>
        <w:numPr>
          <w:ilvl w:val="1"/>
          <w:numId w:val="9"/>
        </w:numPr>
        <w:spacing w:beforeAutospacing="0" w:before="0" w:afterAutospacing="0" w:after="0"/>
        <w:ind w:hanging="432" w:start="720"/>
        <w:jc w:val="both"/>
        <w:rPr>
          <w:color w:val="000000"/>
        </w:rPr>
      </w:pPr>
      <w:r>
        <w:rPr>
          <w:color w:val="000000"/>
        </w:rPr>
        <w:t>Обеспечить получение из компонентов ФГИС «ВетИС» первичных данных для расчета категорий риска при реализации требований, предусмотренных пп. 1.1 и 1.2 п. 4.1.3, а также в качестве критериев тяжести потенциальных негативных последствий возможного несоблюдения обязательных требований.</w:t>
      </w:r>
    </w:p>
    <w:p>
      <w:pPr>
        <w:pStyle w:val="NormalWeb"/>
        <w:numPr>
          <w:ilvl w:val="1"/>
          <w:numId w:val="9"/>
        </w:numPr>
        <w:spacing w:beforeAutospacing="0" w:before="0" w:afterAutospacing="0" w:after="0"/>
        <w:ind w:hanging="432" w:start="720"/>
        <w:jc w:val="both"/>
        <w:rPr>
          <w:color w:val="000000"/>
        </w:rPr>
      </w:pPr>
      <w:r>
        <w:rPr>
          <w:color w:val="000000"/>
        </w:rPr>
        <w:t>Обеспечить использование полученных данных (пп. 1.4 п. 4.1.3) в расчете категорий риска согласно требованиям пп. 1.1 и 1.2 п. 4.1.3, а также для формирования итоговых выходных данных для передачи в Сервис РСХН.</w:t>
      </w:r>
    </w:p>
    <w:p>
      <w:pPr>
        <w:pStyle w:val="NormalWeb"/>
        <w:numPr>
          <w:ilvl w:val="1"/>
          <w:numId w:val="9"/>
        </w:numPr>
        <w:spacing w:beforeAutospacing="0" w:before="0" w:afterAutospacing="0" w:after="0"/>
        <w:ind w:hanging="432" w:start="720"/>
        <w:jc w:val="both"/>
        <w:rPr>
          <w:color w:val="000000"/>
        </w:rPr>
      </w:pPr>
      <w:r>
        <w:rPr>
          <w:color w:val="000000"/>
        </w:rPr>
        <w:t>Создать системные справочники, необходимые для расчета категорий рисков в соответствии с пп. 1.1 и 1.2 п. 4.1.3. Перечень справочников и их атрибутивный состав необходимо привести в ЧТЗ.</w:t>
      </w:r>
    </w:p>
    <w:p>
      <w:pPr>
        <w:pStyle w:val="NormalWeb"/>
        <w:numPr>
          <w:ilvl w:val="1"/>
          <w:numId w:val="9"/>
        </w:numPr>
        <w:spacing w:beforeAutospacing="0" w:before="0" w:afterAutospacing="0" w:after="0"/>
        <w:ind w:hanging="432" w:start="720"/>
        <w:jc w:val="both"/>
        <w:rPr>
          <w:color w:val="000000"/>
        </w:rPr>
      </w:pPr>
      <w:r>
        <w:rPr>
          <w:color w:val="000000"/>
        </w:rPr>
        <w:t>Обеспечить передачу сведений об изменениях категорий рисков с учетом пп. 1.2 п. 4.1.3 в Сервис РСХН.</w:t>
      </w:r>
    </w:p>
    <w:p>
      <w:pPr>
        <w:pStyle w:val="NormalWeb"/>
        <w:numPr>
          <w:ilvl w:val="1"/>
          <w:numId w:val="9"/>
        </w:numPr>
        <w:spacing w:beforeAutospacing="0" w:before="0" w:afterAutospacing="0" w:after="0"/>
        <w:ind w:hanging="432" w:start="720"/>
        <w:jc w:val="both"/>
        <w:rPr>
          <w:color w:val="000000"/>
        </w:rPr>
      </w:pPr>
      <w:r>
        <w:rPr>
          <w:color w:val="000000"/>
        </w:rPr>
        <w:t>Реализация требований пп. 1.1 и 1.2 п. 4.1.3 должна осуществляться с учетом актуальной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w:t>
      </w:r>
    </w:p>
    <w:p>
      <w:pPr>
        <w:pStyle w:val="NormalWeb"/>
        <w:numPr>
          <w:ilvl w:val="0"/>
          <w:numId w:val="9"/>
        </w:numPr>
        <w:spacing w:beforeAutospacing="0" w:before="0" w:afterAutospacing="0" w:after="0"/>
        <w:jc w:val="both"/>
        <w:rPr>
          <w:color w:val="000000"/>
        </w:rPr>
      </w:pPr>
      <w:r>
        <w:rPr>
          <w:color w:val="000000"/>
        </w:rPr>
        <w:t>В ЧТЗ необходимо привести:</w:t>
      </w:r>
    </w:p>
    <w:p>
      <w:pPr>
        <w:pStyle w:val="NormalWeb"/>
        <w:numPr>
          <w:ilvl w:val="1"/>
          <w:numId w:val="9"/>
        </w:numPr>
        <w:spacing w:beforeAutospacing="0" w:before="0" w:afterAutospacing="0" w:after="0"/>
        <w:ind w:hanging="432" w:start="720"/>
        <w:jc w:val="both"/>
        <w:rPr>
          <w:color w:val="000000"/>
        </w:rPr>
      </w:pPr>
      <w:r>
        <w:rPr>
          <w:color w:val="000000"/>
        </w:rPr>
        <w:t>Описание алгоритмов расчета и присвоения категорий риска, включая правила поиска и выбора исходных данных для таких вычислений из компонентов ФГИС «ВетИС».</w:t>
      </w:r>
    </w:p>
    <w:p>
      <w:pPr>
        <w:pStyle w:val="NormalWeb"/>
        <w:numPr>
          <w:ilvl w:val="1"/>
          <w:numId w:val="9"/>
        </w:numPr>
        <w:spacing w:beforeAutospacing="0" w:before="0" w:afterAutospacing="0" w:after="0"/>
        <w:ind w:hanging="432" w:start="720"/>
        <w:jc w:val="both"/>
        <w:rPr>
          <w:color w:val="000000"/>
        </w:rPr>
      </w:pPr>
      <w:r>
        <w:rPr>
          <w:color w:val="000000"/>
        </w:rPr>
        <w:t>Состав и описание краткого содержания (характеристики) справочников, необходимых для расчета цифровых рисков.</w:t>
      </w:r>
    </w:p>
    <w:p>
      <w:pPr>
        <w:pStyle w:val="NormalWeb"/>
        <w:numPr>
          <w:ilvl w:val="1"/>
          <w:numId w:val="9"/>
        </w:numPr>
        <w:spacing w:beforeAutospacing="0" w:before="0" w:afterAutospacing="0" w:after="0"/>
        <w:ind w:hanging="432" w:start="720"/>
        <w:jc w:val="both"/>
        <w:rPr>
          <w:color w:val="000000"/>
        </w:rPr>
      </w:pPr>
      <w:r>
        <w:rPr>
          <w:color w:val="000000"/>
        </w:rPr>
        <w:t>Подходов к реализации требований, приведенных в пп. 1.1-1.8 п. 4.1.3.</w:t>
      </w:r>
    </w:p>
    <w:p>
      <w:pPr>
        <w:pStyle w:val="Heading3"/>
        <w:rPr/>
      </w:pPr>
      <w:r>
        <w:rPr/>
        <w:t xml:space="preserve">Требования к </w:t>
      </w:r>
      <w:commentRangeStart w:id="31"/>
      <w:r>
        <w:rPr/>
        <w:t>расчету</w:t>
      </w:r>
      <w:r>
        <w:rPr/>
      </w:r>
      <w:commentRangeEnd w:id="31"/>
      <w:r>
        <w:commentReference w:id="31"/>
      </w:r>
      <w:r>
        <w:rPr/>
        <w:t xml:space="preserve"> объемов подконтрольной продукции </w:t>
      </w:r>
    </w:p>
    <w:p>
      <w:pPr>
        <w:pStyle w:val="NormalWeb"/>
        <w:numPr>
          <w:ilvl w:val="0"/>
          <w:numId w:val="10"/>
        </w:numPr>
        <w:spacing w:beforeAutospacing="0" w:before="0" w:afterAutospacing="0" w:after="0"/>
        <w:jc w:val="both"/>
        <w:rPr>
          <w:color w:val="000000"/>
        </w:rPr>
      </w:pPr>
      <w:r>
        <w:rPr>
          <w:color w:val="000000"/>
        </w:rPr>
        <w:t>Функциональные возможности по расчету объемов подконтрольной продукции необходимо реализовать согласно следующим требованиям: </w:t>
      </w:r>
    </w:p>
    <w:p>
      <w:pPr>
        <w:pStyle w:val="NormalWeb"/>
        <w:numPr>
          <w:ilvl w:val="1"/>
          <w:numId w:val="10"/>
        </w:numPr>
        <w:spacing w:beforeAutospacing="0" w:before="0" w:afterAutospacing="0" w:after="0"/>
        <w:ind w:hanging="432" w:start="720"/>
        <w:jc w:val="both"/>
        <w:rPr>
          <w:color w:val="000000"/>
        </w:rPr>
      </w:pPr>
      <w:r>
        <w:rPr>
          <w:color w:val="000000"/>
        </w:rPr>
        <w:t>Создать функциональные возможности по подготовке и предоставлению данных об объемах реализуемой продукции с целью обеспечения возможности их передачи в ФНС России для возможного доначисления НДС с учетом данных об обработке подозрительных операций (осуществление непосредственной передачи данных об объемах реализуемой продукции в ФНС России выходит за рамки работ, предусмотренных ФТ).</w:t>
      </w:r>
    </w:p>
    <w:p>
      <w:pPr>
        <w:pStyle w:val="NormalWeb"/>
        <w:numPr>
          <w:ilvl w:val="1"/>
          <w:numId w:val="10"/>
        </w:numPr>
        <w:spacing w:beforeAutospacing="0" w:before="0" w:afterAutospacing="0" w:after="0"/>
        <w:ind w:hanging="432" w:start="720"/>
        <w:jc w:val="both"/>
        <w:rPr>
          <w:color w:val="000000"/>
        </w:rPr>
      </w:pPr>
      <w:r>
        <w:rPr>
          <w:color w:val="000000"/>
        </w:rPr>
        <w:t>Обеспечить возможность ручного внесения сведений, относящихся к отслеживаемым подозрительным операциям, а также обеспечить возможность импорта указанных сведений из табличных файлов. При этом:</w:t>
      </w:r>
    </w:p>
    <w:p>
      <w:pPr>
        <w:pStyle w:val="NormalWeb"/>
        <w:numPr>
          <w:ilvl w:val="2"/>
          <w:numId w:val="10"/>
        </w:numPr>
        <w:spacing w:beforeAutospacing="0" w:before="0" w:afterAutospacing="0" w:after="0"/>
        <w:ind w:hanging="504" w:start="1080"/>
        <w:jc w:val="both"/>
        <w:rPr>
          <w:color w:val="000000"/>
        </w:rPr>
      </w:pPr>
      <w:r>
        <w:rPr>
          <w:color w:val="000000"/>
        </w:rPr>
        <w:t>Описание атрибутивного состава сведений и правил их заполнения необходимо привести в ЧТЗ.</w:t>
      </w:r>
    </w:p>
    <w:p>
      <w:pPr>
        <w:pStyle w:val="NormalWeb"/>
        <w:numPr>
          <w:ilvl w:val="2"/>
          <w:numId w:val="10"/>
        </w:numPr>
        <w:spacing w:beforeAutospacing="0" w:before="0" w:afterAutospacing="0" w:after="0"/>
        <w:ind w:hanging="504" w:start="1080"/>
        <w:jc w:val="both"/>
        <w:rPr>
          <w:color w:val="000000"/>
        </w:rPr>
      </w:pPr>
      <w:r>
        <w:rPr>
          <w:color w:val="000000"/>
        </w:rPr>
        <w:t>Описание шаблона таблицы, подлежащей использованию при импорте сведений, представляется функциональным заказчиком.</w:t>
      </w:r>
    </w:p>
    <w:p>
      <w:pPr>
        <w:pStyle w:val="NormalWeb"/>
        <w:numPr>
          <w:ilvl w:val="1"/>
          <w:numId w:val="10"/>
        </w:numPr>
        <w:spacing w:beforeAutospacing="0" w:before="0" w:afterAutospacing="0" w:after="0"/>
        <w:ind w:hanging="432" w:start="720"/>
        <w:jc w:val="both"/>
        <w:rPr>
          <w:color w:val="000000"/>
        </w:rPr>
      </w:pPr>
      <w:r>
        <w:rPr>
          <w:color w:val="000000"/>
        </w:rPr>
        <w:t>Создать справочники, необходимые для использования при подготовке и предоставления данных об объемах реализуемой продукции с целью передачи сведений в ФНС России для возможного доначисления, а также для внесения вышеуказанных данных вручную. Итоговый перечень справочников, а также их атрибутивный состав необходимо привести в ЧТЗ.</w:t>
      </w:r>
    </w:p>
    <w:p>
      <w:pPr>
        <w:pStyle w:val="NormalWeb"/>
        <w:numPr>
          <w:ilvl w:val="0"/>
          <w:numId w:val="10"/>
        </w:numPr>
        <w:spacing w:beforeAutospacing="0" w:before="0" w:afterAutospacing="0" w:after="0"/>
        <w:jc w:val="both"/>
        <w:rPr>
          <w:color w:val="000000"/>
        </w:rPr>
      </w:pPr>
      <w:r>
        <w:rPr>
          <w:color w:val="000000"/>
        </w:rPr>
        <w:t>В рамках доработки действующих моделей поиска потенциальных нарушителей среди производителей продукции, объем реализации которой не соответствует объемам потребляемого/приобретаемого сырья, необходимо:</w:t>
      </w:r>
    </w:p>
    <w:p>
      <w:pPr>
        <w:pStyle w:val="NormalWeb"/>
        <w:numPr>
          <w:ilvl w:val="1"/>
          <w:numId w:val="10"/>
        </w:numPr>
        <w:spacing w:beforeAutospacing="0" w:before="0" w:afterAutospacing="0" w:after="0"/>
        <w:ind w:hanging="432" w:start="720"/>
        <w:jc w:val="both"/>
        <w:rPr>
          <w:color w:val="000000"/>
        </w:rPr>
      </w:pPr>
      <w:r>
        <w:rPr>
          <w:color w:val="000000"/>
        </w:rPr>
        <w:t>Привести в ЧТЗ описание дополнительного атрибутивного состава и алгоритмов для расширения модели в целях улучшения качества ее работы (повышения релевантности поиска).</w:t>
      </w:r>
    </w:p>
    <w:p>
      <w:pPr>
        <w:pStyle w:val="NormalWeb"/>
        <w:numPr>
          <w:ilvl w:val="1"/>
          <w:numId w:val="10"/>
        </w:numPr>
        <w:spacing w:beforeAutospacing="0" w:before="0" w:afterAutospacing="0" w:after="0"/>
        <w:ind w:hanging="432" w:start="720"/>
        <w:jc w:val="both"/>
        <w:rPr>
          <w:color w:val="000000"/>
        </w:rPr>
      </w:pPr>
      <w:r>
        <w:rPr>
          <w:color w:val="000000"/>
        </w:rPr>
        <w:t>Обеспечить расширение атрибутивного состава и алгоритмов для действующих моделей поиска потенциальных нарушителей среди хозяйствующих субъектов, объем реализации или производства продукции которых не соответствует объемам потребляемого/приобретаемого сырья.</w:t>
      </w:r>
    </w:p>
    <w:p>
      <w:pPr>
        <w:pStyle w:val="NormalWeb"/>
        <w:numPr>
          <w:ilvl w:val="0"/>
          <w:numId w:val="10"/>
        </w:numPr>
        <w:spacing w:beforeAutospacing="0" w:before="0" w:afterAutospacing="0" w:after="0"/>
        <w:jc w:val="both"/>
        <w:rPr>
          <w:color w:val="000000"/>
        </w:rPr>
      </w:pPr>
      <w:r>
        <w:rPr>
          <w:color w:val="000000"/>
        </w:rPr>
        <w:t>В рамках создания и внедрения модели подготовки данных об объемах реализуемой продукции с целью передачи сведений в ФНС России для возможного доначисления НДС необходимо описать в ЧТЗ состав входных и выходных данных модели и алгоритмов обработки данных. Модель должна обрабатывать данные, получаемые из компонентов ФГИС «ВетИС» и других источников в составе инфраструктуры РСХН.</w:t>
      </w:r>
    </w:p>
    <w:p>
      <w:pPr>
        <w:pStyle w:val="Heading3"/>
        <w:rPr/>
      </w:pPr>
      <w:r>
        <w:rPr/>
        <w:t>Требования к формированию аналитической отчетности</w:t>
      </w:r>
    </w:p>
    <w:p>
      <w:pPr>
        <w:pStyle w:val="NormalWeb"/>
        <w:numPr>
          <w:ilvl w:val="0"/>
          <w:numId w:val="11"/>
        </w:numPr>
        <w:spacing w:beforeAutospacing="0" w:before="0" w:afterAutospacing="0" w:after="0"/>
        <w:ind w:hanging="360" w:start="360"/>
        <w:jc w:val="both"/>
        <w:rPr>
          <w:color w:val="000000"/>
        </w:rPr>
      </w:pPr>
      <w:r>
        <w:rPr>
          <w:color w:val="000000"/>
        </w:rPr>
        <w:t>Должны быть созданы аналитические отчеты в количестве 8 штук, предназначенные для опубликования следующих сведений:</w:t>
      </w:r>
    </w:p>
    <w:p>
      <w:pPr>
        <w:pStyle w:val="NormalWeb"/>
        <w:numPr>
          <w:ilvl w:val="1"/>
          <w:numId w:val="11"/>
        </w:numPr>
        <w:spacing w:beforeAutospacing="0" w:before="0" w:afterAutospacing="0" w:after="0"/>
        <w:ind w:hanging="360" w:start="720"/>
        <w:jc w:val="both"/>
        <w:rPr>
          <w:color w:val="000000"/>
        </w:rPr>
      </w:pPr>
      <w:commentRangeStart w:id="32"/>
      <w:r>
        <w:rPr>
          <w:color w:val="000000"/>
        </w:rPr>
        <w:t>Статусы</w:t>
      </w:r>
      <w:r>
        <w:rPr>
          <w:color w:val="000000"/>
        </w:rPr>
      </w:r>
      <w:commentRangeEnd w:id="32"/>
      <w:r>
        <w:commentReference w:id="32"/>
      </w:r>
      <w:r>
        <w:rPr>
          <w:color w:val="000000"/>
        </w:rPr>
        <w:t xml:space="preserve"> обработки выявленных индикаторов, включая их эффективность (2 отчета).</w:t>
      </w:r>
    </w:p>
    <w:p>
      <w:pPr>
        <w:pStyle w:val="NormalWeb"/>
        <w:numPr>
          <w:ilvl w:val="1"/>
          <w:numId w:val="11"/>
        </w:numPr>
        <w:spacing w:beforeAutospacing="0" w:before="0" w:afterAutospacing="0" w:after="0"/>
        <w:ind w:hanging="360" w:start="720"/>
        <w:jc w:val="both"/>
        <w:rPr>
          <w:color w:val="000000"/>
        </w:rPr>
      </w:pPr>
      <w:commentRangeStart w:id="33"/>
      <w:r>
        <w:rPr>
          <w:color w:val="000000"/>
        </w:rPr>
        <w:t xml:space="preserve">Технические детали взаимодействия </w:t>
      </w:r>
      <w:r>
        <w:rPr>
          <w:color w:val="000000"/>
        </w:rPr>
      </w:r>
      <w:commentRangeEnd w:id="33"/>
      <w:r>
        <w:commentReference w:id="33"/>
      </w:r>
      <w:r>
        <w:rPr>
          <w:color w:val="000000"/>
        </w:rPr>
        <w:t>с Сервисом РСХН (1 отчет).</w:t>
      </w:r>
    </w:p>
    <w:p>
      <w:pPr>
        <w:pStyle w:val="NormalWeb"/>
        <w:numPr>
          <w:ilvl w:val="1"/>
          <w:numId w:val="11"/>
        </w:numPr>
        <w:spacing w:beforeAutospacing="0" w:before="0" w:afterAutospacing="0" w:after="0"/>
        <w:ind w:hanging="360" w:start="720"/>
        <w:jc w:val="both"/>
        <w:rPr>
          <w:color w:val="000000"/>
        </w:rPr>
      </w:pPr>
      <w:commentRangeStart w:id="34"/>
      <w:r>
        <w:rPr>
          <w:color w:val="000000"/>
        </w:rPr>
        <w:t xml:space="preserve">Сводная отчетность </w:t>
      </w:r>
      <w:r>
        <w:rPr>
          <w:color w:val="000000"/>
        </w:rPr>
      </w:r>
      <w:commentRangeEnd w:id="34"/>
      <w:r>
        <w:commentReference w:id="34"/>
      </w:r>
      <w:r>
        <w:rPr>
          <w:color w:val="000000"/>
        </w:rPr>
        <w:t>о проведенных КНМ, выявленных правонарушениях и принятых мерах в разрезе по регионам и по стране в целом (3 отчета).</w:t>
      </w:r>
    </w:p>
    <w:p>
      <w:pPr>
        <w:pStyle w:val="NormalWeb"/>
        <w:numPr>
          <w:ilvl w:val="1"/>
          <w:numId w:val="11"/>
        </w:numPr>
        <w:spacing w:beforeAutospacing="0" w:before="0" w:afterAutospacing="0" w:after="0"/>
        <w:ind w:hanging="360" w:start="720"/>
        <w:jc w:val="both"/>
        <w:rPr>
          <w:color w:val="000000"/>
        </w:rPr>
      </w:pPr>
      <w:r>
        <w:rPr>
          <w:color w:val="000000"/>
        </w:rPr>
        <w:t>Иные производные показатели, становящиеся доступными по результатам выполнения работ, предусмотренных в ФТ (2 отчета).</w:t>
      </w:r>
    </w:p>
    <w:p>
      <w:pPr>
        <w:pStyle w:val="NormalWeb"/>
        <w:numPr>
          <w:ilvl w:val="0"/>
          <w:numId w:val="11"/>
        </w:numPr>
        <w:spacing w:beforeAutospacing="0" w:before="0" w:afterAutospacing="0" w:after="0"/>
        <w:ind w:hanging="360" w:start="360"/>
        <w:jc w:val="both"/>
        <w:rPr>
          <w:color w:val="000000"/>
        </w:rPr>
      </w:pPr>
      <w:r>
        <w:rPr>
          <w:color w:val="000000"/>
        </w:rPr>
        <w:t>Примерные макеты и их предварительная структура должны быть предоставлены функциональным заказчиком в срок не позднее 10 рабочих дней с даты начала работ.</w:t>
      </w:r>
    </w:p>
    <w:p>
      <w:pPr>
        <w:pStyle w:val="NormalWeb"/>
        <w:numPr>
          <w:ilvl w:val="0"/>
          <w:numId w:val="11"/>
        </w:numPr>
        <w:spacing w:beforeAutospacing="0" w:before="0" w:afterAutospacing="0" w:after="0"/>
        <w:ind w:hanging="360" w:start="360"/>
        <w:jc w:val="both"/>
        <w:rPr>
          <w:color w:val="000000"/>
        </w:rPr>
      </w:pPr>
      <w:r>
        <w:rPr>
          <w:color w:val="000000"/>
        </w:rPr>
        <w:t>В ЧТЗ необходимо привести перечень видов отчетов, описание режима и алгоритмов формирования каждого из них.</w:t>
      </w:r>
    </w:p>
    <w:p>
      <w:pPr>
        <w:pStyle w:val="Normal"/>
        <w:rPr/>
      </w:pPr>
      <w:r>
        <w:rPr/>
        <w:br/>
        <w:br/>
      </w:r>
    </w:p>
    <w:p>
      <w:pPr>
        <w:pStyle w:val="Normal"/>
        <w:spacing w:lineRule="auto" w:line="259" w:before="0" w:after="160"/>
        <w:ind w:hanging="0"/>
        <w:jc w:val="start"/>
        <w:rPr/>
      </w:pPr>
      <w:r>
        <w:rPr/>
      </w:r>
      <w:r>
        <w:br w:type="page"/>
      </w:r>
    </w:p>
    <w:p>
      <w:pPr>
        <w:pStyle w:val="Heading1"/>
        <w:numPr>
          <w:ilvl w:val="0"/>
          <w:numId w:val="0"/>
        </w:numPr>
        <w:spacing w:before="0" w:after="0"/>
        <w:ind w:hanging="431" w:start="431"/>
        <w:jc w:val="center"/>
        <w:rPr>
          <w:rFonts w:cs="Times New Roman"/>
        </w:rPr>
      </w:pPr>
      <w:r>
        <w:rPr>
          <w:rFonts w:cs="Times New Roman"/>
        </w:rPr>
        <w:t>Приложение А</w:t>
      </w:r>
    </w:p>
    <w:p>
      <w:pPr>
        <w:pStyle w:val="Heading1"/>
        <w:numPr>
          <w:ilvl w:val="0"/>
          <w:numId w:val="0"/>
        </w:numPr>
        <w:spacing w:before="120" w:after="0"/>
        <w:ind w:hanging="431" w:start="431"/>
        <w:contextualSpacing/>
        <w:rPr/>
      </w:pPr>
      <w:r>
        <w:rPr/>
      </w:r>
    </w:p>
    <w:p>
      <w:pPr>
        <w:pStyle w:val="Normal"/>
        <w:ind w:hanging="0"/>
        <w:jc w:val="center"/>
        <w:rPr/>
      </w:pPr>
      <w:r>
        <w:rPr/>
        <w:t>Термины и определения</w:t>
      </w:r>
    </w:p>
    <w:p>
      <w:pPr>
        <w:pStyle w:val="Normal"/>
        <w:jc w:val="center"/>
        <w:rPr/>
      </w:pPr>
      <w:r>
        <w:rPr/>
      </w:r>
    </w:p>
    <w:tbl>
      <w:tblPr>
        <w:tblW w:w="963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56"/>
        <w:gridCol w:w="6378"/>
      </w:tblGrid>
      <w:tr>
        <w:trPr>
          <w:tblHeader w:val="true"/>
        </w:trPr>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Термин, сокращение</w:t>
            </w:r>
          </w:p>
        </w:tc>
        <w:tc>
          <w:tcPr>
            <w:tcW w:w="6378" w:type="dxa"/>
            <w:tcBorders>
              <w:top w:val="single" w:sz="4" w:space="0" w:color="000000"/>
              <w:start w:val="single" w:sz="4" w:space="0" w:color="000000"/>
              <w:bottom w:val="single" w:sz="4" w:space="0" w:color="000000"/>
              <w:end w:val="single" w:sz="4" w:space="0" w:color="000000"/>
            </w:tcBorders>
            <w:vAlign w:val="center"/>
          </w:tcPr>
          <w:p>
            <w:pPr>
              <w:pStyle w:val="Normal"/>
              <w:ind w:hanging="0"/>
              <w:jc w:val="center"/>
              <w:rPr>
                <w:b/>
                <w:bCs/>
              </w:rPr>
            </w:pPr>
            <w:r>
              <w:rPr>
                <w:b/>
                <w:bCs/>
              </w:rPr>
              <w:t>Определение</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АП</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Административное производство</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ГАР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Государственный адресный реестр</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t>ГИС ГМП</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Государственная информационная система о государственных и муниципальных платежах</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Государственный контроль (надзор)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Досмотр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Дорожная карта РСХН</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Дорожная карта по разработке цифровых индикаторов рисков в ветеринарном надзоре</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ЕПГУ</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Федеральная государственная информационная система «Единый портал государственных и муниципальных услуг»</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ЕРКНМ</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Федеральная государственная информационная система «Единый реестр контрольных (надзорных) мероприятий»</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ИИ-модель, также модель ИИ</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b/>
                <w:color w:val="000000"/>
              </w:rPr>
            </w:pPr>
            <w:r>
              <w:rPr>
                <w:color w:val="000000"/>
              </w:rPr>
              <w:t>Сценарная модель с применением правил и(или) алгоритмов и(или) методов машинного обучения</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Инспектор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Инструментальное обследование</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ИП</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Исполнительное производство</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Испытание</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Истребование документов</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Категория риска</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ind w:hanging="0"/>
              <w:rPr/>
            </w:pPr>
            <w:r>
              <w:rPr/>
              <w:t>1) чрезвычайно – высокий риск;</w:t>
            </w:r>
          </w:p>
          <w:p>
            <w:pPr>
              <w:pStyle w:val="Normal"/>
              <w:ind w:hanging="0"/>
              <w:rPr/>
            </w:pPr>
            <w:r>
              <w:rPr/>
              <w:t>2) высокий риск;</w:t>
            </w:r>
          </w:p>
          <w:p>
            <w:pPr>
              <w:pStyle w:val="Normal"/>
              <w:ind w:hanging="0"/>
              <w:rPr/>
            </w:pPr>
            <w:r>
              <w:rPr/>
              <w:t>3) значительный риск;</w:t>
            </w:r>
          </w:p>
          <w:p>
            <w:pPr>
              <w:pStyle w:val="Normal"/>
              <w:ind w:hanging="0"/>
              <w:rPr/>
            </w:pPr>
            <w:r>
              <w:rPr/>
              <w:t>4) средний риск;</w:t>
            </w:r>
          </w:p>
          <w:p>
            <w:pPr>
              <w:pStyle w:val="Normal"/>
              <w:ind w:hanging="0"/>
              <w:rPr/>
            </w:pPr>
            <w:r>
              <w:rPr/>
              <w:t>5) умеренный риск;</w:t>
            </w:r>
          </w:p>
          <w:p>
            <w:pPr>
              <w:pStyle w:val="Normal"/>
              <w:ind w:hanging="0"/>
              <w:rPr/>
            </w:pPr>
            <w:r>
              <w:rPr/>
              <w:t>6) низкий риск.</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КНД</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Контрольная (надзорная) деятельность</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КНМ</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Контрольное (надзорное) мероприятие</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Контролируемые лица, также – субъекты контроля</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Контрольное (надзорное) действие</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Применяются следующие виды контрольно-надзорных действий:</w:t>
            </w:r>
          </w:p>
          <w:p>
            <w:pPr>
              <w:pStyle w:val="NoSpacing"/>
              <w:numPr>
                <w:ilvl w:val="0"/>
                <w:numId w:val="12"/>
              </w:numPr>
              <w:rPr/>
            </w:pPr>
            <w:r>
              <w:rPr/>
              <w:t>осмотр;</w:t>
            </w:r>
          </w:p>
          <w:p>
            <w:pPr>
              <w:pStyle w:val="NoSpacing"/>
              <w:numPr>
                <w:ilvl w:val="0"/>
                <w:numId w:val="12"/>
              </w:numPr>
              <w:rPr/>
            </w:pPr>
            <w:r>
              <w:rPr/>
              <w:t>досмотр;</w:t>
            </w:r>
          </w:p>
          <w:p>
            <w:pPr>
              <w:pStyle w:val="NoSpacing"/>
              <w:numPr>
                <w:ilvl w:val="0"/>
                <w:numId w:val="12"/>
              </w:numPr>
              <w:rPr/>
            </w:pPr>
            <w:r>
              <w:rPr/>
              <w:t>опрос;</w:t>
            </w:r>
          </w:p>
          <w:p>
            <w:pPr>
              <w:pStyle w:val="NoSpacing"/>
              <w:numPr>
                <w:ilvl w:val="0"/>
                <w:numId w:val="12"/>
              </w:numPr>
              <w:rPr/>
            </w:pPr>
            <w:r>
              <w:rPr/>
              <w:t>получение письменных объяснений;</w:t>
            </w:r>
          </w:p>
          <w:p>
            <w:pPr>
              <w:pStyle w:val="NoSpacing"/>
              <w:numPr>
                <w:ilvl w:val="0"/>
                <w:numId w:val="12"/>
              </w:numPr>
              <w:rPr/>
            </w:pPr>
            <w:r>
              <w:rPr/>
              <w:t>истребование документов;</w:t>
            </w:r>
          </w:p>
          <w:p>
            <w:pPr>
              <w:pStyle w:val="NoSpacing"/>
              <w:numPr>
                <w:ilvl w:val="0"/>
                <w:numId w:val="12"/>
              </w:numPr>
              <w:rPr/>
            </w:pPr>
            <w:r>
              <w:rPr/>
              <w:t>отбор проб (образцов);</w:t>
            </w:r>
          </w:p>
          <w:p>
            <w:pPr>
              <w:pStyle w:val="NoSpacing"/>
              <w:numPr>
                <w:ilvl w:val="0"/>
                <w:numId w:val="12"/>
              </w:numPr>
              <w:rPr/>
            </w:pPr>
            <w:r>
              <w:rPr/>
              <w:t>инструментальное обследование;</w:t>
            </w:r>
          </w:p>
          <w:p>
            <w:pPr>
              <w:pStyle w:val="NoSpacing"/>
              <w:numPr>
                <w:ilvl w:val="0"/>
                <w:numId w:val="12"/>
              </w:numPr>
              <w:rPr/>
            </w:pPr>
            <w:r>
              <w:rPr/>
              <w:t>испытание;</w:t>
            </w:r>
          </w:p>
          <w:p>
            <w:pPr>
              <w:pStyle w:val="NoSpacing"/>
              <w:numPr>
                <w:ilvl w:val="0"/>
                <w:numId w:val="12"/>
              </w:numPr>
              <w:rPr/>
            </w:pPr>
            <w:r>
              <w:rPr/>
              <w:t>экспертиза.</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Контрольное (надзорное) мероприятие</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МП «Инспектор»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Мобильное приложение «Инспектор»</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Объект контроля, также – подконтрольный объект</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Объектами государственного контроля (надзора) являются:</w:t>
            </w:r>
          </w:p>
          <w:p>
            <w:pPr>
              <w:pStyle w:val="Normal"/>
              <w:ind w:hanging="0"/>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ind w:hanging="0"/>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ind w:hanging="0"/>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Опрос</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ind w:hanging="0"/>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Осмотр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Отбор проб</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ПМ, также – Профилактическое мероприятие</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Мероприятие контрольного (надзорного) органа, проводимое в отношении контролируемого лица в целях:</w:t>
            </w:r>
          </w:p>
          <w:p>
            <w:pPr>
              <w:pStyle w:val="Normal"/>
              <w:ind w:hanging="0"/>
              <w:rPr/>
            </w:pPr>
            <w:r>
              <w:rPr/>
              <w:t>1) стимулирование добросовестного соблюдения обязательных требований всеми контролируемыми лицами;</w:t>
            </w:r>
          </w:p>
          <w:p>
            <w:pPr>
              <w:pStyle w:val="Normal"/>
              <w:ind w:hanging="0"/>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ind w:hanging="0"/>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Получение письменный объяснений</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color w:val="000000"/>
              </w:rPr>
              <w:t>Предписание об устранении выявленных нарушений</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Реестр контролируемых лиц / объектов контроля/КНМ /ПМ</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Список всех записей о контролируемых лицах/объектах контроля/КНМ/ПМ</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Рейдовый осмотр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Риск</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Вероятность причинения вреда (ущерба) охраняемым законом ценностям, вызванного нарушениями обязательных требований</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t>РСХН, Россельхознадзор</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Федеральная служба по ветеринарному и фитосанитарному надзору</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СМЭВ</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Единая система межведомственного электронного взаимодействия</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t>ФГИС «ВетИС»</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Федеральная государственная информационная система в области ветеринарии </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ФГИС ЕРВК</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Федеральная государственная информационная система «Единый реестр видов контроля»</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t>ФГИС ПГС</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color w:val="000000"/>
              </w:rPr>
            </w:pPr>
            <w:r>
              <w:rPr>
                <w:color w:val="000000"/>
              </w:rPr>
              <w:t>Федеральная государственная информационная система «Единая система предоставления государственных и муниципальных услуг (сервисов)»</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color w:val="000000"/>
              </w:rPr>
              <w:t>ФГИС РОТ</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color w:val="000000"/>
              </w:rPr>
              <w:t>Федеральная государственная информационная система «Реестр обязательных требований»</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color w:val="000000"/>
              </w:rPr>
            </w:pPr>
            <w:r>
              <w:rPr/>
              <w:t>ФТ</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Функционально-технические требования</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ЧТЗ</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Частное техническое задание</w:t>
            </w:r>
          </w:p>
        </w:tc>
      </w:tr>
      <w:tr>
        <w:trPr/>
        <w:tc>
          <w:tcPr>
            <w:tcW w:w="3256" w:type="dxa"/>
            <w:tcBorders>
              <w:top w:val="single" w:sz="4" w:space="0" w:color="000000"/>
              <w:start w:val="single" w:sz="4" w:space="0" w:color="000000"/>
              <w:bottom w:val="single" w:sz="4" w:space="0" w:color="000000"/>
              <w:end w:val="single" w:sz="4" w:space="0" w:color="000000"/>
            </w:tcBorders>
          </w:tcPr>
          <w:p>
            <w:pPr>
              <w:pStyle w:val="Normal"/>
              <w:ind w:hanging="0"/>
              <w:jc w:val="start"/>
              <w:rPr/>
            </w:pPr>
            <w:r>
              <w:rPr/>
              <w:t>Экспертиза</w:t>
            </w:r>
          </w:p>
        </w:tc>
        <w:tc>
          <w:tcPr>
            <w:tcW w:w="6378" w:type="dxa"/>
            <w:tcBorders>
              <w:top w:val="single" w:sz="4" w:space="0" w:color="000000"/>
              <w:start w:val="single" w:sz="4" w:space="0" w:color="000000"/>
              <w:bottom w:val="single" w:sz="4" w:space="0" w:color="000000"/>
              <w:end w:val="single" w:sz="4" w:space="0" w:color="000000"/>
            </w:tcBorders>
          </w:tcPr>
          <w:p>
            <w:pPr>
              <w:pStyle w:val="Normal"/>
              <w:ind w:hanging="0"/>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bl>
    <w:p>
      <w:pPr>
        <w:pStyle w:val="Normal"/>
        <w:rPr/>
      </w:pPr>
      <w:r>
        <w:rPr/>
      </w:r>
    </w:p>
    <w:p>
      <w:pPr>
        <w:pStyle w:val="Normal"/>
        <w:spacing w:lineRule="auto" w:line="259" w:before="0" w:after="160"/>
        <w:ind w:hanging="0"/>
        <w:jc w:val="start"/>
        <w:rPr>
          <w:rFonts w:eastAsia="Arial" w:eastAsiaTheme="majorEastAsia"/>
          <w:b/>
          <w:smallCaps/>
          <w:szCs w:val="32"/>
        </w:rPr>
      </w:pPr>
      <w:r>
        <w:rPr>
          <w:rFonts w:eastAsia="Arial" w:eastAsiaTheme="majorEastAsia"/>
          <w:b/>
          <w:smallCaps/>
          <w:szCs w:val="32"/>
        </w:rPr>
      </w:r>
      <w:r>
        <w:br w:type="page"/>
      </w:r>
    </w:p>
    <w:p>
      <w:pPr>
        <w:pStyle w:val="Heading1"/>
        <w:numPr>
          <w:ilvl w:val="0"/>
          <w:numId w:val="0"/>
        </w:numPr>
        <w:spacing w:before="0" w:after="0"/>
        <w:ind w:hanging="431" w:start="431"/>
        <w:jc w:val="center"/>
        <w:rPr>
          <w:rFonts w:cs="Times New Roman"/>
        </w:rPr>
      </w:pPr>
      <w:r>
        <w:rPr>
          <w:rFonts w:cs="Times New Roman"/>
        </w:rPr>
        <w:t>Приложение Б</w:t>
      </w:r>
    </w:p>
    <w:p>
      <w:pPr>
        <w:pStyle w:val="Normal"/>
        <w:rPr/>
      </w:pPr>
      <w:r>
        <w:rPr/>
      </w:r>
    </w:p>
    <w:p>
      <w:pPr>
        <w:pStyle w:val="Normal"/>
        <w:ind w:hanging="0"/>
        <w:jc w:val="center"/>
        <w:rPr/>
      </w:pPr>
      <w:r>
        <w:rPr/>
        <w:t>Перечень документов, использованных при разработке ФТ</w:t>
      </w:r>
    </w:p>
    <w:p>
      <w:pPr>
        <w:pStyle w:val="Normal"/>
        <w:ind w:hanging="0"/>
        <w:rPr/>
      </w:pPr>
      <w:r>
        <w:rPr/>
      </w:r>
    </w:p>
    <w:p>
      <w:pPr>
        <w:pStyle w:val="ListParagraph"/>
        <w:numPr>
          <w:ilvl w:val="0"/>
          <w:numId w:val="13"/>
        </w:numPr>
        <w:rPr/>
      </w:pPr>
      <w:r>
        <w:rPr/>
        <w:t>Кодекс Российской Федерации об административных правонарушениях от 30.12.2001 № 195-ФЗ (с изменениями на 6 ноября 2024 года).</w:t>
      </w:r>
    </w:p>
    <w:p>
      <w:pPr>
        <w:pStyle w:val="ListParagraph"/>
        <w:numPr>
          <w:ilvl w:val="0"/>
          <w:numId w:val="13"/>
        </w:numPr>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ListParagraph"/>
        <w:numPr>
          <w:ilvl w:val="0"/>
          <w:numId w:val="13"/>
        </w:numPr>
        <w:rPr/>
      </w:pPr>
      <w:r>
        <w:rPr/>
        <w:t>Закон РФ «О ветеринарии» от 14.05.1993 № 4979-1.</w:t>
      </w:r>
    </w:p>
    <w:p>
      <w:pPr>
        <w:pStyle w:val="ListParagraph"/>
        <w:numPr>
          <w:ilvl w:val="0"/>
          <w:numId w:val="13"/>
        </w:numPr>
        <w:rPr/>
      </w:pPr>
      <w:r>
        <w:rPr/>
        <w:t>Федеральный закон от 02.01.2000 № 29 «О качестве и безопасности пищевых продуктов».</w:t>
      </w:r>
    </w:p>
    <w:p>
      <w:pPr>
        <w:pStyle w:val="ListParagraph"/>
        <w:numPr>
          <w:ilvl w:val="0"/>
          <w:numId w:val="13"/>
        </w:numPr>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ListParagraph"/>
        <w:numPr>
          <w:ilvl w:val="0"/>
          <w:numId w:val="13"/>
        </w:numPr>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ListParagraph"/>
        <w:numPr>
          <w:ilvl w:val="0"/>
          <w:numId w:val="13"/>
        </w:numPr>
        <w:rPr/>
      </w:pPr>
      <w:r>
        <w:rPr/>
        <w:t>Постановление Правительства Российской Федерации от 30.06.2021 № 1097 «О федеральном государственном ветеринарном контроле (надзоре)».</w:t>
      </w:r>
    </w:p>
    <w:p>
      <w:pPr>
        <w:pStyle w:val="ListParagraph"/>
        <w:numPr>
          <w:ilvl w:val="0"/>
          <w:numId w:val="13"/>
        </w:numPr>
        <w:rPr/>
      </w:pPr>
      <w:r>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ListParagraph"/>
        <w:numPr>
          <w:ilvl w:val="0"/>
          <w:numId w:val="13"/>
        </w:numPr>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ListParagraph"/>
        <w:numPr>
          <w:ilvl w:val="0"/>
          <w:numId w:val="13"/>
        </w:numPr>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ListParagraph"/>
        <w:numPr>
          <w:ilvl w:val="0"/>
          <w:numId w:val="13"/>
        </w:numPr>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ListParagraph"/>
        <w:numPr>
          <w:ilvl w:val="0"/>
          <w:numId w:val="13"/>
        </w:numPr>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 (далее – ПП 338).</w:t>
      </w:r>
    </w:p>
    <w:p>
      <w:pPr>
        <w:pStyle w:val="ListParagraph"/>
        <w:numPr>
          <w:ilvl w:val="0"/>
          <w:numId w:val="13"/>
        </w:numPr>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ListParagraph"/>
        <w:numPr>
          <w:ilvl w:val="0"/>
          <w:numId w:val="13"/>
        </w:numPr>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ListParagraph"/>
        <w:numPr>
          <w:ilvl w:val="0"/>
          <w:numId w:val="13"/>
        </w:numPr>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ListParagraph"/>
        <w:numPr>
          <w:ilvl w:val="0"/>
          <w:numId w:val="13"/>
        </w:numPr>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ListParagraph"/>
        <w:numPr>
          <w:ilvl w:val="0"/>
          <w:numId w:val="13"/>
        </w:numPr>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ListParagraph"/>
        <w:numPr>
          <w:ilvl w:val="0"/>
          <w:numId w:val="13"/>
        </w:numPr>
        <w:rPr/>
      </w:pPr>
      <w:r>
        <w:rPr/>
        <w:t>Указ Президента Российской Федерации от 31.03.2023 № 231 «О создании, развитии и эксплуатации государственных информационных систем с использованием единой цифровой платформы Российской Федерации «ГосТех».</w:t>
      </w:r>
    </w:p>
    <w:p>
      <w:pPr>
        <w:pStyle w:val="ListParagraph"/>
        <w:numPr>
          <w:ilvl w:val="0"/>
          <w:numId w:val="13"/>
        </w:numPr>
        <w:rPr/>
      </w:pPr>
      <w:r>
        <w:rPr/>
        <w:t>Дорожная карта по разработке цифровых индикаторов рисков в ветеринарном надзоре.</w:t>
      </w:r>
    </w:p>
    <w:p>
      <w:pPr>
        <w:pStyle w:val="ListParagraph"/>
        <w:numPr>
          <w:ilvl w:val="0"/>
          <w:numId w:val="13"/>
        </w:numPr>
        <w:rPr/>
      </w:pPr>
      <w:r>
        <w:rPr/>
        <w:t>Указ Президента Российской Федерации от 1 мая 2022 г. № 250 «О дополнительных мерах по обеспечению информационной безопасности Российской Федерации».</w:t>
      </w:r>
    </w:p>
    <w:p>
      <w:pPr>
        <w:pStyle w:val="ListParagraph"/>
        <w:numPr>
          <w:ilvl w:val="0"/>
          <w:numId w:val="13"/>
        </w:numPr>
        <w:rPr/>
      </w:pPr>
      <w:r>
        <w:rPr/>
        <w:t xml:space="preserve">Постановление Правительства Российской Федерации от 16 декабря 2022 г.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ListParagraph"/>
        <w:numPr>
          <w:ilvl w:val="0"/>
          <w:numId w:val="13"/>
        </w:numPr>
        <w:rPr/>
      </w:pPr>
      <w:r>
        <w:rPr/>
        <w:t>Постановление Правительства Российской Федерации от 30 января 2013 г. № 62 «О национальном фонде алгоритмов и программ для электронных вычислительных машин».</w:t>
      </w:r>
    </w:p>
    <w:p>
      <w:pPr>
        <w:pStyle w:val="ListParagraph"/>
        <w:numPr>
          <w:ilvl w:val="0"/>
          <w:numId w:val="13"/>
        </w:numPr>
        <w:rPr/>
      </w:pPr>
      <w:r>
        <w:rPr/>
        <w:t xml:space="preserve">Постановление Правительства Российской Федерации от 6 июля 2015 г.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w:t>
      </w:r>
    </w:p>
    <w:p>
      <w:pPr>
        <w:pStyle w:val="ListParagraph"/>
        <w:numPr>
          <w:ilvl w:val="0"/>
          <w:numId w:val="13"/>
        </w:numPr>
        <w:rPr/>
      </w:pPr>
      <w:r>
        <w:rPr/>
        <w:t xml:space="preserve">Постановление Правительства Российской Федерации от 16 ноября 2015 г. № 1236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 </w:t>
      </w:r>
    </w:p>
    <w:p>
      <w:pPr>
        <w:pStyle w:val="ListParagraph"/>
        <w:numPr>
          <w:ilvl w:val="0"/>
          <w:numId w:val="13"/>
        </w:numPr>
        <w:rPr/>
      </w:pPr>
      <w:r>
        <w:rPr/>
        <w:t xml:space="preserve">Постановление Правительства Российской Федерации от 1 ноября 2012 г. № 1119 «Об утверждении требований к защите персональных данных при их обработке в информационных системах персональных данных». </w:t>
      </w:r>
    </w:p>
    <w:p>
      <w:pPr>
        <w:pStyle w:val="ListParagraph"/>
        <w:numPr>
          <w:ilvl w:val="0"/>
          <w:numId w:val="13"/>
        </w:numPr>
        <w:rPr/>
      </w:pPr>
      <w:r>
        <w:rPr/>
        <w:t xml:space="preserve">Постановление Правительства Российской Федерации от 8 февраля 2018 г.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ListParagraph"/>
        <w:numPr>
          <w:ilvl w:val="0"/>
          <w:numId w:val="13"/>
        </w:numPr>
        <w:rPr/>
      </w:pPr>
      <w:r>
        <w:rPr/>
        <w:t>Постановление Правительства Российской Федерации от 8 сентября 2010 г. № 697 «О единой системе межведомственного электронного взаимодействия».</w:t>
      </w:r>
    </w:p>
    <w:p>
      <w:pPr>
        <w:pStyle w:val="ListParagraph"/>
        <w:numPr>
          <w:ilvl w:val="0"/>
          <w:numId w:val="13"/>
        </w:numPr>
        <w:rPr/>
      </w:pPr>
      <w:r>
        <w:rPr/>
        <w:t xml:space="preserve">Распоряжение Правительства Российской Федерации от 21 октября 2022 г. № 3102-р «Об утверждении Концепции создания и функционирования единой цифровой платформы Российской Федерации «ГосТех», плана мероприятий («дорожной карты») по созданию единой цифровой платформы Российской Федерации «ГосТех». </w:t>
      </w:r>
    </w:p>
    <w:p>
      <w:pPr>
        <w:pStyle w:val="ListParagraph"/>
        <w:numPr>
          <w:ilvl w:val="0"/>
          <w:numId w:val="13"/>
        </w:numPr>
        <w:rPr/>
      </w:pPr>
      <w:r>
        <w:rPr/>
        <w:t xml:space="preserve">Приказ Федеральной службы по техническому и экспортному контролю от 11 февраля 2013 г. № 17 «Об утверждении Требований о защите информации, не составляющей государственную тайну, содержащейся в государственных информационных системах». </w:t>
      </w:r>
    </w:p>
    <w:p>
      <w:pPr>
        <w:pStyle w:val="ListParagraph"/>
        <w:numPr>
          <w:ilvl w:val="0"/>
          <w:numId w:val="13"/>
        </w:numPr>
        <w:rPr/>
      </w:pPr>
      <w:r>
        <w:rPr/>
        <w:t xml:space="preserve">Приказ Федеральной службы по техническому и экспортному контролю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w:t>
      </w:r>
    </w:p>
    <w:p>
      <w:pPr>
        <w:pStyle w:val="ListParagraph"/>
        <w:numPr>
          <w:ilvl w:val="0"/>
          <w:numId w:val="13"/>
        </w:numPr>
        <w:rPr/>
      </w:pPr>
      <w:r>
        <w:rPr/>
        <w:t xml:space="preserve">Приказ Федеральной службы по техническому и экспортному контролю от 29 апреля 2021 г.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 </w:t>
      </w:r>
    </w:p>
    <w:p>
      <w:pPr>
        <w:pStyle w:val="ListParagraph"/>
        <w:numPr>
          <w:ilvl w:val="0"/>
          <w:numId w:val="13"/>
        </w:numPr>
        <w:rPr/>
      </w:pPr>
      <w:r>
        <w:rPr/>
        <w:t>Приказ Федеральной службы безопасности Российской Федерации от 10 июля 2014 г.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ListParagraph"/>
        <w:numPr>
          <w:ilvl w:val="0"/>
          <w:numId w:val="13"/>
        </w:numPr>
        <w:rPr/>
      </w:pPr>
      <w:r>
        <w:rPr/>
        <w:t xml:space="preserve">Приказ Федеральной службы безопасности Российской Федерации от 18 марта 2025 года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w:t>
      </w:r>
    </w:p>
    <w:p>
      <w:pPr>
        <w:pStyle w:val="ListParagraph"/>
        <w:numPr>
          <w:ilvl w:val="0"/>
          <w:numId w:val="13"/>
        </w:numPr>
        <w:rPr/>
      </w:pPr>
      <w:r>
        <w:rPr/>
        <w:t>Приказ Федеральной службы безопасности Российской Федерации от 13 февраля 2023 г.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ListParagraph"/>
        <w:numPr>
          <w:ilvl w:val="0"/>
          <w:numId w:val="13"/>
        </w:numPr>
        <w:rPr/>
      </w:pPr>
      <w:r>
        <w:rPr/>
        <w:t>Приказ Федеральной службы безопасности Российской Федерации от 24 июля 2018 г.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ListParagraph"/>
        <w:numPr>
          <w:ilvl w:val="0"/>
          <w:numId w:val="13"/>
        </w:numPr>
        <w:rPr/>
      </w:pPr>
      <w:r>
        <w:rPr/>
        <w:t>Приказ Федеральной службы безопасности Российской Федерации №416 ФСТЭК РФ № 489 от 31 августа 2010 г. «Об утверждении Требований о защите информации, содержащейся в информационных системах общего пользования».</w:t>
      </w:r>
    </w:p>
    <w:p>
      <w:pPr>
        <w:pStyle w:val="ListParagraph"/>
        <w:numPr>
          <w:ilvl w:val="0"/>
          <w:numId w:val="13"/>
        </w:numPr>
        <w:rPr/>
      </w:pPr>
      <w:r>
        <w:rPr/>
        <w:t>Приказ Федеральной службы безопасности Российской Федерации от 9 февраля 2005 г.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ListParagraph"/>
        <w:numPr>
          <w:ilvl w:val="0"/>
          <w:numId w:val="13"/>
        </w:numPr>
        <w:rPr/>
      </w:pPr>
      <w:r>
        <w:rPr/>
        <w:t>Приказ Минцифры России от 23 июля 2021 г.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ListParagraph"/>
        <w:numPr>
          <w:ilvl w:val="0"/>
          <w:numId w:val="13"/>
        </w:numPr>
        <w:rPr/>
      </w:pPr>
      <w:r>
        <w:rPr/>
        <w:t>Меры защиты информации в государственных информационных системах, утвержденные ФСТЭК России 11 февраля 2014 г.</w:t>
      </w:r>
    </w:p>
    <w:p>
      <w:pPr>
        <w:pStyle w:val="ListParagraph"/>
        <w:numPr>
          <w:ilvl w:val="0"/>
          <w:numId w:val="13"/>
        </w:numPr>
        <w:rPr/>
      </w:pPr>
      <w:r>
        <w:rPr/>
        <w:t xml:space="preserve">Методические рекомендации по проектированию целевой архитектуры домена в рамках перехода государства на единую цифровую платформу Российской Федерации «ГосТех», утвержденные протоколом заочного голосования членов президиума Правительственной комиссии по цифровому развитию, использованию информационных технологий для улучшения качества жизни и условий ведения предпринимательской деятельности (далее – Комиссия) от 13 июля 2022 г. № 26. </w:t>
      </w:r>
    </w:p>
    <w:p>
      <w:pPr>
        <w:pStyle w:val="ListParagraph"/>
        <w:numPr>
          <w:ilvl w:val="0"/>
          <w:numId w:val="13"/>
        </w:numPr>
        <w:rPr/>
      </w:pPr>
      <w:r>
        <w:rPr/>
        <w:t xml:space="preserve">Методические рекомендации по организации производственного процесса разработки государственных информационных систем с учётом применения итерационного подхода к разработке, утвержденные протоколом заочного голосования членов президиума Комиссии от 13 июля 2022 г. № 26. </w:t>
      </w:r>
    </w:p>
    <w:p>
      <w:pPr>
        <w:pStyle w:val="ListParagraph"/>
        <w:numPr>
          <w:ilvl w:val="0"/>
          <w:numId w:val="13"/>
        </w:numPr>
        <w:rPr/>
      </w:pPr>
      <w:r>
        <w:rPr/>
        <w:t xml:space="preserve">Методические рекомендации по проектированию интерфейсов систем управления для государственных сервисов, утвержденные протоколом заочного голосования членов президиума Комиссии от 17 августа 2022 г. № 31. </w:t>
      </w:r>
    </w:p>
    <w:p>
      <w:pPr>
        <w:pStyle w:val="ListParagraph"/>
        <w:numPr>
          <w:ilvl w:val="0"/>
          <w:numId w:val="13"/>
        </w:numPr>
        <w:rPr/>
      </w:pPr>
      <w:r>
        <w:rPr/>
        <w:t xml:space="preserve">Методические рекомендации по проектированию интерфейсов государственной услуги или государственной функции на едином портале государственных услуг, утвержденные протоколом заочного голосования членов президиума Комиссии от 17 августа 2022 г. № 31. </w:t>
      </w:r>
    </w:p>
    <w:p>
      <w:pPr>
        <w:pStyle w:val="ListParagraph"/>
        <w:numPr>
          <w:ilvl w:val="0"/>
          <w:numId w:val="13"/>
        </w:numPr>
        <w:rPr/>
      </w:pPr>
      <w:r>
        <w:rPr/>
        <w:t>Методические рекомендации «Базовые сервисы единой цифровой платформы Российской Федерации «ГосТех». Основные требования к составу и функциям», утвержденные протоколом президиума Комиссии от 23 декабря 2024 г. № 51пр.</w:t>
      </w:r>
    </w:p>
    <w:p>
      <w:pPr>
        <w:pStyle w:val="ListParagraph"/>
        <w:numPr>
          <w:ilvl w:val="0"/>
          <w:numId w:val="13"/>
        </w:numPr>
        <w:rPr/>
      </w:pPr>
      <w:r>
        <w:rPr/>
        <w:t xml:space="preserve">Методические рекомендации по включению сервисов в единую цифровую платформу Российской Федерации «ГосТех», утвержденные протоколом заочного голосования членов президиума Комиссии от 5 августа 2022 г. № 30. </w:t>
      </w:r>
    </w:p>
    <w:p>
      <w:pPr>
        <w:pStyle w:val="ListParagraph"/>
        <w:numPr>
          <w:ilvl w:val="0"/>
          <w:numId w:val="13"/>
        </w:numPr>
        <w:rPr/>
      </w:pPr>
      <w:r>
        <w:rPr/>
        <w:t>Методические рекомендации по эксплуатации государственных информационных систем на единой цифровой платформе Российской Федерации «ГосТех», утвержденные протоколом заочного голосования членов президиума Комиссии от 8 декабря 2022 г. № 54.</w:t>
      </w:r>
    </w:p>
    <w:p>
      <w:pPr>
        <w:pStyle w:val="ListParagraph"/>
        <w:numPr>
          <w:ilvl w:val="0"/>
          <w:numId w:val="13"/>
        </w:numPr>
        <w:rPr/>
      </w:pPr>
      <w:r>
        <w:rPr/>
        <w:t>Методические рекомендации по обеспечению безопасности при разработке программного обеспечения с использованием компонентов Единой цифровой платформы «ГосТех», утвержденные протоколом заочного голосования членов президиума Комиссии от 8 декабря 2022 г. № 54.</w:t>
      </w:r>
    </w:p>
    <w:p>
      <w:pPr>
        <w:pStyle w:val="ListParagraph"/>
        <w:numPr>
          <w:ilvl w:val="0"/>
          <w:numId w:val="13"/>
        </w:numPr>
        <w:rPr/>
      </w:pPr>
      <w:r>
        <w:rPr/>
        <w:t>Методические рекомендации «Инфраструктурные технологические сервисы единой цифровой платформы Российской Федерации «ГосТех». Основные требования к составу и функциям», утвержденные протоколом президиума Комиссии от 10 января 2024 г. №</w:t>
      </w:r>
      <w:r>
        <w:rPr>
          <w:lang w:val="en-US"/>
        </w:rPr>
        <w:t> </w:t>
      </w:r>
      <w:r>
        <w:rPr/>
        <w:t>1пр.</w:t>
      </w:r>
    </w:p>
    <w:p>
      <w:pPr>
        <w:pStyle w:val="ListParagraph"/>
        <w:numPr>
          <w:ilvl w:val="0"/>
          <w:numId w:val="13"/>
        </w:numPr>
        <w:rPr/>
      </w:pPr>
      <w:r>
        <w:rPr/>
        <w:t>Методические рекомендации о регламенте (стандарте) управления данными государственных информационных систем, создаваемых, развиваемых и эксплуатируемых на единой цифровой платформе Российской Федерации «ГосТех», утвержденные протоколом президиума Комиссии от 15 декабря 2023 г. № 58пр.</w:t>
      </w:r>
    </w:p>
    <w:p>
      <w:pPr>
        <w:pStyle w:val="ListParagraph"/>
        <w:numPr>
          <w:ilvl w:val="0"/>
          <w:numId w:val="13"/>
        </w:numPr>
        <w:rPr/>
      </w:pPr>
      <w:r>
        <w:rPr/>
        <w:t>Методические рекомендации по проектированию и оптимизации бизнес-процессов государственных функций, услуг и сервисов, подлежащих реализации на Единой цифровой платформе Российской Федерации «ГосТех», утвержденные протоколом президиума Комиссии от 20 октября 2023 г. № 47пр.</w:t>
      </w:r>
    </w:p>
    <w:p>
      <w:pPr>
        <w:pStyle w:val="ListParagraph"/>
        <w:numPr>
          <w:ilvl w:val="0"/>
          <w:numId w:val="13"/>
        </w:numPr>
        <w:rPr/>
      </w:pPr>
      <w:r>
        <w:rPr/>
        <w:t>Методические рекомендации по вопросам разработки государственных информационных систем с использованием платформы «ГосТех» и определения обязательности повторного использования цифровых продуктов платформы «ГосТех» при их создании и развитии, утвержденные протоколом президиума Комиссии от 20 октября 2023 г № 47пр.</w:t>
      </w:r>
    </w:p>
    <w:p>
      <w:pPr>
        <w:pStyle w:val="ListParagraph"/>
        <w:numPr>
          <w:ilvl w:val="0"/>
          <w:numId w:val="13"/>
        </w:numPr>
        <w:rPr/>
      </w:pPr>
      <w:r>
        <w:rPr/>
        <w:t>Методические рекомендации по разработке разделов технического задания, составу и содержанию требований, включаемых в техническое задание на создание, развитие государственных информационных систем, создаваемых (развиваемых) на единой цифровой платформе Российской Федерации «ГосТех», утвержденные протоколом президиума Комиссии от 20 октября 2023 г. № 47пр.</w:t>
      </w:r>
    </w:p>
    <w:p>
      <w:pPr>
        <w:pStyle w:val="ListParagraph"/>
        <w:numPr>
          <w:ilvl w:val="0"/>
          <w:numId w:val="13"/>
        </w:numPr>
        <w:rPr/>
      </w:pPr>
      <w:r>
        <w:rPr/>
        <w:t>Методические рекомендации по оценке целесообразности создания и развития государственных информационных систем на Единой цифровой платформе Российской Федерации «ГосТех», утвержденные протоколом президиума Комиссии от 4 мая 2023 г. № 20.</w:t>
      </w:r>
    </w:p>
    <w:p>
      <w:pPr>
        <w:pStyle w:val="ListParagraph"/>
        <w:numPr>
          <w:ilvl w:val="0"/>
          <w:numId w:val="13"/>
        </w:numPr>
        <w:rPr/>
      </w:pPr>
      <w:r>
        <w:rPr/>
        <w:t xml:space="preserve">Методические рекомендации по организации системы управления данными государственных информационных систем, создаваемых, развиваемых и эксплуатируемых на Единой цифровой платформе Российской Федерации «ГосТех» (политика по управлению данными), утвержденные протоколом президиума Комиссии от 30 марта 2023 г. № 15. </w:t>
      </w:r>
    </w:p>
    <w:p>
      <w:pPr>
        <w:pStyle w:val="ListParagraph"/>
        <w:numPr>
          <w:ilvl w:val="0"/>
          <w:numId w:val="13"/>
        </w:numPr>
        <w:rPr/>
      </w:pPr>
      <w:r>
        <w:rPr/>
        <w:t>Методические рекомендации «Базовые сервисы единой цифровой платформы Российской Федерации «ГосТех». Основные требования к составу и функциям» версия 2.0, утвержденные протоколом президиума Комиссии от 23 декабря 2024 г. № 51пр.</w:t>
      </w:r>
    </w:p>
    <w:p>
      <w:pPr>
        <w:pStyle w:val="ListParagraph"/>
        <w:numPr>
          <w:ilvl w:val="0"/>
          <w:numId w:val="13"/>
        </w:numPr>
        <w:ind w:hanging="0" w:start="1429"/>
        <w:rPr/>
      </w:pPr>
      <w:r>
        <w:rPr/>
        <w:t>План создания и развития государственных информационных систем на единой цифровой платформе Российской Федерации «ГосТех», утвержденный подпунктом 1 пункта 7 протокола заочного голосования членов президиума Комиссии от 23 декабря 2024 г. № 51пр.</w:t>
      </w:r>
    </w:p>
    <w:p>
      <w:pPr>
        <w:pStyle w:val="Normal"/>
        <w:rPr/>
      </w:pPr>
      <w:r>
        <w:rPr/>
      </w:r>
    </w:p>
    <w:p>
      <w:pPr>
        <w:pStyle w:val="Normal"/>
        <w:spacing w:lineRule="auto" w:line="259" w:before="0" w:after="160"/>
        <w:ind w:hanging="0"/>
        <w:jc w:val="start"/>
        <w:rPr/>
      </w:pPr>
      <w:r>
        <w:rPr/>
      </w:r>
      <w:r>
        <w:br w:type="page"/>
      </w:r>
    </w:p>
    <w:p>
      <w:pPr>
        <w:pStyle w:val="Heading1"/>
        <w:numPr>
          <w:ilvl w:val="0"/>
          <w:numId w:val="0"/>
        </w:numPr>
        <w:spacing w:before="0" w:after="0"/>
        <w:ind w:hanging="431" w:start="431"/>
        <w:jc w:val="center"/>
        <w:rPr>
          <w:rFonts w:cs="Times New Roman"/>
        </w:rPr>
      </w:pPr>
      <w:r>
        <w:rPr>
          <w:rFonts w:cs="Times New Roman"/>
        </w:rPr>
        <w:t>Приложение В</w:t>
      </w:r>
    </w:p>
    <w:p>
      <w:pPr>
        <w:pStyle w:val="Normal"/>
        <w:rPr/>
      </w:pPr>
      <w:r>
        <w:rPr/>
      </w:r>
    </w:p>
    <w:p>
      <w:pPr>
        <w:pStyle w:val="Normal"/>
        <w:ind w:hanging="0"/>
        <w:jc w:val="center"/>
        <w:rPr/>
      </w:pPr>
      <w:r>
        <w:rPr/>
        <w:t>Архитектурное представление и функциональные возможности Сервиса</w:t>
      </w:r>
    </w:p>
    <w:p>
      <w:pPr>
        <w:pStyle w:val="Normal"/>
        <w:ind w:hanging="0"/>
        <w:rPr/>
      </w:pPr>
      <w:r>
        <w:rPr/>
      </w:r>
    </w:p>
    <w:p>
      <w:pPr>
        <w:pStyle w:val="Normal"/>
        <w:ind w:hanging="0"/>
        <w:rPr/>
      </w:pPr>
      <w:r>
        <w:rPr/>
        <w:t xml:space="preserve">Предполагаемое </w:t>
      </w:r>
      <w:commentRangeStart w:id="35"/>
      <w:r>
        <w:rPr/>
        <w:t xml:space="preserve">архитектурное представление Сервиса </w:t>
      </w:r>
      <w:r>
        <w:rPr/>
      </w:r>
      <w:commentRangeEnd w:id="35"/>
      <w:r>
        <w:commentReference w:id="35"/>
      </w:r>
      <w:r>
        <w:rPr/>
        <w:t>приведено на рисунке 1.</w:t>
      </w:r>
    </w:p>
    <w:p>
      <w:pPr>
        <w:pStyle w:val="Normal"/>
        <w:ind w:hanging="0"/>
        <w:jc w:val="center"/>
        <w:rPr/>
      </w:pPr>
      <w:r>
        <w:rPr/>
        <w:drawing>
          <wp:inline distT="0" distB="0" distL="0" distR="0">
            <wp:extent cx="6010275" cy="30213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stretch>
                      <a:fillRect/>
                    </a:stretch>
                  </pic:blipFill>
                  <pic:spPr bwMode="auto">
                    <a:xfrm>
                      <a:off x="0" y="0"/>
                      <a:ext cx="6010275" cy="3021330"/>
                    </a:xfrm>
                    <a:prstGeom prst="rect">
                      <a:avLst/>
                    </a:prstGeom>
                    <a:noFill/>
                  </pic:spPr>
                </pic:pic>
              </a:graphicData>
            </a:graphic>
          </wp:inline>
        </w:drawing>
      </w:r>
    </w:p>
    <w:p>
      <w:pPr>
        <w:pStyle w:val="Normal"/>
        <w:ind w:hanging="0"/>
        <w:jc w:val="center"/>
        <w:rPr/>
      </w:pPr>
      <w:r>
        <w:rPr/>
        <w:t>Рисунок 1. Предполагаемое архитектурное представление Сервиса.</w:t>
      </w:r>
    </w:p>
    <w:p>
      <w:pPr>
        <w:pStyle w:val="TableParagraph"/>
        <w:spacing w:lineRule="auto" w:line="276"/>
        <w:ind w:firstLine="250" w:start="110" w:end="28"/>
        <w:jc w:val="both"/>
        <w:rPr>
          <w:sz w:val="24"/>
          <w:szCs w:val="24"/>
        </w:rPr>
      </w:pPr>
      <w:r>
        <w:rPr>
          <w:sz w:val="24"/>
          <w:szCs w:val="24"/>
        </w:rPr>
      </w:r>
    </w:p>
    <w:p>
      <w:pPr>
        <w:pStyle w:val="TableParagraph"/>
        <w:spacing w:lineRule="auto" w:line="276"/>
        <w:ind w:firstLine="250" w:start="110" w:end="28"/>
        <w:jc w:val="both"/>
        <w:rPr>
          <w:sz w:val="24"/>
          <w:szCs w:val="24"/>
        </w:rPr>
      </w:pPr>
      <w:r>
        <w:rPr>
          <w:sz w:val="24"/>
          <w:szCs w:val="24"/>
        </w:rPr>
        <w:t>Набор базовых функций Сервиса РСХН включает:</w:t>
      </w:r>
    </w:p>
    <w:p>
      <w:pPr>
        <w:pStyle w:val="TableParagraph"/>
        <w:numPr>
          <w:ilvl w:val="1"/>
          <w:numId w:val="14"/>
        </w:numPr>
        <w:spacing w:lineRule="auto" w:line="276"/>
        <w:jc w:val="both"/>
        <w:rPr>
          <w:sz w:val="24"/>
          <w:szCs w:val="24"/>
        </w:rPr>
      </w:pPr>
      <w:r>
        <w:rPr>
          <w:sz w:val="24"/>
          <w:szCs w:val="24"/>
        </w:rPr>
        <w:t>Проведение КНМ и ПМ.</w:t>
      </w:r>
    </w:p>
    <w:p>
      <w:pPr>
        <w:pStyle w:val="TableParagraph"/>
        <w:numPr>
          <w:ilvl w:val="1"/>
          <w:numId w:val="14"/>
        </w:numPr>
        <w:spacing w:lineRule="auto" w:line="276"/>
        <w:jc w:val="both"/>
        <w:rPr>
          <w:sz w:val="24"/>
          <w:szCs w:val="24"/>
        </w:rPr>
      </w:pPr>
      <w:r>
        <w:rPr>
          <w:sz w:val="24"/>
          <w:szCs w:val="24"/>
        </w:rPr>
        <w:t>Ведение реестра контролируемых лиц для обеспечения соблюдения обязательных требований.</w:t>
      </w:r>
    </w:p>
    <w:p>
      <w:pPr>
        <w:pStyle w:val="TableParagraph"/>
        <w:numPr>
          <w:ilvl w:val="1"/>
          <w:numId w:val="14"/>
        </w:numPr>
        <w:spacing w:lineRule="auto" w:line="276"/>
        <w:jc w:val="both"/>
        <w:rPr>
          <w:sz w:val="24"/>
          <w:szCs w:val="24"/>
        </w:rPr>
      </w:pPr>
      <w:r>
        <w:rPr>
          <w:sz w:val="24"/>
          <w:szCs w:val="24"/>
        </w:rPr>
        <w:t>Ведение реестра объектов контроля.</w:t>
      </w:r>
    </w:p>
    <w:p>
      <w:pPr>
        <w:pStyle w:val="TableParagraph"/>
        <w:numPr>
          <w:ilvl w:val="1"/>
          <w:numId w:val="14"/>
        </w:numPr>
        <w:spacing w:lineRule="auto" w:line="276"/>
        <w:jc w:val="both"/>
        <w:rPr>
          <w:sz w:val="24"/>
          <w:szCs w:val="24"/>
        </w:rPr>
      </w:pPr>
      <w:r>
        <w:rPr>
          <w:color w:val="000000"/>
          <w:sz w:val="24"/>
          <w:szCs w:val="24"/>
        </w:rPr>
        <w:t>Ведение реестра подтвержденных инцидентов (рисков)</w:t>
      </w:r>
      <w:r>
        <w:rPr>
          <w:sz w:val="24"/>
          <w:szCs w:val="24"/>
        </w:rPr>
        <w:t>.</w:t>
      </w:r>
    </w:p>
    <w:p>
      <w:pPr>
        <w:pStyle w:val="TableParagraph"/>
        <w:numPr>
          <w:ilvl w:val="1"/>
          <w:numId w:val="14"/>
        </w:numPr>
        <w:spacing w:lineRule="auto" w:line="276"/>
        <w:jc w:val="both"/>
        <w:rPr>
          <w:sz w:val="24"/>
          <w:szCs w:val="24"/>
        </w:rPr>
      </w:pPr>
      <w:r>
        <w:rPr>
          <w:sz w:val="24"/>
          <w:szCs w:val="24"/>
        </w:rPr>
        <w:t>Автоматическая подготовка материалов-обоснований и других документов по сработавшим цифровым индикаторам риска (с применением моделей ИИ).</w:t>
      </w:r>
    </w:p>
    <w:p>
      <w:pPr>
        <w:pStyle w:val="TableParagraph"/>
        <w:numPr>
          <w:ilvl w:val="1"/>
          <w:numId w:val="14"/>
        </w:numPr>
        <w:spacing w:lineRule="auto" w:line="276"/>
        <w:jc w:val="both"/>
        <w:rPr>
          <w:sz w:val="24"/>
          <w:szCs w:val="24"/>
        </w:rPr>
      </w:pPr>
      <w:r>
        <w:rPr>
          <w:sz w:val="24"/>
          <w:szCs w:val="24"/>
        </w:rPr>
        <w:t>Формирование планов КНМ с применением риск-ориентированного подхода.</w:t>
      </w:r>
    </w:p>
    <w:p>
      <w:pPr>
        <w:pStyle w:val="TableParagraph"/>
        <w:numPr>
          <w:ilvl w:val="1"/>
          <w:numId w:val="14"/>
        </w:numPr>
        <w:spacing w:lineRule="auto" w:line="276"/>
        <w:jc w:val="both"/>
        <w:rPr>
          <w:sz w:val="24"/>
          <w:szCs w:val="24"/>
        </w:rPr>
      </w:pPr>
      <w:r>
        <w:rPr>
          <w:sz w:val="24"/>
          <w:szCs w:val="24"/>
        </w:rPr>
        <w:t>Ведение ведомственного реестра КНМ.</w:t>
      </w:r>
    </w:p>
    <w:p>
      <w:pPr>
        <w:pStyle w:val="TableParagraph"/>
        <w:numPr>
          <w:ilvl w:val="1"/>
          <w:numId w:val="14"/>
        </w:numPr>
        <w:spacing w:lineRule="auto" w:line="276"/>
        <w:jc w:val="both"/>
        <w:rPr>
          <w:sz w:val="24"/>
          <w:szCs w:val="24"/>
        </w:rPr>
      </w:pPr>
      <w:r>
        <w:rPr>
          <w:sz w:val="24"/>
          <w:szCs w:val="24"/>
        </w:rPr>
        <w:t>Ведение ведомственного реестра ПМ.</w:t>
      </w:r>
    </w:p>
    <w:p>
      <w:pPr>
        <w:pStyle w:val="TableParagraph"/>
        <w:numPr>
          <w:ilvl w:val="1"/>
          <w:numId w:val="14"/>
        </w:numPr>
        <w:spacing w:lineRule="auto" w:line="276"/>
        <w:jc w:val="both"/>
        <w:rPr>
          <w:sz w:val="24"/>
          <w:szCs w:val="24"/>
        </w:rPr>
      </w:pPr>
      <w:r>
        <w:rPr>
          <w:sz w:val="24"/>
          <w:szCs w:val="24"/>
        </w:rPr>
        <w:t>Проведение дистанционных КНМ и ПМ с использованием МП «Инспектор».</w:t>
      </w:r>
    </w:p>
    <w:p>
      <w:pPr>
        <w:pStyle w:val="TableParagraph"/>
        <w:numPr>
          <w:ilvl w:val="1"/>
          <w:numId w:val="14"/>
        </w:numPr>
        <w:spacing w:lineRule="auto" w:line="276"/>
        <w:jc w:val="both"/>
        <w:rPr>
          <w:sz w:val="24"/>
          <w:szCs w:val="24"/>
        </w:rPr>
      </w:pPr>
      <w:r>
        <w:rPr>
          <w:sz w:val="24"/>
          <w:szCs w:val="24"/>
        </w:rPr>
        <w:t>Контроль исполнения предписаний об устранении выявленных нарушений обязательных требований.</w:t>
      </w:r>
    </w:p>
    <w:p>
      <w:pPr>
        <w:pStyle w:val="TableParagraph"/>
        <w:numPr>
          <w:ilvl w:val="1"/>
          <w:numId w:val="14"/>
        </w:numPr>
        <w:spacing w:lineRule="auto" w:line="276"/>
        <w:jc w:val="both"/>
        <w:rPr>
          <w:sz w:val="24"/>
          <w:szCs w:val="24"/>
        </w:rPr>
      </w:pPr>
      <w:r>
        <w:rPr>
          <w:sz w:val="24"/>
          <w:szCs w:val="24"/>
        </w:rPr>
        <w:t>Ведение производства по делам об АП, включая формирование протоколов.</w:t>
      </w:r>
    </w:p>
    <w:p>
      <w:pPr>
        <w:pStyle w:val="TableParagraph"/>
        <w:numPr>
          <w:ilvl w:val="1"/>
          <w:numId w:val="14"/>
        </w:numPr>
        <w:spacing w:lineRule="auto" w:line="276"/>
        <w:jc w:val="both"/>
        <w:rPr>
          <w:sz w:val="24"/>
          <w:szCs w:val="24"/>
        </w:rPr>
      </w:pPr>
      <w:r>
        <w:rPr>
          <w:sz w:val="24"/>
          <w:szCs w:val="24"/>
        </w:rPr>
        <w:t>Учет сведений о начисленных штрафах за совершение АП и сведений об их оплате.</w:t>
      </w:r>
    </w:p>
    <w:p>
      <w:pPr>
        <w:pStyle w:val="TableParagraph"/>
        <w:numPr>
          <w:ilvl w:val="1"/>
          <w:numId w:val="14"/>
        </w:numPr>
        <w:spacing w:lineRule="auto" w:line="276"/>
        <w:jc w:val="both"/>
        <w:rPr>
          <w:sz w:val="24"/>
          <w:szCs w:val="24"/>
        </w:rPr>
      </w:pPr>
      <w:r>
        <w:rPr>
          <w:sz w:val="24"/>
          <w:szCs w:val="24"/>
        </w:rPr>
        <w:t>Рассмотрение жалоб, ходатайств, заявлений, поданных субъектами контроля через ЕПГУ, с учетом возможного распределения по структурным подразделениям и территориальным управлениям Россельхознадзора.</w:t>
      </w:r>
    </w:p>
    <w:p>
      <w:pPr>
        <w:pStyle w:val="TableParagraph"/>
        <w:numPr>
          <w:ilvl w:val="1"/>
          <w:numId w:val="14"/>
        </w:numPr>
        <w:spacing w:lineRule="auto" w:line="276"/>
        <w:jc w:val="both"/>
        <w:rPr>
          <w:sz w:val="24"/>
          <w:szCs w:val="24"/>
        </w:rPr>
      </w:pPr>
      <w:r>
        <w:rPr>
          <w:sz w:val="24"/>
          <w:szCs w:val="24"/>
        </w:rPr>
        <w:t>Формирование и отправка в личном кабинете ЕПГУ субъекта контроля уведомлений о составлении документов КНМ и АП.</w:t>
      </w:r>
    </w:p>
    <w:p>
      <w:pPr>
        <w:pStyle w:val="TableParagraph"/>
        <w:numPr>
          <w:ilvl w:val="1"/>
          <w:numId w:val="14"/>
        </w:numPr>
        <w:spacing w:lineRule="auto" w:line="276"/>
        <w:jc w:val="both"/>
        <w:rPr>
          <w:sz w:val="24"/>
          <w:szCs w:val="24"/>
        </w:rPr>
      </w:pPr>
      <w:r>
        <w:rPr>
          <w:sz w:val="24"/>
          <w:szCs w:val="24"/>
        </w:rPr>
        <w:t>Ведение дел об исполнительном производстве, включая взаимодействие с ФССП России.</w:t>
      </w:r>
    </w:p>
    <w:p>
      <w:pPr>
        <w:pStyle w:val="TableParagraph"/>
        <w:spacing w:lineRule="auto" w:line="276"/>
        <w:ind w:firstLine="250" w:start="110"/>
        <w:jc w:val="both"/>
        <w:rPr>
          <w:sz w:val="24"/>
          <w:szCs w:val="24"/>
        </w:rPr>
      </w:pPr>
      <w:r>
        <w:rPr>
          <w:sz w:val="24"/>
          <w:szCs w:val="24"/>
        </w:rPr>
      </w:r>
    </w:p>
    <w:p>
      <w:pPr>
        <w:pStyle w:val="TableParagraph"/>
        <w:spacing w:lineRule="auto" w:line="276"/>
        <w:ind w:firstLine="250" w:start="110"/>
        <w:jc w:val="both"/>
        <w:rPr>
          <w:sz w:val="24"/>
          <w:szCs w:val="24"/>
        </w:rPr>
      </w:pPr>
      <w:r>
        <w:rPr>
          <w:sz w:val="24"/>
          <w:szCs w:val="24"/>
        </w:rPr>
      </w:r>
    </w:p>
    <w:p>
      <w:pPr>
        <w:pStyle w:val="TableParagraph"/>
        <w:spacing w:lineRule="auto" w:line="276"/>
        <w:ind w:firstLine="250" w:start="110"/>
        <w:jc w:val="both"/>
        <w:rPr>
          <w:sz w:val="24"/>
          <w:szCs w:val="24"/>
        </w:rPr>
      </w:pPr>
      <w:r>
        <w:rPr>
          <w:sz w:val="24"/>
          <w:szCs w:val="24"/>
        </w:rPr>
        <w:t>Набор базовых функций Аналитической системы РСХН включает:</w:t>
      </w:r>
    </w:p>
    <w:p>
      <w:pPr>
        <w:pStyle w:val="TableParagraph"/>
        <w:numPr>
          <w:ilvl w:val="1"/>
          <w:numId w:val="15"/>
        </w:numPr>
        <w:spacing w:lineRule="auto" w:line="276"/>
        <w:jc w:val="both"/>
        <w:rPr>
          <w:sz w:val="24"/>
          <w:szCs w:val="24"/>
        </w:rPr>
      </w:pPr>
      <w:r>
        <w:rPr>
          <w:sz w:val="24"/>
          <w:szCs w:val="24"/>
        </w:rPr>
        <w:t>Выявление цифровых индикаторов рисков (предусмотренных в Дорожной карте РСХН) на основании данных о субъектах и объектах надзора, получаемых из компонентов ведомственных информационных систем Россельхознадзора, подозрительных операциях, выявленных сценарными моделями ИИ, а также о результатах их рассмотрения.</w:t>
      </w:r>
    </w:p>
    <w:p>
      <w:pPr>
        <w:pStyle w:val="TableParagraph"/>
        <w:numPr>
          <w:ilvl w:val="1"/>
          <w:numId w:val="15"/>
        </w:numPr>
        <w:spacing w:lineRule="auto" w:line="276"/>
        <w:jc w:val="both"/>
        <w:rPr>
          <w:sz w:val="24"/>
          <w:szCs w:val="24"/>
        </w:rPr>
      </w:pPr>
      <w:r>
        <w:rPr>
          <w:sz w:val="24"/>
          <w:szCs w:val="24"/>
        </w:rPr>
        <w:t>Сбор доказательной базы по сработавшим инцидентам.</w:t>
      </w:r>
    </w:p>
    <w:p>
      <w:pPr>
        <w:pStyle w:val="NoSpacing"/>
        <w:numPr>
          <w:ilvl w:val="1"/>
          <w:numId w:val="15"/>
        </w:numPr>
        <w:tabs>
          <w:tab w:val="clear" w:pos="708"/>
          <w:tab w:val="left" w:pos="465" w:leader="none"/>
        </w:tabs>
        <w:spacing w:lineRule="auto" w:line="276" w:before="0" w:after="0"/>
        <w:contextualSpacing/>
        <w:rPr>
          <w:rFonts w:eastAsia="Times New Roman" w:cs="Times New Roman"/>
        </w:rPr>
      </w:pPr>
      <w:r>
        <w:rPr>
          <w:rFonts w:eastAsia="Times New Roman" w:cs="Times New Roman"/>
          <w:color w:val="000000"/>
        </w:rPr>
        <w:t>Осуществление расчета категорий риска и определение условий смены категорий риска с использованием цифровых моделей и автоматизированных алгоритмов.</w:t>
      </w:r>
    </w:p>
    <w:p>
      <w:pPr>
        <w:pStyle w:val="NoSpacing"/>
        <w:numPr>
          <w:ilvl w:val="1"/>
          <w:numId w:val="15"/>
        </w:numPr>
        <w:tabs>
          <w:tab w:val="clear" w:pos="708"/>
          <w:tab w:val="left" w:pos="465" w:leader="none"/>
        </w:tabs>
        <w:spacing w:lineRule="auto" w:line="276" w:before="0" w:after="0"/>
        <w:contextualSpacing/>
        <w:rPr>
          <w:rFonts w:eastAsia="Times New Roman" w:cs="Times New Roman"/>
        </w:rPr>
      </w:pPr>
      <w:r>
        <w:rPr>
          <w:rFonts w:eastAsia="Times New Roman" w:cs="Times New Roman"/>
          <w:color w:val="000000"/>
        </w:rPr>
        <w:t>Осуществление расчета объемов продукции, характеристики которой намеренно изменены с целью занижения налоговой ставки, а также публикация сведений с целью обеспечения возможности валидации и доначисления НДС силами ФНС России.</w:t>
      </w:r>
    </w:p>
    <w:p>
      <w:pPr>
        <w:pStyle w:val="TableParagraph"/>
        <w:numPr>
          <w:ilvl w:val="1"/>
          <w:numId w:val="15"/>
        </w:numPr>
        <w:spacing w:lineRule="auto" w:line="276"/>
        <w:ind w:hanging="432" w:start="792" w:end="31"/>
        <w:jc w:val="both"/>
        <w:rPr>
          <w:sz w:val="24"/>
          <w:szCs w:val="24"/>
        </w:rPr>
      </w:pPr>
      <w:r>
        <w:rPr>
          <w:sz w:val="24"/>
          <w:szCs w:val="24"/>
        </w:rPr>
        <w:t>Формирование аналитической отчетности, включая сводную отчетность о проведенных КНМ и выявленных правонарушениях по стране, региону и его районам по установленным формам.</w:t>
      </w:r>
    </w:p>
    <w:p>
      <w:pPr>
        <w:pStyle w:val="TableParagraph"/>
        <w:spacing w:lineRule="auto" w:line="276"/>
        <w:ind w:firstLine="360" w:start="0"/>
        <w:jc w:val="both"/>
        <w:rPr>
          <w:sz w:val="24"/>
          <w:szCs w:val="24"/>
        </w:rPr>
      </w:pPr>
      <w:r>
        <w:rPr>
          <w:sz w:val="24"/>
          <w:szCs w:val="24"/>
        </w:rPr>
      </w:r>
    </w:p>
    <w:p>
      <w:pPr>
        <w:pStyle w:val="TableParagraph"/>
        <w:spacing w:lineRule="auto" w:line="276"/>
        <w:ind w:firstLine="360" w:start="0"/>
        <w:jc w:val="both"/>
        <w:rPr>
          <w:sz w:val="24"/>
          <w:szCs w:val="24"/>
        </w:rPr>
      </w:pPr>
      <w:commentRangeStart w:id="36"/>
      <w:r>
        <w:rPr>
          <w:sz w:val="24"/>
          <w:szCs w:val="24"/>
        </w:rPr>
        <w:t xml:space="preserve">Осуществление межведомственного взаимодействия посредством СМЭВ </w:t>
      </w:r>
      <w:r>
        <w:rPr>
          <w:sz w:val="24"/>
          <w:szCs w:val="24"/>
        </w:rPr>
      </w:r>
      <w:commentRangeEnd w:id="36"/>
      <w:r>
        <w:commentReference w:id="36"/>
      </w:r>
      <w:r>
        <w:rPr>
          <w:sz w:val="24"/>
          <w:szCs w:val="24"/>
        </w:rPr>
        <w:t>со следующими ведомственными системами:</w:t>
      </w:r>
    </w:p>
    <w:p>
      <w:pPr>
        <w:pStyle w:val="TableParagraph"/>
        <w:numPr>
          <w:ilvl w:val="1"/>
          <w:numId w:val="16"/>
        </w:numPr>
        <w:spacing w:lineRule="auto" w:line="276"/>
        <w:jc w:val="both"/>
        <w:rPr>
          <w:sz w:val="24"/>
          <w:szCs w:val="24"/>
        </w:rPr>
      </w:pPr>
      <w:r>
        <w:rPr>
          <w:sz w:val="24"/>
          <w:szCs w:val="24"/>
        </w:rPr>
        <w:t xml:space="preserve">ФНС России: предоставление сведений из ЕГРЮЛ, ЕГРИП; </w:t>
      </w:r>
    </w:p>
    <w:p>
      <w:pPr>
        <w:pStyle w:val="TableParagraph"/>
        <w:numPr>
          <w:ilvl w:val="1"/>
          <w:numId w:val="16"/>
        </w:numPr>
        <w:spacing w:lineRule="auto" w:line="276"/>
        <w:ind w:hanging="432" w:start="792" w:end="31"/>
        <w:jc w:val="both"/>
        <w:rPr>
          <w:sz w:val="24"/>
          <w:szCs w:val="24"/>
        </w:rPr>
      </w:pPr>
      <w:r>
        <w:rPr>
          <w:sz w:val="24"/>
          <w:szCs w:val="24"/>
        </w:rPr>
        <w:t>ФГИС ЕРВК (оператор – Минэкономразвития России), ФГИС ЕРКНМ (оператор – Генпрокуратура РФ): двусторонний обмен сведениями о КНМ и ПМ;</w:t>
      </w:r>
    </w:p>
    <w:p>
      <w:pPr>
        <w:pStyle w:val="TableParagraph"/>
        <w:numPr>
          <w:ilvl w:val="1"/>
          <w:numId w:val="16"/>
        </w:numPr>
        <w:spacing w:lineRule="auto" w:line="276"/>
        <w:ind w:hanging="432" w:start="792" w:end="31"/>
        <w:jc w:val="both"/>
        <w:rPr>
          <w:sz w:val="24"/>
          <w:szCs w:val="24"/>
        </w:rPr>
      </w:pPr>
      <w:r>
        <w:rPr>
          <w:sz w:val="24"/>
          <w:szCs w:val="24"/>
        </w:rPr>
        <w:t>МВД России: получение паспортного досье по установочным данным или по реквизитам документа;</w:t>
      </w:r>
    </w:p>
    <w:p>
      <w:pPr>
        <w:pStyle w:val="TableParagraph"/>
        <w:numPr>
          <w:ilvl w:val="1"/>
          <w:numId w:val="16"/>
        </w:numPr>
        <w:spacing w:lineRule="auto" w:line="276"/>
        <w:ind w:hanging="432" w:start="792" w:end="31"/>
        <w:jc w:val="both"/>
        <w:rPr>
          <w:sz w:val="24"/>
          <w:szCs w:val="24"/>
        </w:rPr>
      </w:pPr>
      <w:r>
        <w:rPr>
          <w:sz w:val="24"/>
          <w:szCs w:val="24"/>
        </w:rPr>
        <w:t>Социальный фонд России: получение данных СНИЛС;</w:t>
      </w:r>
    </w:p>
    <w:p>
      <w:pPr>
        <w:pStyle w:val="TableParagraph"/>
        <w:numPr>
          <w:ilvl w:val="1"/>
          <w:numId w:val="16"/>
        </w:numPr>
        <w:spacing w:lineRule="auto" w:line="276"/>
        <w:ind w:hanging="432" w:start="792" w:end="31"/>
        <w:jc w:val="both"/>
        <w:rPr>
          <w:sz w:val="24"/>
          <w:szCs w:val="24"/>
        </w:rPr>
      </w:pPr>
      <w:r>
        <w:rPr>
          <w:sz w:val="24"/>
          <w:szCs w:val="24"/>
        </w:rPr>
        <w:t>ГИС ГМП (оператор – Федеральное Казначейство РФ): получение сведений о начислениях и платежах.</w:t>
      </w:r>
    </w:p>
    <w:p>
      <w:pPr>
        <w:pStyle w:val="TableParagraph"/>
        <w:numPr>
          <w:ilvl w:val="1"/>
          <w:numId w:val="16"/>
        </w:numPr>
        <w:spacing w:lineRule="auto" w:line="276"/>
        <w:ind w:hanging="432" w:start="792" w:end="31"/>
        <w:jc w:val="both"/>
        <w:rPr>
          <w:sz w:val="24"/>
          <w:szCs w:val="24"/>
        </w:rPr>
      </w:pPr>
      <w:r>
        <w:rPr>
          <w:sz w:val="24"/>
          <w:szCs w:val="24"/>
        </w:rPr>
        <w:t>ФССП РФ: получение сведений в рамках ведения дел об исполнительном производстве;</w:t>
      </w:r>
    </w:p>
    <w:p>
      <w:pPr>
        <w:pStyle w:val="TableParagraph"/>
        <w:numPr>
          <w:ilvl w:val="1"/>
          <w:numId w:val="16"/>
        </w:numPr>
        <w:spacing w:lineRule="auto" w:line="276"/>
        <w:jc w:val="both"/>
        <w:rPr>
          <w:sz w:val="24"/>
          <w:szCs w:val="24"/>
        </w:rPr>
      </w:pPr>
      <w:r>
        <w:rPr>
          <w:sz w:val="24"/>
          <w:szCs w:val="24"/>
        </w:rPr>
        <w:t>ГАР (оператор – ФНС России): получение данных адресных справочников;</w:t>
      </w:r>
    </w:p>
    <w:p>
      <w:pPr>
        <w:pStyle w:val="NoSpacing"/>
        <w:numPr>
          <w:ilvl w:val="1"/>
          <w:numId w:val="16"/>
        </w:numPr>
        <w:tabs>
          <w:tab w:val="clear" w:pos="708"/>
          <w:tab w:val="left" w:pos="465" w:leader="none"/>
        </w:tabs>
        <w:spacing w:lineRule="auto" w:line="276" w:before="0" w:after="0"/>
        <w:contextualSpacing/>
        <w:rPr>
          <w:rFonts w:cs="Times New Roman"/>
        </w:rPr>
      </w:pPr>
      <w:r>
        <w:rPr>
          <w:rFonts w:cs="Times New Roman"/>
        </w:rPr>
        <w:t>Почта России: направление возможным автоматизированным способом контролируемым лицам материалов дел об АП;</w:t>
      </w:r>
    </w:p>
    <w:p>
      <w:pPr>
        <w:pStyle w:val="TableParagraph"/>
        <w:numPr>
          <w:ilvl w:val="1"/>
          <w:numId w:val="16"/>
        </w:numPr>
        <w:spacing w:lineRule="auto" w:line="276"/>
        <w:jc w:val="both"/>
        <w:rPr>
          <w:sz w:val="24"/>
          <w:szCs w:val="24"/>
        </w:rPr>
      </w:pPr>
      <w:r>
        <w:rPr>
          <w:sz w:val="24"/>
          <w:szCs w:val="24"/>
        </w:rPr>
        <w:t xml:space="preserve">ЕПГУ (оператор – Минцифры России): </w:t>
      </w:r>
    </w:p>
    <w:p>
      <w:pPr>
        <w:pStyle w:val="TableParagraph"/>
        <w:numPr>
          <w:ilvl w:val="2"/>
          <w:numId w:val="16"/>
        </w:numPr>
        <w:spacing w:lineRule="auto" w:line="276"/>
        <w:jc w:val="both"/>
        <w:rPr>
          <w:sz w:val="24"/>
          <w:szCs w:val="24"/>
        </w:rPr>
      </w:pPr>
      <w:r>
        <w:rPr>
          <w:sz w:val="24"/>
          <w:szCs w:val="24"/>
        </w:rPr>
        <w:t>Получение жалоб, ходатайств контролируемых лиц, поступающих при осуществлении КНД;</w:t>
      </w:r>
    </w:p>
    <w:p>
      <w:pPr>
        <w:pStyle w:val="TableParagraph"/>
        <w:numPr>
          <w:ilvl w:val="2"/>
          <w:numId w:val="16"/>
        </w:numPr>
        <w:spacing w:lineRule="auto" w:line="276"/>
        <w:jc w:val="both"/>
        <w:rPr>
          <w:sz w:val="24"/>
          <w:szCs w:val="24"/>
        </w:rPr>
      </w:pPr>
      <w:r>
        <w:rPr>
          <w:sz w:val="24"/>
          <w:szCs w:val="24"/>
        </w:rPr>
        <w:t>Направление уведомлений контролируемым лицам о составлении документов КНМ и АП;</w:t>
      </w:r>
    </w:p>
    <w:p>
      <w:pPr>
        <w:pStyle w:val="TableParagraph"/>
        <w:numPr>
          <w:ilvl w:val="1"/>
          <w:numId w:val="16"/>
        </w:numPr>
        <w:spacing w:lineRule="auto" w:line="276"/>
        <w:ind w:hanging="432" w:start="792" w:end="31"/>
        <w:jc w:val="both"/>
        <w:rPr>
          <w:sz w:val="24"/>
          <w:szCs w:val="24"/>
        </w:rPr>
      </w:pPr>
      <w:r>
        <w:rPr>
          <w:sz w:val="24"/>
          <w:szCs w:val="24"/>
        </w:rPr>
        <w:t>МП «Инспектор»: двусторонний обмен данными по КНМ/ПМ.</w:t>
      </w:r>
    </w:p>
    <w:p>
      <w:pPr>
        <w:pStyle w:val="NoSpacing"/>
        <w:spacing w:lineRule="auto" w:line="276" w:before="0" w:after="0"/>
        <w:contextualSpacing/>
        <w:rPr>
          <w:rFonts w:cs="Times New Roman"/>
        </w:rPr>
      </w:pPr>
      <w:r>
        <w:rPr>
          <w:rFonts w:cs="Times New Roman"/>
        </w:rPr>
      </w:r>
    </w:p>
    <w:p>
      <w:pPr>
        <w:pStyle w:val="NoSpacing"/>
        <w:spacing w:lineRule="auto" w:line="276" w:before="0" w:after="0"/>
        <w:ind w:firstLine="360"/>
        <w:contextualSpacing/>
        <w:rPr>
          <w:rFonts w:cs="Times New Roman"/>
        </w:rPr>
      </w:pPr>
      <w:r>
        <w:rPr>
          <w:rFonts w:cs="Times New Roman"/>
        </w:rPr>
        <w:t>Внутриведомственное информационное взаимодействие:</w:t>
      </w:r>
    </w:p>
    <w:p>
      <w:pPr>
        <w:pStyle w:val="NoSpacing"/>
        <w:numPr>
          <w:ilvl w:val="1"/>
          <w:numId w:val="17"/>
        </w:numPr>
        <w:spacing w:lineRule="auto" w:line="276" w:before="0" w:after="0"/>
        <w:contextualSpacing/>
        <w:rPr>
          <w:rFonts w:cs="Times New Roman"/>
        </w:rPr>
      </w:pPr>
      <w:r>
        <w:rPr>
          <w:rFonts w:cs="Times New Roman"/>
        </w:rPr>
        <w:t>Аналитическая система РСХН с ФГИС «ВетИС» (в составе компонентов: Меркурий, Веста и/или Ассоль, Сирано, Хорриот, Цербер и других необходимых) в части получения: первичных сведений по субъектам и объектам контроля;</w:t>
      </w:r>
    </w:p>
    <w:p>
      <w:pPr>
        <w:pStyle w:val="ListParagraph"/>
        <w:numPr>
          <w:ilvl w:val="0"/>
          <w:numId w:val="17"/>
        </w:numPr>
        <w:rPr/>
      </w:pPr>
      <w:commentRangeStart w:id="37"/>
      <w:r>
        <w:rPr/>
        <w:t xml:space="preserve">Двусторонний обмен </w:t>
      </w:r>
      <w:r>
        <w:rPr/>
      </w:r>
      <w:commentRangeEnd w:id="37"/>
      <w:r>
        <w:commentReference w:id="37"/>
      </w:r>
      <w:r>
        <w:rPr/>
        <w:t>между ФГИС ПГС и Аналитической системой РСХН в части сведений о категориях риска, выявленных цифровых индикаторах рисков (предусмотренных в Дорожной карте РСХН) и их обоснованиях, а также сведений о результатах КНД.</w:t>
      </w:r>
    </w:p>
    <w:p>
      <w:pPr>
        <w:pStyle w:val="ListParagraph"/>
        <w:ind w:hanging="0" w:start="360"/>
        <w:rPr/>
      </w:pPr>
      <w:r>
        <w:rPr/>
      </w:r>
    </w:p>
    <w:p>
      <w:pPr>
        <w:pStyle w:val="Normal"/>
        <w:spacing w:lineRule="auto" w:line="259" w:before="0" w:after="160"/>
        <w:ind w:hanging="0"/>
        <w:jc w:val="start"/>
        <w:rPr>
          <w:bCs/>
        </w:rPr>
      </w:pPr>
      <w:r>
        <w:rPr>
          <w:bCs/>
        </w:rPr>
      </w:r>
      <w:r>
        <w:br w:type="page"/>
      </w:r>
    </w:p>
    <w:p>
      <w:pPr>
        <w:pStyle w:val="Heading1"/>
        <w:numPr>
          <w:ilvl w:val="0"/>
          <w:numId w:val="0"/>
        </w:numPr>
        <w:spacing w:before="0" w:after="0"/>
        <w:ind w:hanging="431" w:start="431"/>
        <w:jc w:val="center"/>
        <w:rPr>
          <w:rFonts w:cs="Times New Roman"/>
        </w:rPr>
      </w:pPr>
      <w:commentRangeStart w:id="38"/>
      <w:r>
        <w:rPr>
          <w:rFonts w:cs="Times New Roman"/>
        </w:rPr>
        <w:t>Приложение Г</w:t>
      </w:r>
      <w:commentRangeEnd w:id="38"/>
      <w:r>
        <w:commentReference w:id="38"/>
      </w:r>
      <w:r>
        <w:rPr>
          <w:rFonts w:cs="Times New Roman"/>
        </w:rPr>
      </w:r>
    </w:p>
    <w:p>
      <w:pPr>
        <w:pStyle w:val="Normal"/>
        <w:rPr/>
      </w:pPr>
      <w:r>
        <w:rPr/>
      </w:r>
    </w:p>
    <w:p>
      <w:pPr>
        <w:pStyle w:val="Normal"/>
        <w:jc w:val="center"/>
        <w:rPr/>
      </w:pPr>
      <w:r>
        <w:rPr/>
        <w:t>Календарный план выполнения работ</w:t>
      </w:r>
    </w:p>
    <w:p>
      <w:pPr>
        <w:pStyle w:val="Style21"/>
        <w:rPr>
          <w:color w:themeColor="text1" w:val="000000"/>
        </w:rPr>
      </w:pPr>
      <w:r>
        <w:rPr>
          <w:color w:themeColor="text1" w:val="000000"/>
        </w:rPr>
      </w:r>
    </w:p>
    <w:tbl>
      <w:tblPr>
        <w:tblW w:w="9923" w:type="dxa"/>
        <w:jc w:val="start"/>
        <w:tblInd w:w="-289" w:type="dxa"/>
        <w:tblLayout w:type="fixed"/>
        <w:tblCellMar>
          <w:top w:w="0" w:type="dxa"/>
          <w:start w:w="108" w:type="dxa"/>
          <w:bottom w:w="0" w:type="dxa"/>
          <w:end w:w="108" w:type="dxa"/>
        </w:tblCellMar>
        <w:tblLook w:val="04a0" w:noHBand="0" w:noVBand="1" w:firstColumn="1" w:lastRow="0" w:lastColumn="0" w:firstRow="1"/>
      </w:tblPr>
      <w:tblGrid>
        <w:gridCol w:w="567"/>
        <w:gridCol w:w="2127"/>
        <w:gridCol w:w="5245"/>
        <w:gridCol w:w="1984"/>
      </w:tblGrid>
      <w:tr>
        <w:trPr>
          <w:trHeight w:val="414" w:hRule="atLeast"/>
        </w:trPr>
        <w:tc>
          <w:tcPr>
            <w:tcW w:w="567" w:type="dxa"/>
            <w:tcBorders>
              <w:top w:val="single" w:sz="4" w:space="0" w:color="000000"/>
              <w:start w:val="single" w:sz="4" w:space="0" w:color="000000"/>
              <w:bottom w:val="single" w:sz="4" w:space="0" w:color="000000"/>
              <w:end w:val="single" w:sz="4" w:space="0" w:color="000000"/>
            </w:tcBorders>
          </w:tcPr>
          <w:p>
            <w:pPr>
              <w:pStyle w:val="Style20"/>
              <w:spacing w:before="120" w:after="120"/>
              <w:rPr>
                <w:color w:themeColor="text1" w:val="000000"/>
              </w:rPr>
            </w:pPr>
            <w:r>
              <w:rPr>
                <w:color w:themeColor="text1" w:val="000000"/>
              </w:rPr>
              <w:t xml:space="preserve">№ </w:t>
            </w:r>
            <w:r>
              <w:rPr>
                <w:color w:themeColor="text1" w:val="000000"/>
              </w:rPr>
              <w:t>этапа</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Style2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2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20"/>
              <w:spacing w:before="120" w:after="120"/>
              <w:rPr>
                <w:color w:themeColor="text1" w:val="000000"/>
              </w:rPr>
            </w:pPr>
            <w:r>
              <w:rPr>
                <w:color w:themeColor="text1" w:val="000000"/>
              </w:rPr>
              <w:t>Период</w:t>
            </w:r>
          </w:p>
        </w:tc>
      </w:tr>
      <w:tr>
        <w:trPr/>
        <w:tc>
          <w:tcPr>
            <w:tcW w:w="567" w:type="dxa"/>
            <w:tcBorders>
              <w:top w:val="single" w:sz="4" w:space="0" w:color="000000"/>
              <w:start w:val="single" w:sz="4" w:space="0" w:color="000000"/>
              <w:bottom w:val="single" w:sz="4" w:space="0" w:color="000000"/>
              <w:end w:val="single" w:sz="4" w:space="0" w:color="000000"/>
            </w:tcBorders>
          </w:tcPr>
          <w:p>
            <w:pPr>
              <w:pStyle w:val="Style22"/>
              <w:numPr>
                <w:ilvl w:val="0"/>
                <w:numId w:val="18"/>
              </w:numPr>
              <w:ind w:hanging="360" w:start="460"/>
              <w:rPr>
                <w:color w:themeColor="text1" w:val="000000"/>
              </w:rPr>
            </w:pPr>
            <w:r>
              <w:rPr>
                <w:color w:themeColor="text1" w:val="000000"/>
              </w:rPr>
            </w:r>
          </w:p>
        </w:tc>
        <w:tc>
          <w:tcPr>
            <w:tcW w:w="2127" w:type="dxa"/>
            <w:tcBorders>
              <w:top w:val="single" w:sz="4" w:space="0" w:color="000000"/>
              <w:start w:val="single" w:sz="4" w:space="0" w:color="000000"/>
              <w:bottom w:val="single" w:sz="4" w:space="0" w:color="000000"/>
              <w:end w:val="single" w:sz="4" w:space="0" w:color="000000"/>
            </w:tcBorders>
          </w:tcPr>
          <w:p>
            <w:pPr>
              <w:pStyle w:val="Style22"/>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19"/>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22"/>
              <w:jc w:val="center"/>
              <w:rPr>
                <w:color w:themeColor="text1" w:val="000000"/>
              </w:rPr>
            </w:pPr>
            <w:r>
              <w:rPr>
                <w:color w:themeColor="text1" w:val="000000"/>
              </w:rPr>
              <w:t xml:space="preserve">до </w:t>
            </w:r>
            <w:commentRangeStart w:id="39"/>
            <w:r>
              <w:rPr>
                <w:color w:themeColor="text1" w:val="000000"/>
              </w:rPr>
              <w:t>01.12.2026</w:t>
            </w:r>
            <w:commentRangeEnd w:id="39"/>
            <w:r>
              <w:commentReference w:id="39"/>
            </w:r>
            <w:r>
              <w:rPr>
                <w:color w:themeColor="text1" w:val="000000"/>
              </w:rPr>
            </w:r>
          </w:p>
        </w:tc>
      </w:tr>
      <w:tr>
        <w:trPr>
          <w:trHeight w:val="936" w:hRule="atLeast"/>
        </w:trPr>
        <w:tc>
          <w:tcPr>
            <w:tcW w:w="567" w:type="dxa"/>
            <w:tcBorders>
              <w:top w:val="single" w:sz="4" w:space="0" w:color="000000"/>
              <w:start w:val="single" w:sz="4" w:space="0" w:color="000000"/>
              <w:bottom w:val="single" w:sz="4" w:space="0" w:color="000000"/>
              <w:end w:val="single" w:sz="4" w:space="0" w:color="000000"/>
            </w:tcBorders>
          </w:tcPr>
          <w:p>
            <w:pPr>
              <w:pStyle w:val="Style22"/>
              <w:numPr>
                <w:ilvl w:val="0"/>
                <w:numId w:val="18"/>
              </w:numPr>
              <w:ind w:hanging="360" w:start="460"/>
              <w:rPr>
                <w:color w:themeColor="text1" w:val="000000"/>
              </w:rPr>
            </w:pPr>
            <w:r>
              <w:rPr>
                <w:color w:themeColor="text1" w:val="000000"/>
              </w:rPr>
            </w:r>
          </w:p>
        </w:tc>
        <w:tc>
          <w:tcPr>
            <w:tcW w:w="2127" w:type="dxa"/>
            <w:tcBorders>
              <w:top w:val="single" w:sz="4" w:space="0" w:color="000000"/>
              <w:start w:val="single" w:sz="4" w:space="0" w:color="000000"/>
              <w:bottom w:val="single" w:sz="4" w:space="0" w:color="000000"/>
              <w:end w:val="single" w:sz="4" w:space="0" w:color="000000"/>
            </w:tcBorders>
          </w:tcPr>
          <w:p>
            <w:pPr>
              <w:pStyle w:val="Style22"/>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20"/>
              </w:numPr>
              <w:spacing w:lineRule="auto" w:line="276"/>
              <w:ind w:hanging="360" w:start="318"/>
              <w:jc w:val="start"/>
              <w:rPr/>
            </w:pPr>
            <w:r>
              <w:rPr>
                <w:bCs/>
              </w:rPr>
              <w:t>Ведомость технического проекта;</w:t>
            </w:r>
          </w:p>
          <w:p>
            <w:pPr>
              <w:pStyle w:val="Normal"/>
              <w:widowControl w:val="false"/>
              <w:numPr>
                <w:ilvl w:val="0"/>
                <w:numId w:val="20"/>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22"/>
              <w:jc w:val="center"/>
              <w:rPr>
                <w:color w:themeColor="text1" w:val="000000"/>
              </w:rPr>
            </w:pPr>
            <w:r>
              <w:rPr>
                <w:color w:themeColor="text1" w:val="000000"/>
              </w:rPr>
            </w:r>
          </w:p>
        </w:tc>
      </w:tr>
      <w:tr>
        <w:trPr>
          <w:trHeight w:val="2635" w:hRule="atLeast"/>
        </w:trPr>
        <w:tc>
          <w:tcPr>
            <w:tcW w:w="567" w:type="dxa"/>
            <w:tcBorders>
              <w:top w:val="single" w:sz="4" w:space="0" w:color="000000"/>
              <w:start w:val="single" w:sz="4" w:space="0" w:color="000000"/>
              <w:bottom w:val="single" w:sz="4" w:space="0" w:color="000000"/>
              <w:end w:val="single" w:sz="4" w:space="0" w:color="000000"/>
            </w:tcBorders>
          </w:tcPr>
          <w:p>
            <w:pPr>
              <w:pStyle w:val="Style22"/>
              <w:numPr>
                <w:ilvl w:val="0"/>
                <w:numId w:val="18"/>
              </w:numPr>
              <w:ind w:hanging="360" w:start="460"/>
              <w:rPr>
                <w:color w:themeColor="text1" w:val="000000"/>
              </w:rPr>
            </w:pPr>
            <w:r>
              <w:rPr>
                <w:color w:themeColor="text1" w:val="000000"/>
              </w:rPr>
            </w:r>
          </w:p>
        </w:tc>
        <w:tc>
          <w:tcPr>
            <w:tcW w:w="2127" w:type="dxa"/>
            <w:tcBorders>
              <w:top w:val="single" w:sz="4" w:space="0" w:color="000000"/>
              <w:start w:val="single" w:sz="4" w:space="0" w:color="000000"/>
              <w:bottom w:val="single" w:sz="4" w:space="0" w:color="000000"/>
              <w:end w:val="single" w:sz="4" w:space="0" w:color="000000"/>
            </w:tcBorders>
          </w:tcPr>
          <w:p>
            <w:pPr>
              <w:pStyle w:val="Style22"/>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21"/>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22"/>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22"/>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22"/>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22"/>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22"/>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21"/>
              </w:numPr>
              <w:spacing w:lineRule="auto" w:line="276" w:beforeAutospacing="0" w:before="0" w:after="0"/>
              <w:ind w:hanging="360" w:start="407"/>
              <w:jc w:val="start"/>
              <w:rPr>
                <w:color w:val="auto"/>
              </w:rPr>
            </w:pPr>
            <w:r>
              <w:rPr>
                <w:color w:val="auto"/>
              </w:rPr>
              <w:t>Исходный код Аналитической системы РСХН.</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22"/>
              <w:jc w:val="center"/>
              <w:rPr>
                <w:color w:themeColor="text1" w:val="000000"/>
              </w:rPr>
            </w:pPr>
            <w:r>
              <w:rPr>
                <w:color w:themeColor="text1" w:val="000000"/>
              </w:rPr>
            </w:r>
          </w:p>
        </w:tc>
      </w:tr>
      <w:tr>
        <w:trPr>
          <w:trHeight w:val="2635" w:hRule="atLeast"/>
        </w:trPr>
        <w:tc>
          <w:tcPr>
            <w:tcW w:w="567" w:type="dxa"/>
            <w:tcBorders>
              <w:top w:val="single" w:sz="4" w:space="0" w:color="000000"/>
              <w:start w:val="single" w:sz="4" w:space="0" w:color="000000"/>
              <w:bottom w:val="single" w:sz="4" w:space="0" w:color="000000"/>
              <w:end w:val="single" w:sz="4" w:space="0" w:color="000000"/>
            </w:tcBorders>
          </w:tcPr>
          <w:p>
            <w:pPr>
              <w:pStyle w:val="Style22"/>
              <w:numPr>
                <w:ilvl w:val="0"/>
                <w:numId w:val="18"/>
              </w:numPr>
              <w:ind w:hanging="360" w:start="460"/>
              <w:rPr>
                <w:color w:themeColor="text1" w:val="000000"/>
              </w:rPr>
            </w:pPr>
            <w:r>
              <w:rPr>
                <w:color w:themeColor="text1" w:val="000000"/>
              </w:rPr>
            </w:r>
          </w:p>
        </w:tc>
        <w:tc>
          <w:tcPr>
            <w:tcW w:w="2127" w:type="dxa"/>
            <w:tcBorders>
              <w:top w:val="single" w:sz="4" w:space="0" w:color="000000"/>
              <w:start w:val="single" w:sz="4" w:space="0" w:color="000000"/>
              <w:bottom w:val="single" w:sz="4" w:space="0" w:color="000000"/>
              <w:end w:val="single" w:sz="4" w:space="0" w:color="000000"/>
            </w:tcBorders>
          </w:tcPr>
          <w:p>
            <w:pPr>
              <w:pStyle w:val="Style22"/>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Аналитическую систему РСХН (при необходимости);</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Аналитической системы РСХН (при необходимости);</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23"/>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22"/>
              <w:jc w:val="center"/>
              <w:rPr>
                <w:color w:themeColor="text1" w:val="000000"/>
              </w:rPr>
            </w:pPr>
            <w:r>
              <w:rPr>
                <w:color w:themeColor="text1" w:val="000000"/>
              </w:rPr>
            </w:r>
          </w:p>
        </w:tc>
      </w:tr>
    </w:tbl>
    <w:p>
      <w:pPr>
        <w:pStyle w:val="Normal"/>
        <w:rPr/>
      </w:pPr>
      <w:r>
        <w:rPr/>
      </w:r>
    </w:p>
    <w:p>
      <w:pPr>
        <w:pStyle w:val="ListParagraph"/>
        <w:ind w:hanging="0" w:start="360"/>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701" w:right="850" w:gutter="0" w:header="708" w:top="1134" w:footer="708"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ser" w:date="2026-03-13T10:24:00Z" w:initials="U">
    <w:p>
      <w:pPr>
        <w:overflowPunct w:val="false"/>
        <w:jc w:val="start"/>
        <w:rPr/>
      </w:pPr>
      <w:r>
        <w:annotationRef/>
      </w:r>
      <w:r>
        <w:rPr>
          <w:rFonts w:cs="DejaVu Sans" w:ascii="Liberation Serif" w:hAnsi="Liberation Serif" w:eastAsia="DejaVu Sans"/>
          <w:lang w:bidi="en-US" w:eastAsia="en-US" w:val="en-US"/>
        </w:rPr>
        <w:t xml:space="preserve">Кем создается сервис. 2. Какая интеграция предусмотрена м Аналитической системой РСХН? 3. Кто разрабатывает/настраивает интеграцию? (Подключение к Виду сведений ФОИВ СМЭВ-3 или 4?) </w:t>
      </w:r>
    </w:p>
    <w:p w14:paraId="01000000">
      <w:pPr>
        <w:overflowPunct w:val="false"/>
        <w:jc w:val="start"/>
        <w:rPr/>
      </w:pPr>
      <w:r>
        <w:rPr>
          <w:rFonts w:cs="DejaVu Sans" w:ascii="Liberation Serif" w:hAnsi="Liberation Serif" w:eastAsia="DejaVu Sans"/>
          <w:lang w:bidi="en-US" w:val="en-US" w:eastAsia="en-US"/>
        </w:rPr>
      </w:r>
    </w:p>
  </w:comment>
  <w:comment w:id="1" w:author="User" w:date="2026-03-13T11:13:00Z" w:initials="U">
    <w:p w14:paraId="02000000">
      <w:pPr>
        <w:overflowPunct w:val="false"/>
        <w:jc w:val="start"/>
        <w:rPr/>
      </w:pPr>
      <w:r>
        <w:annotationRef/>
      </w:r>
      <w:r>
        <w:rPr>
          <w:rFonts w:cs="DejaVu Sans" w:ascii="Liberation Serif" w:hAnsi="Liberation Serif" w:eastAsia="DejaVu Sans"/>
          <w:lang w:bidi="en-US" w:eastAsia="en-US" w:val="en-US"/>
        </w:rPr>
        <w:t xml:space="preserve">Аналитичка передает по СМЭВ инф. ИВИС. Коннекторы у Заказчика. </w:t>
      </w:r>
      <w:r>
        <w:rPr>
          <w:rFonts w:cs="DejaVu Sans" w:ascii="Liberation Serif" w:hAnsi="Liberation Serif" w:eastAsia="DejaVu Sans"/>
          <w:lang w:bidi="en-US" w:eastAsia="en-US" w:val="en-US"/>
        </w:rPr>
        <w:t>SOAP</w:t>
      </w:r>
      <w:r>
        <w:rPr>
          <w:rFonts w:cs="DejaVu Sans" w:ascii="Liberation Serif" w:hAnsi="Liberation Serif" w:eastAsia="DejaVu Sans"/>
          <w:lang w:bidi="en-US" w:eastAsia="en-US" w:val="en-US"/>
        </w:rPr>
        <w:t xml:space="preserve"> </w:t>
      </w:r>
      <w:r>
        <w:rPr>
          <w:rFonts w:cs="DejaVu Sans" w:ascii="Liberation Serif" w:hAnsi="Liberation Serif" w:eastAsia="DejaVu Sans"/>
          <w:lang w:bidi="en-US" w:eastAsia="en-US" w:val="en-US"/>
        </w:rPr>
        <w:t>UI</w:t>
      </w:r>
      <w:r>
        <w:rPr>
          <w:rFonts w:cs="DejaVu Sans" w:ascii="Liberation Serif" w:hAnsi="Liberation Serif" w:eastAsia="DejaVu Sans"/>
          <w:lang w:bidi="en-US" w:eastAsia="en-US" w:val="en-US"/>
        </w:rPr>
        <w:t xml:space="preserve"> – ИВИС - СМЭВ</w:t>
      </w:r>
    </w:p>
  </w:comment>
  <w:comment w:id="2" w:author="User" w:date="2026-03-13T10:06:00Z" w:initials="U">
    <w:p>
      <w:pPr>
        <w:overflowPunct w:val="false"/>
        <w:jc w:val="start"/>
        <w:rPr/>
      </w:pPr>
      <w:r>
        <w:annotationRef/>
      </w:r>
      <w:r>
        <w:rPr>
          <w:rFonts w:cs="DejaVu Sans" w:ascii="Liberation Serif" w:hAnsi="Liberation Serif" w:eastAsia="DejaVu Sans"/>
          <w:lang w:bidi="en-US" w:eastAsia="en-US" w:val="en-US"/>
        </w:rPr>
        <w:t>Возможно получить в каком-то варианте дорожную карту для понимания мероприятий и контрольных точек?</w:t>
      </w:r>
    </w:p>
  </w:comment>
  <w:comment w:id="4" w:author="User" w:date="2026-03-13T10:10:00Z" w:initials="U">
    <w:p>
      <w:pPr>
        <w:overflowPunct w:val="false"/>
        <w:jc w:val="start"/>
        <w:rPr/>
      </w:pPr>
      <w:r>
        <w:annotationRef/>
      </w:r>
      <w:r>
        <w:rPr>
          <w:rFonts w:cs="DejaVu Sans" w:ascii="Liberation Serif" w:hAnsi="Liberation Serif" w:eastAsia="DejaVu Sans"/>
          <w:lang w:bidi="en-US" w:eastAsia="en-US" w:val="en-US"/>
        </w:rPr>
        <w:t>Есть ли определение, чем отличается сервис от подсистемы?</w:t>
      </w:r>
    </w:p>
  </w:comment>
  <w:comment w:id="3" w:author="User" w:date="2026-03-13T11:21:00Z" w:initials="U">
    <w:p>
      <w:pPr>
        <w:overflowPunct w:val="false"/>
        <w:jc w:val="start"/>
        <w:rPr/>
      </w:pPr>
      <w:r>
        <w:annotationRef/>
      </w:r>
      <w:r>
        <w:rPr>
          <w:rFonts w:cs="DejaVu Sans" w:ascii="Liberation Serif" w:hAnsi="Liberation Serif" w:eastAsia="DejaVu Sans"/>
          <w:lang w:bidi="en-US" w:eastAsia="en-US" w:val="en-US"/>
        </w:rPr>
        <w:t>Аналогично блоку ИИ (сбер)</w:t>
      </w:r>
    </w:p>
  </w:comment>
  <w:comment w:id="6" w:author="User" w:date="2026-03-13T10:09:00Z" w:initials="U">
    <w:p w14:paraId="03000000">
      <w:pPr>
        <w:overflowPunct w:val="false"/>
        <w:jc w:val="start"/>
        <w:rPr/>
      </w:pPr>
      <w:r>
        <w:annotationRef/>
      </w:r>
      <w:r>
        <w:rPr>
          <w:rFonts w:cs="DejaVu Sans" w:ascii="Liberation Serif" w:hAnsi="Liberation Serif" w:eastAsia="DejaVu Sans"/>
          <w:lang w:bidi="en-US" w:eastAsia="en-US" w:val="en-US"/>
        </w:rPr>
        <w:t>Создается новая подсистема путем ее документального оформления блока, разрабатываемого в рамках развития Аналитички (ЦИР-25)?</w:t>
      </w:r>
    </w:p>
  </w:comment>
  <w:comment w:id="5" w:author="User" w:date="2026-03-13T11:19:00Z" w:initials="U">
    <w:p w14:paraId="04000000">
      <w:pPr>
        <w:overflowPunct w:val="false"/>
        <w:jc w:val="start"/>
        <w:rPr/>
      </w:pPr>
      <w:r>
        <w:annotationRef/>
      </w:r>
      <w:r>
        <w:rPr>
          <w:rFonts w:cs="DejaVu Sans" w:ascii="Liberation Serif" w:hAnsi="Liberation Serif" w:eastAsia="DejaVu Sans"/>
          <w:lang w:bidi="en-US" w:eastAsia="en-US" w:val="en-US"/>
        </w:rPr>
        <w:t xml:space="preserve">Будет отдельно стоящая ПС. На стороне смежной команды. </w:t>
      </w:r>
    </w:p>
  </w:comment>
  <w:comment w:id="7" w:author="User" w:date="2026-03-13T11:25:00Z" w:initials="U">
    <w:p>
      <w:pPr>
        <w:overflowPunct w:val="false"/>
        <w:jc w:val="start"/>
        <w:rPr/>
      </w:pPr>
      <w:r>
        <w:annotationRef/>
      </w:r>
      <w:r>
        <w:rPr>
          <w:rFonts w:cs="DejaVu Sans" w:ascii="Liberation Serif" w:hAnsi="Liberation Serif" w:eastAsia="DejaVu Sans"/>
          <w:lang w:bidi="en-US" w:eastAsia="en-US" w:val="en-US"/>
        </w:rPr>
      </w:r>
    </w:p>
  </w:comment>
  <w:comment w:id="8" w:author="User" w:date="2026-03-13T10:15:00Z" w:initials="U">
    <w:p>
      <w:pPr>
        <w:overflowPunct w:val="false"/>
        <w:jc w:val="start"/>
        <w:rPr/>
      </w:pPr>
      <w:r>
        <w:annotationRef/>
      </w:r>
      <w:r>
        <w:rPr>
          <w:rFonts w:cs="DejaVu Sans" w:ascii="Liberation Serif" w:hAnsi="Liberation Serif" w:eastAsia="DejaVu Sans"/>
          <w:lang w:bidi="en-US" w:eastAsia="en-US" w:val="en-US"/>
        </w:rPr>
        <w:t>Какие работы выполняем мы?</w:t>
      </w:r>
    </w:p>
  </w:comment>
  <w:comment w:id="9" w:author="User" w:date="2026-03-13T11:23:00Z" w:initials="U">
    <w:p>
      <w:pPr>
        <w:overflowPunct w:val="false"/>
        <w:jc w:val="start"/>
        <w:rPr/>
      </w:pPr>
      <w:r>
        <w:annotationRef/>
      </w:r>
      <w:r>
        <w:rPr>
          <w:rFonts w:cs="DejaVu Sans" w:ascii="Liberation Serif" w:hAnsi="Liberation Serif" w:eastAsia="DejaVu Sans"/>
          <w:lang w:bidi="en-US" w:eastAsia="en-US" w:val="en-US"/>
        </w:rPr>
        <w:t xml:space="preserve">Отклонения в производстве? Сейчас </w:t>
      </w:r>
      <w:r>
        <w:rPr>
          <w:rFonts w:cs="DejaVu Sans" w:ascii="Liberation Serif" w:hAnsi="Liberation Serif" w:eastAsia="DejaVu Sans"/>
          <w:lang w:bidi="en-US" w:eastAsia="en-US" w:val="en-US"/>
        </w:rPr>
        <w:t>SQL</w:t>
      </w:r>
      <w:r>
        <w:rPr>
          <w:rFonts w:cs="DejaVu Sans" w:ascii="Liberation Serif" w:hAnsi="Liberation Serif" w:eastAsia="DejaVu Sans"/>
          <w:lang w:bidi="en-US" w:eastAsia="en-US" w:val="en-US"/>
        </w:rPr>
        <w:t>, будет модель ИИ?</w:t>
      </w:r>
    </w:p>
  </w:comment>
  <w:comment w:id="10" w:author="User" w:date="2026-03-13T11:27:00Z" w:initials="U">
    <w:p>
      <w:pPr>
        <w:overflowPunct w:val="false"/>
        <w:jc w:val="start"/>
        <w:rPr/>
      </w:pPr>
      <w:r>
        <w:annotationRef/>
      </w:r>
      <w:r>
        <w:rPr>
          <w:rFonts w:cs="DejaVu Sans" w:ascii="Liberation Serif" w:hAnsi="Liberation Serif" w:eastAsia="DejaVu Sans"/>
          <w:lang w:bidi="en-US" w:eastAsia="en-US" w:val="en-US"/>
        </w:rPr>
        <w:t>Мы</w:t>
      </w:r>
    </w:p>
  </w:comment>
  <w:comment w:id="11" w:author="User" w:date="2026-03-13T11:27:00Z" w:initials="U">
    <w:p>
      <w:pPr>
        <w:overflowPunct w:val="false"/>
        <w:jc w:val="start"/>
        <w:rPr/>
      </w:pPr>
      <w:r>
        <w:annotationRef/>
      </w:r>
      <w:r>
        <w:rPr>
          <w:rFonts w:cs="DejaVu Sans" w:ascii="Liberation Serif" w:hAnsi="Liberation Serif" w:eastAsia="DejaVu Sans"/>
          <w:lang w:bidi="en-US" w:eastAsia="en-US" w:val="en-US"/>
        </w:rPr>
        <w:t>Возможно мы</w:t>
      </w:r>
    </w:p>
  </w:comment>
  <w:comment w:id="12" w:author="User" w:date="2026-03-13T11:27:00Z" w:initials="U">
    <w:p>
      <w:pPr>
        <w:overflowPunct w:val="false"/>
        <w:jc w:val="start"/>
        <w:rPr/>
      </w:pPr>
      <w:r>
        <w:annotationRef/>
      </w:r>
      <w:r>
        <w:rPr>
          <w:rFonts w:cs="DejaVu Sans" w:ascii="Liberation Serif" w:hAnsi="Liberation Serif" w:eastAsia="DejaVu Sans"/>
          <w:lang w:bidi="en-US" w:eastAsia="en-US" w:val="en-US"/>
        </w:rPr>
        <w:t>Строго мы</w:t>
      </w:r>
    </w:p>
  </w:comment>
  <w:comment w:id="13" w:author="User" w:date="2026-03-13T11:27:00Z" w:initials="U">
    <w:p>
      <w:pPr>
        <w:overflowPunct w:val="false"/>
        <w:jc w:val="start"/>
        <w:rPr/>
      </w:pPr>
      <w:r>
        <w:annotationRef/>
      </w:r>
      <w:r>
        <w:rPr>
          <w:rFonts w:cs="DejaVu Sans" w:ascii="Liberation Serif" w:hAnsi="Liberation Serif" w:eastAsia="DejaVu Sans"/>
          <w:lang w:bidi="en-US" w:eastAsia="en-US" w:val="en-US"/>
        </w:rPr>
        <w:t>Есть, будут расширены или переписаны</w:t>
      </w:r>
    </w:p>
  </w:comment>
  <w:comment w:id="14" w:author="User" w:date="2026-03-13T10:15:00Z" w:initials="U">
    <w:p>
      <w:pPr>
        <w:overflowPunct w:val="false"/>
        <w:jc w:val="start"/>
        <w:rPr/>
      </w:pPr>
      <w:r>
        <w:annotationRef/>
      </w:r>
      <w:r>
        <w:rPr>
          <w:rFonts w:cs="DejaVu Sans" w:ascii="Liberation Serif" w:hAnsi="Liberation Serif" w:eastAsia="DejaVu Sans"/>
          <w:lang w:bidi="en-US" w:eastAsia="en-US" w:val="en-US"/>
        </w:rPr>
        <w:t>Хотели уточнить состав экранных форм</w:t>
      </w:r>
    </w:p>
  </w:comment>
  <w:comment w:id="15" w:author="User" w:date="2026-03-13T11:28:00Z" w:initials="U">
    <w:p>
      <w:pPr>
        <w:overflowPunct w:val="false"/>
        <w:jc w:val="start"/>
        <w:rPr/>
      </w:pPr>
      <w:r>
        <w:annotationRef/>
      </w:r>
      <w:r>
        <w:rPr>
          <w:rFonts w:cs="DejaVu Sans" w:ascii="Liberation Serif" w:hAnsi="Liberation Serif" w:eastAsia="DejaVu Sans"/>
          <w:lang w:bidi="en-US" w:eastAsia="en-US" w:val="en-US"/>
        </w:rPr>
        <w:t>5 инд на 3 формы. Как сейчас у нас есть плюс окно обработки индикаторов. Просмотре</w:t>
      </w:r>
    </w:p>
  </w:comment>
  <w:comment w:id="17" w:author="User" w:date="2026-03-13T10:20:00Z" w:initials="U">
    <w:p w14:paraId="05000000">
      <w:pPr>
        <w:overflowPunct w:val="false"/>
        <w:jc w:val="start"/>
        <w:rPr/>
      </w:pPr>
      <w:r>
        <w:annotationRef/>
      </w:r>
      <w:r>
        <w:rPr>
          <w:rFonts w:cs="DejaVu Sans" w:ascii="Liberation Serif" w:hAnsi="Liberation Serif" w:eastAsia="DejaVu Sans"/>
          <w:lang w:bidi="en-US" w:eastAsia="en-US" w:val="en-US"/>
        </w:rPr>
        <w:t>Необходимо уточнить, что требуется доработать нами в части подпунктов к 1.2 ниже.</w:t>
      </w:r>
    </w:p>
  </w:comment>
  <w:comment w:id="16" w:author="User" w:date="2026-03-18T16:37:00Z" w:initials="U">
    <w:p w14:paraId="06000000">
      <w:pPr>
        <w:overflowPunct w:val="false"/>
        <w:jc w:val="start"/>
        <w:rPr/>
      </w:pPr>
      <w:r>
        <w:annotationRef/>
      </w:r>
      <w:r>
        <w:rPr>
          <w:rFonts w:cs="DejaVu Sans" w:ascii="Liberation Serif" w:hAnsi="Liberation Serif" w:eastAsia="DejaVu Sans"/>
          <w:b/>
          <w:bCs/>
          <w:lang w:bidi="en-US" w:eastAsia="en-US" w:val="en-US"/>
        </w:rPr>
        <w:t>Создать</w:t>
      </w:r>
      <w:r>
        <w:rPr>
          <w:rFonts w:cs="DejaVu Sans" w:ascii="Liberation Serif" w:hAnsi="Liberation Serif" w:eastAsia="DejaVu Sans"/>
          <w:lang w:bidi="en-US" w:eastAsia="en-US" w:val="en-US"/>
        </w:rPr>
        <w:t xml:space="preserve"> форму обработки ЦИ по аналогии с АРМ инспектора</w:t>
      </w:r>
    </w:p>
  </w:comment>
  <w:comment w:id="18" w:author="User" w:date="2026-03-13T10:47:00Z" w:initials="U">
    <w:p>
      <w:pPr>
        <w:overflowPunct w:val="false"/>
        <w:jc w:val="start"/>
        <w:rPr/>
      </w:pPr>
      <w:r>
        <w:annotationRef/>
      </w:r>
      <w:r>
        <w:rPr>
          <w:rFonts w:cs="DejaVu Sans" w:ascii="Liberation Serif" w:hAnsi="Liberation Serif" w:eastAsia="DejaVu Sans"/>
          <w:lang w:bidi="en-US" w:eastAsia="en-US" w:val="en-US"/>
        </w:rPr>
        <w:t>Сервис РСХН – Это ГосТех плюс аналитичка…</w:t>
      </w:r>
    </w:p>
  </w:comment>
  <w:comment w:id="19" w:author="User" w:date="2026-03-13T11:29:00Z" w:initials="U">
    <w:p>
      <w:pPr>
        <w:overflowPunct w:val="false"/>
        <w:jc w:val="start"/>
        <w:rPr/>
      </w:pPr>
      <w:r>
        <w:annotationRef/>
      </w:r>
      <w:r>
        <w:rPr>
          <w:rFonts w:cs="DejaVu Sans" w:ascii="Liberation Serif" w:hAnsi="Liberation Serif" w:eastAsia="DejaVu Sans"/>
          <w:lang w:bidi="en-US" w:eastAsia="en-US" w:val="en-US"/>
        </w:rPr>
        <w:t>Мы. В экране обработки нарушений появится раздел для выбора норм документа из подгруженного справочника. Пункты, которые были нарушены.</w:t>
      </w:r>
    </w:p>
  </w:comment>
  <w:comment w:id="20" w:author="User" w:date="2026-03-13T11:32:00Z" w:initials="U">
    <w:p>
      <w:pPr>
        <w:overflowPunct w:val="false"/>
        <w:jc w:val="start"/>
        <w:rPr/>
      </w:pPr>
      <w:r>
        <w:annotationRef/>
      </w:r>
      <w:r>
        <w:rPr>
          <w:rFonts w:cs="DejaVu Sans" w:ascii="Liberation Serif" w:hAnsi="Liberation Serif" w:eastAsia="DejaVu Sans"/>
          <w:lang w:bidi="en-US" w:eastAsia="en-US" w:val="en-US"/>
        </w:rPr>
        <w:t xml:space="preserve">Кнопка вызова </w:t>
      </w:r>
      <w:r>
        <w:rPr>
          <w:rFonts w:cs="DejaVu Sans" w:ascii="Liberation Serif" w:hAnsi="Liberation Serif" w:eastAsia="DejaVu Sans"/>
          <w:lang w:bidi="en-US" w:eastAsia="en-US" w:val="en-US"/>
        </w:rPr>
        <w:t>LLM</w:t>
      </w:r>
      <w:r>
        <w:rPr>
          <w:rFonts w:cs="DejaVu Sans" w:ascii="Liberation Serif" w:hAnsi="Liberation Serif" w:eastAsia="DejaVu Sans"/>
          <w:lang w:bidi="en-US" w:eastAsia="en-US" w:val="en-US"/>
        </w:rPr>
        <w:t xml:space="preserve"> и СМЭВ</w:t>
      </w:r>
    </w:p>
  </w:comment>
  <w:comment w:id="21" w:author="User" w:date="2026-03-13T10:18:00Z" w:initials="U">
    <w:p w14:paraId="07000000">
      <w:pPr>
        <w:overflowPunct w:val="false"/>
        <w:jc w:val="start"/>
        <w:rPr/>
      </w:pPr>
      <w:r>
        <w:annotationRef/>
      </w:r>
      <w:r>
        <w:rPr>
          <w:rFonts w:cs="DejaVu Sans" w:ascii="Liberation Serif" w:hAnsi="Liberation Serif" w:eastAsia="DejaVu Sans"/>
          <w:lang w:bidi="en-US" w:eastAsia="en-US" w:val="en-US"/>
        </w:rPr>
        <w:t xml:space="preserve">Это делаем мы? По какому типу информационного взаимодействия? (Подключение к виду сведений СМЭВ, </w:t>
      </w:r>
      <w:r>
        <w:rPr>
          <w:rFonts w:cs="DejaVu Sans" w:ascii="Liberation Serif" w:hAnsi="Liberation Serif" w:eastAsia="DejaVu Sans"/>
          <w:lang w:bidi="en-US" w:eastAsia="en-US" w:val="en-US"/>
        </w:rPr>
        <w:t>REST</w:t>
      </w:r>
      <w:r>
        <w:rPr>
          <w:rFonts w:cs="DejaVu Sans" w:ascii="Liberation Serif" w:hAnsi="Liberation Serif" w:eastAsia="DejaVu Sans"/>
          <w:lang w:bidi="en-US" w:eastAsia="en-US" w:val="en-US"/>
        </w:rPr>
        <w:t>/</w:t>
      </w:r>
      <w:r>
        <w:rPr>
          <w:rFonts w:cs="DejaVu Sans" w:ascii="Liberation Serif" w:hAnsi="Liberation Serif" w:eastAsia="DejaVu Sans"/>
          <w:lang w:bidi="en-US" w:eastAsia="en-US" w:val="en-US"/>
        </w:rPr>
        <w:t>SOAP</w:t>
      </w:r>
      <w:r>
        <w:rPr>
          <w:rFonts w:cs="DejaVu Sans" w:ascii="Liberation Serif" w:hAnsi="Liberation Serif" w:eastAsia="DejaVu Sans"/>
          <w:lang w:bidi="en-US" w:eastAsia="en-US" w:val="en-US"/>
        </w:rPr>
        <w:t>?)</w:t>
      </w:r>
    </w:p>
  </w:comment>
  <w:comment w:id="22" w:author="User" w:date="2026-03-13T11:33:00Z" w:initials="U">
    <w:p>
      <w:pPr>
        <w:overflowPunct w:val="false"/>
        <w:jc w:val="start"/>
        <w:rPr/>
      </w:pPr>
      <w:r>
        <w:annotationRef/>
      </w:r>
      <w:r>
        <w:rPr>
          <w:rFonts w:cs="DejaVu Sans" w:ascii="Liberation Serif" w:hAnsi="Liberation Serif" w:eastAsia="DejaVu Sans"/>
          <w:lang w:bidi="en-US" w:eastAsia="en-US" w:val="en-US"/>
        </w:rPr>
        <w:t xml:space="preserve">Аналитичка формирует </w:t>
      </w:r>
      <w:r>
        <w:rPr>
          <w:rFonts w:cs="DejaVu Sans" w:ascii="Liberation Serif" w:hAnsi="Liberation Serif" w:eastAsia="DejaVu Sans"/>
          <w:lang w:bidi="en-US" w:eastAsia="en-US" w:val="en-US"/>
        </w:rPr>
        <w:t>XML</w:t>
      </w:r>
      <w:r>
        <w:rPr>
          <w:rFonts w:cs="DejaVu Sans" w:ascii="Liberation Serif" w:hAnsi="Liberation Serif" w:eastAsia="DejaVu Sans"/>
          <w:lang w:bidi="en-US" w:eastAsia="en-US" w:val="en-US"/>
        </w:rPr>
        <w:t xml:space="preserve"> и информацию об индикаторе и входящих в состав нарушений. Мы должны собрать</w:t>
      </w:r>
      <w:r>
        <w:rPr>
          <w:rFonts w:cs="DejaVu Sans" w:ascii="Liberation Serif" w:hAnsi="Liberation Serif" w:eastAsia="DejaVu Sans"/>
          <w:lang w:bidi="en-US" w:eastAsia="en-US" w:val="en-US"/>
        </w:rPr>
        <w:t>XML</w:t>
      </w:r>
      <w:r>
        <w:rPr>
          <w:rFonts w:cs="DejaVu Sans" w:ascii="Liberation Serif" w:hAnsi="Liberation Serif" w:eastAsia="DejaVu Sans"/>
          <w:lang w:bidi="en-US" w:eastAsia="en-US" w:val="en-US"/>
        </w:rPr>
        <w:t xml:space="preserve"> с аттачами (!). Мы умеем с ними работать?</w:t>
      </w:r>
    </w:p>
    <w:p>
      <w:pPr>
        <w:overflowPunct w:val="false"/>
        <w:jc w:val="start"/>
        <w:rPr/>
      </w:pPr>
      <w:r>
        <w:rPr>
          <w:rFonts w:cs="DejaVu Sans" w:ascii="Liberation Serif" w:hAnsi="Liberation Serif" w:eastAsia="DejaVu Sans"/>
          <w:lang w:bidi="en-US" w:val="en-US" w:eastAsia="en-US"/>
        </w:rPr>
      </w:r>
    </w:p>
    <w:p>
      <w:pPr>
        <w:overflowPunct w:val="false"/>
        <w:jc w:val="start"/>
        <w:rPr/>
      </w:pPr>
      <w:r>
        <w:rPr>
          <w:rFonts w:cs="DejaVu Sans" w:ascii="Liberation Serif" w:hAnsi="Liberation Serif" w:eastAsia="DejaVu Sans"/>
          <w:lang w:bidi="en-US" w:val="en-US" w:eastAsia="en-US"/>
        </w:rPr>
        <w:t xml:space="preserve">Мы – </w:t>
      </w:r>
      <w:r>
        <w:rPr>
          <w:rFonts w:cs="DejaVu Sans" w:ascii="Liberation Serif" w:hAnsi="Liberation Serif" w:eastAsia="DejaVu Sans"/>
          <w:lang w:bidi="en-US" w:eastAsia="en-US" w:val="en-US"/>
        </w:rPr>
        <w:t>XML</w:t>
      </w:r>
      <w:r>
        <w:rPr>
          <w:rFonts w:cs="DejaVu Sans" w:ascii="Liberation Serif" w:hAnsi="Liberation Serif" w:eastAsia="DejaVu Sans"/>
          <w:lang w:bidi="en-US" w:val="en-US" w:eastAsia="en-US"/>
        </w:rPr>
        <w:t xml:space="preserve"> – в ответ: </w:t>
      </w:r>
      <w:r>
        <w:rPr>
          <w:rFonts w:cs="DejaVu Sans" w:ascii="Liberation Serif" w:hAnsi="Liberation Serif" w:eastAsia="DejaVu Sans"/>
          <w:lang w:bidi="en-US" w:eastAsia="en-US" w:val="en-US"/>
        </w:rPr>
        <w:t>XML</w:t>
      </w:r>
      <w:r>
        <w:rPr>
          <w:rFonts w:cs="DejaVu Sans" w:ascii="Liberation Serif" w:hAnsi="Liberation Serif" w:eastAsia="DejaVu Sans"/>
          <w:lang w:bidi="en-US" w:val="en-US" w:eastAsia="en-US"/>
        </w:rPr>
        <w:t xml:space="preserve"> + аттач. Нужно уметь извлечь, показать юзеру, .Пользователю – обработка завершена, плюс ссылка. </w:t>
      </w:r>
      <w:r>
        <w:rPr>
          <w:rFonts w:cs="DejaVu Sans" w:ascii="Liberation Serif" w:hAnsi="Liberation Serif" w:eastAsia="DejaVu Sans"/>
          <w:lang w:bidi="en-US" w:eastAsia="en-US" w:val="en-US"/>
        </w:rPr>
        <w:t>Massage ID. InProcess. Error</w:t>
      </w:r>
      <w:r>
        <w:rPr>
          <w:rFonts w:cs="DejaVu Sans" w:ascii="Liberation Serif" w:hAnsi="Liberation Serif" w:eastAsia="DejaVu Sans"/>
          <w:lang w:bidi="en-US" w:val="en-US" w:eastAsia="en-US"/>
        </w:rPr>
        <w:t>.</w:t>
      </w:r>
    </w:p>
    <w:p>
      <w:pPr>
        <w:overflowPunct w:val="false"/>
        <w:jc w:val="start"/>
        <w:rPr/>
      </w:pPr>
      <w:r>
        <w:rPr>
          <w:rFonts w:cs="DejaVu Sans" w:ascii="Liberation Serif" w:hAnsi="Liberation Serif" w:eastAsia="DejaVu Sans"/>
          <w:lang w:bidi="en-US" w:val="en-US" w:eastAsia="en-US"/>
        </w:rPr>
      </w:r>
    </w:p>
    <w:p>
      <w:pPr>
        <w:overflowPunct w:val="false"/>
        <w:jc w:val="start"/>
        <w:rPr/>
      </w:pPr>
      <w:r>
        <w:rPr>
          <w:rFonts w:cs="DejaVu Sans" w:ascii="Liberation Serif" w:hAnsi="Liberation Serif" w:eastAsia="DejaVu Sans"/>
          <w:lang w:bidi="en-US" w:val="en-US" w:eastAsia="en-US"/>
        </w:rPr>
        <w:t>Мы умеем работать асинхронно?</w:t>
      </w:r>
    </w:p>
    <w:p>
      <w:pPr>
        <w:overflowPunct w:val="false"/>
        <w:jc w:val="start"/>
        <w:rPr/>
      </w:pPr>
      <w:r>
        <w:rPr>
          <w:rFonts w:cs="DejaVu Sans" w:ascii="Liberation Serif" w:hAnsi="Liberation Serif" w:eastAsia="DejaVu Sans"/>
          <w:lang w:bidi="en-US" w:val="en-US" w:eastAsia="en-US"/>
        </w:rPr>
      </w:r>
    </w:p>
    <w:p>
      <w:pPr>
        <w:overflowPunct w:val="false"/>
        <w:jc w:val="start"/>
        <w:rPr/>
      </w:pPr>
      <w:r>
        <w:rPr>
          <w:rFonts w:cs="DejaVu Sans" w:ascii="Liberation Serif" w:hAnsi="Liberation Serif" w:eastAsia="DejaVu Sans"/>
          <w:lang w:bidi="en-US" w:val="en-US" w:eastAsia="en-US"/>
        </w:rPr>
        <w:t>Пользователь должен прочитать этот файл.</w:t>
      </w:r>
    </w:p>
    <w:p>
      <w:pPr>
        <w:overflowPunct w:val="false"/>
        <w:jc w:val="start"/>
        <w:rPr/>
      </w:pPr>
      <w:r>
        <w:rPr>
          <w:rFonts w:cs="DejaVu Sans" w:ascii="Liberation Serif" w:hAnsi="Liberation Serif" w:eastAsia="DejaVu Sans"/>
          <w:lang w:bidi="en-US" w:val="en-US" w:eastAsia="en-US"/>
        </w:rPr>
      </w:r>
    </w:p>
    <w:p w14:paraId="08000000">
      <w:pPr>
        <w:overflowPunct w:val="false"/>
        <w:jc w:val="start"/>
        <w:rPr/>
      </w:pPr>
      <w:r>
        <w:rPr>
          <w:rFonts w:cs="DejaVu Sans" w:ascii="Liberation Serif" w:hAnsi="Liberation Serif" w:eastAsia="DejaVu Sans"/>
          <w:lang w:bidi="en-US" w:val="en-US" w:eastAsia="en-US"/>
        </w:rPr>
        <w:t xml:space="preserve">Далее, пользователь скачивает файл, правит и загружает в аналитичку. Аттач для ФВД?. Разработка? Складывает рядом с файлом </w:t>
      </w:r>
      <w:r>
        <w:rPr>
          <w:rFonts w:cs="DejaVu Sans" w:ascii="Liberation Serif" w:hAnsi="Liberation Serif" w:eastAsia="DejaVu Sans"/>
          <w:lang w:bidi="en-US" w:eastAsia="en-US" w:val="en-US"/>
        </w:rPr>
        <w:t>LLM</w:t>
      </w:r>
      <w:r>
        <w:rPr>
          <w:rFonts w:cs="DejaVu Sans" w:ascii="Liberation Serif" w:hAnsi="Liberation Serif" w:eastAsia="DejaVu Sans"/>
          <w:lang w:bidi="en-US" w:val="en-US" w:eastAsia="en-US"/>
        </w:rPr>
        <w:t xml:space="preserve">. </w:t>
      </w:r>
    </w:p>
  </w:comment>
  <w:comment w:id="23" w:author="User" w:date="2026-03-13T11:51:00Z" w:initials="U">
    <w:p>
      <w:pPr>
        <w:overflowPunct w:val="false"/>
        <w:jc w:val="start"/>
        <w:rPr/>
      </w:pPr>
      <w:r>
        <w:annotationRef/>
      </w:r>
      <w:r>
        <w:rPr>
          <w:rFonts w:cs="DejaVu Sans" w:ascii="Liberation Serif" w:hAnsi="Liberation Serif" w:eastAsia="DejaVu Sans"/>
          <w:lang w:bidi="en-US" w:eastAsia="en-US" w:val="en-US"/>
        </w:rPr>
        <w:t>Пользователь отправляет в ГосТех</w:t>
      </w:r>
    </w:p>
  </w:comment>
  <w:comment w:id="24" w:author="User" w:date="2026-03-13T11:53:00Z" w:initials="U">
    <w:p>
      <w:pPr>
        <w:overflowPunct w:val="false"/>
        <w:jc w:val="start"/>
        <w:rPr/>
      </w:pPr>
      <w:r>
        <w:annotationRef/>
      </w:r>
      <w:r>
        <w:rPr>
          <w:rFonts w:cs="DejaVu Sans" w:ascii="Liberation Serif" w:hAnsi="Liberation Serif" w:eastAsia="DejaVu Sans"/>
          <w:lang w:bidi="en-US" w:eastAsia="en-US" w:val="en-US"/>
        </w:rPr>
        <w:t>В какаом виде получим ответ?</w:t>
      </w:r>
      <w:r>
        <w:rPr>
          <w:rFonts w:cs="DejaVu Sans" w:ascii="Liberation Serif" w:hAnsi="Liberation Serif" w:eastAsia="DejaVu Sans"/>
          <w:lang w:bidi="en-US" w:eastAsia="en-US" w:val="en-US"/>
        </w:rPr>
        <w:t>XML</w:t>
      </w:r>
      <w:r>
        <w:rPr>
          <w:rFonts w:cs="DejaVu Sans" w:ascii="Liberation Serif" w:hAnsi="Liberation Serif" w:eastAsia="DejaVu Sans"/>
          <w:lang w:bidi="en-US" w:eastAsia="en-US" w:val="en-US"/>
        </w:rPr>
        <w:t>. Будут аттачи? Или только предписание? Возможно все таки будет аттач.</w:t>
      </w:r>
    </w:p>
  </w:comment>
  <w:comment w:id="25" w:author="User" w:date="2026-03-13T11:56:00Z" w:initials="U">
    <w:p>
      <w:pPr>
        <w:overflowPunct w:val="false"/>
        <w:jc w:val="start"/>
        <w:rPr/>
      </w:pPr>
      <w:r>
        <w:annotationRef/>
      </w:r>
      <w:r>
        <w:rPr>
          <w:rFonts w:cs="DejaVu Sans" w:ascii="Liberation Serif" w:hAnsi="Liberation Serif" w:eastAsia="DejaVu Sans"/>
          <w:lang w:bidi="en-US" w:eastAsia="en-US" w:val="en-US"/>
        </w:rPr>
        <w:t>Необходимо сделать справочники. Предоставляет и мониторит Заказчик.</w:t>
      </w:r>
    </w:p>
  </w:comment>
  <w:comment w:id="26" w:author="User" w:date="2026-03-13T10:38:00Z" w:initials="U">
    <w:p>
      <w:pPr>
        <w:overflowPunct w:val="false"/>
        <w:jc w:val="start"/>
        <w:rPr/>
      </w:pPr>
      <w:r>
        <w:annotationRef/>
      </w:r>
      <w:r>
        <w:rPr>
          <w:rFonts w:cs="DejaVu Sans" w:ascii="Liberation Serif" w:hAnsi="Liberation Serif" w:eastAsia="DejaVu Sans"/>
          <w:lang w:bidi="en-US" w:eastAsia="en-US" w:val="en-US"/>
        </w:rPr>
        <w:t>Как я понимаю, ЧТЗ для исполнителя по ГосТеху. А кто будет описывать подходы? Мы описываем. Плюс макеты и пр.</w:t>
      </w:r>
    </w:p>
  </w:comment>
  <w:comment w:id="27" w:author="User" w:date="2026-03-13T11:59:00Z" w:initials="U">
    <w:p>
      <w:pPr>
        <w:overflowPunct w:val="false"/>
        <w:jc w:val="start"/>
        <w:rPr/>
      </w:pPr>
      <w:r>
        <w:annotationRef/>
      </w:r>
      <w:r>
        <w:rPr>
          <w:rFonts w:cs="DejaVu Sans" w:ascii="Liberation Serif" w:hAnsi="Liberation Serif" w:eastAsia="DejaVu Sans"/>
          <w:lang w:bidi="en-US" w:eastAsia="en-US" w:val="en-US"/>
        </w:rPr>
        <w:t xml:space="preserve">Входные данные. В рамках этого пункта меняем интерфейсы, плюс описываем справочники, структура данных КМИ и </w:t>
      </w:r>
      <w:r>
        <w:rPr>
          <w:rFonts w:cs="DejaVu Sans" w:ascii="Liberation Serif" w:hAnsi="Liberation Serif" w:eastAsia="DejaVu Sans"/>
          <w:lang w:bidi="en-US" w:eastAsia="en-US" w:val="en-US"/>
        </w:rPr>
        <w:t>LLM</w:t>
      </w:r>
      <w:r>
        <w:rPr>
          <w:rFonts w:cs="DejaVu Sans" w:ascii="Liberation Serif" w:hAnsi="Liberation Serif" w:eastAsia="DejaVu Sans"/>
          <w:lang w:bidi="en-US" w:eastAsia="en-US" w:val="en-US"/>
        </w:rPr>
        <w:t>. И коннекторы. Эндпойнты к которым цепляемся, и с которых придут.</w:t>
      </w:r>
    </w:p>
  </w:comment>
  <w:comment w:id="28" w:author="User" w:date="2026-03-13T12:02:00Z" w:initials="U">
    <w:p>
      <w:pPr>
        <w:overflowPunct w:val="false"/>
        <w:jc w:val="start"/>
        <w:rPr/>
      </w:pPr>
      <w:r>
        <w:annotationRef/>
      </w:r>
      <w:r>
        <w:rPr>
          <w:rFonts w:cs="DejaVu Sans" w:ascii="Liberation Serif" w:hAnsi="Liberation Serif" w:eastAsia="DejaVu Sans"/>
          <w:lang w:bidi="en-US" w:eastAsia="en-US" w:val="en-US"/>
        </w:rPr>
        <w:t>Не мы</w:t>
      </w:r>
    </w:p>
    <w:p>
      <w:pPr>
        <w:overflowPunct w:val="false"/>
        <w:jc w:val="start"/>
        <w:rPr/>
      </w:pPr>
      <w:r>
        <w:rPr>
          <w:rFonts w:cs="DejaVu Sans" w:ascii="Liberation Serif" w:hAnsi="Liberation Serif" w:eastAsia="DejaVu Sans"/>
          <w:lang w:bidi="en-US" w:val="en-US" w:eastAsia="en-US"/>
        </w:rPr>
        <w:t xml:space="preserve">Но мы будем с ним взаимодействовать. Ин расширяет Это вл. Частью пакета сведений. . Мы собираем </w:t>
      </w:r>
      <w:r>
        <w:rPr>
          <w:rFonts w:cs="DejaVu Sans" w:ascii="Liberation Serif" w:hAnsi="Liberation Serif" w:eastAsia="DejaVu Sans"/>
          <w:lang w:bidi="en-US" w:eastAsia="en-US" w:val="en-US"/>
        </w:rPr>
        <w:t>XML</w:t>
      </w:r>
      <w:r>
        <w:rPr>
          <w:rFonts w:cs="DejaVu Sans" w:ascii="Liberation Serif" w:hAnsi="Liberation Serif" w:eastAsia="DejaVu Sans"/>
          <w:lang w:bidi="en-US" w:val="en-US" w:eastAsia="en-US"/>
        </w:rPr>
        <w:t xml:space="preserve"> плюс то, что отдал нам СДБ, - уходит в сторону с аттачем. </w:t>
      </w:r>
    </w:p>
  </w:comment>
  <w:comment w:id="29" w:author="User" w:date="2026-03-13T10:40:00Z" w:initials="U">
    <w:p>
      <w:pPr>
        <w:overflowPunct w:val="false"/>
        <w:jc w:val="start"/>
        <w:rPr/>
      </w:pPr>
      <w:r>
        <w:annotationRef/>
      </w:r>
      <w:r>
        <w:rPr>
          <w:rFonts w:cs="DejaVu Sans" w:ascii="Liberation Serif" w:hAnsi="Liberation Serif" w:eastAsia="DejaVu Sans"/>
          <w:lang w:bidi="en-US" w:eastAsia="en-US" w:val="en-US"/>
        </w:rPr>
        <w:t>Этот сервис делаем мы? Нет</w:t>
      </w:r>
    </w:p>
  </w:comment>
  <w:comment w:id="30" w:author="User" w:date="2026-03-13T10:49:00Z" w:initials="U">
    <w:p>
      <w:pPr>
        <w:overflowPunct w:val="false"/>
        <w:jc w:val="start"/>
        <w:rPr/>
      </w:pPr>
      <w:r>
        <w:annotationRef/>
      </w:r>
      <w:r>
        <w:rPr>
          <w:rFonts w:cs="DejaVu Sans" w:ascii="Liberation Serif" w:hAnsi="Liberation Serif" w:eastAsia="DejaVu Sans"/>
          <w:lang w:bidi="en-US" w:eastAsia="en-US" w:val="en-US"/>
        </w:rPr>
        <w:t>Через ФВД подгружать файлы?</w:t>
      </w:r>
    </w:p>
    <w:p>
      <w:pPr>
        <w:overflowPunct w:val="false"/>
        <w:jc w:val="start"/>
        <w:rPr/>
      </w:pPr>
      <w:r>
        <w:rPr>
          <w:rFonts w:cs="DejaVu Sans" w:ascii="Liberation Serif" w:hAnsi="Liberation Serif" w:eastAsia="DejaVu Sans"/>
          <w:lang w:bidi="en-US" w:val="en-US" w:eastAsia="en-US"/>
        </w:rPr>
      </w:r>
    </w:p>
  </w:comment>
  <w:comment w:id="31" w:author="User" w:date="2026-03-13T10:41:00Z" w:initials="U">
    <w:p>
      <w:pPr>
        <w:overflowPunct w:val="false"/>
        <w:jc w:val="start"/>
        <w:rPr/>
      </w:pPr>
      <w:r>
        <w:annotationRef/>
      </w:r>
      <w:r>
        <w:rPr>
          <w:rFonts w:cs="DejaVu Sans" w:ascii="Liberation Serif" w:hAnsi="Liberation Serif" w:eastAsia="DejaVu Sans"/>
          <w:lang w:bidi="en-US" w:eastAsia="en-US" w:val="en-US"/>
        </w:rPr>
        <w:t>4.1.4 делаем мы? Нет, Сбер.</w:t>
      </w:r>
    </w:p>
  </w:comment>
  <w:comment w:id="32" w:author="User" w:date="2026-03-13T12:10:00Z" w:initials="U">
    <w:p>
      <w:pPr>
        <w:overflowPunct w:val="false"/>
        <w:jc w:val="start"/>
        <w:rPr/>
      </w:pPr>
      <w:r>
        <w:annotationRef/>
      </w:r>
      <w:r>
        <w:rPr>
          <w:rFonts w:cs="DejaVu Sans" w:ascii="Liberation Serif" w:hAnsi="Liberation Serif" w:eastAsia="DejaVu Sans"/>
          <w:lang w:bidi="en-US" w:eastAsia="en-US" w:val="en-US"/>
        </w:rPr>
        <w:t>Из АРМ. Подтвердился/нет, были приняты меры/нет. ТОР о КНМ. Эффективность считаем мы.По скольким сигналам прошли меры и пр.</w:t>
      </w:r>
    </w:p>
  </w:comment>
  <w:comment w:id="33" w:author="User" w:date="2026-03-13T10:42:00Z" w:initials="U">
    <w:p>
      <w:pPr>
        <w:overflowPunct w:val="false"/>
        <w:jc w:val="start"/>
        <w:rPr/>
      </w:pPr>
      <w:r>
        <w:annotationRef/>
      </w:r>
      <w:r>
        <w:rPr>
          <w:rFonts w:cs="DejaVu Sans" w:ascii="Liberation Serif" w:hAnsi="Liberation Serif" w:eastAsia="DejaVu Sans"/>
          <w:lang w:bidi="en-US" w:eastAsia="en-US" w:val="en-US"/>
        </w:rPr>
        <w:t>Узнаем позднее? Это чисто визуализация предоставленной нам информации? Пакет с пакетами. Пакт ушел-пришел. Мониторинг взаимодействия со СМЭВ.Тех. отчет.</w:t>
      </w:r>
    </w:p>
  </w:comment>
  <w:comment w:id="34" w:author="User" w:date="2026-03-13T12:12:00Z" w:initials="U">
    <w:p>
      <w:pPr>
        <w:overflowPunct w:val="false"/>
        <w:jc w:val="start"/>
        <w:rPr/>
      </w:pPr>
      <w:r>
        <w:annotationRef/>
      </w:r>
      <w:r>
        <w:rPr>
          <w:rFonts w:cs="DejaVu Sans" w:ascii="Liberation Serif" w:hAnsi="Liberation Serif" w:eastAsia="DejaVu Sans"/>
          <w:lang w:bidi="en-US" w:eastAsia="en-US" w:val="en-US"/>
        </w:rPr>
        <w:t xml:space="preserve">Направление. Будет вкладка с 1-4 пунктами. </w:t>
      </w:r>
    </w:p>
  </w:comment>
  <w:comment w:id="35" w:author="User" w:date="2026-03-13T10:53:00Z" w:initials="U">
    <w:p>
      <w:pPr>
        <w:overflowPunct w:val="false"/>
        <w:jc w:val="start"/>
        <w:rPr/>
      </w:pPr>
      <w:r>
        <w:annotationRef/>
      </w:r>
      <w:r>
        <w:rPr>
          <w:rFonts w:cs="DejaVu Sans" w:ascii="Liberation Serif" w:hAnsi="Liberation Serif" w:eastAsia="DejaVu Sans"/>
          <w:lang w:bidi="en-US" w:eastAsia="en-US" w:val="en-US"/>
        </w:rPr>
        <w:t>Что из пяти функций за нами?</w:t>
      </w:r>
    </w:p>
    <w:p>
      <w:pPr>
        <w:overflowPunct w:val="false"/>
        <w:jc w:val="start"/>
        <w:rPr/>
      </w:pPr>
      <w:r>
        <w:rPr>
          <w:rFonts w:cs="DejaVu Sans" w:ascii="Liberation Serif" w:hAnsi="Liberation Serif" w:eastAsia="DejaVu Sans"/>
          <w:lang w:bidi="en-US" w:val="en-US" w:eastAsia="en-US"/>
        </w:rPr>
        <w:t>1 и 5</w:t>
      </w:r>
    </w:p>
    <w:p>
      <w:pPr>
        <w:overflowPunct w:val="false"/>
        <w:jc w:val="start"/>
        <w:rPr/>
      </w:pPr>
      <w:r>
        <w:rPr>
          <w:rFonts w:cs="DejaVu Sans" w:ascii="Liberation Serif" w:hAnsi="Liberation Serif" w:eastAsia="DejaVu Sans"/>
          <w:lang w:bidi="en-US" w:val="en-US" w:eastAsia="en-US"/>
        </w:rPr>
      </w:r>
    </w:p>
  </w:comment>
  <w:comment w:id="36" w:author="User" w:date="2026-03-13T10:52:00Z" w:initials="U">
    <w:p>
      <w:pPr>
        <w:overflowPunct w:val="false"/>
        <w:jc w:val="start"/>
        <w:rPr/>
      </w:pPr>
      <w:r>
        <w:annotationRef/>
      </w:r>
      <w:r>
        <w:rPr>
          <w:rFonts w:cs="DejaVu Sans" w:ascii="Liberation Serif" w:hAnsi="Liberation Serif" w:eastAsia="DejaVu Sans"/>
          <w:lang w:bidi="en-US" w:eastAsia="en-US" w:val="en-US"/>
        </w:rPr>
        <w:t>Это настраивает Заказчик?</w:t>
      </w:r>
    </w:p>
  </w:comment>
  <w:comment w:id="37" w:author="User" w:date="2026-03-13T10:54:00Z" w:initials="U">
    <w:p>
      <w:pPr>
        <w:overflowPunct w:val="false"/>
        <w:jc w:val="start"/>
        <w:rPr/>
      </w:pPr>
      <w:r>
        <w:annotationRef/>
      </w:r>
      <w:r>
        <w:rPr>
          <w:rFonts w:cs="DejaVu Sans" w:ascii="Liberation Serif" w:hAnsi="Liberation Serif" w:eastAsia="DejaVu Sans"/>
          <w:lang w:bidi="en-US" w:eastAsia="en-US" w:val="en-US"/>
        </w:rPr>
        <w:t>Обмен разрабатывает/настраивает Заказчик?</w:t>
      </w:r>
    </w:p>
  </w:comment>
  <w:comment w:id="38" w:author="User" w:date="2026-03-13T10:55:00Z" w:initials="U">
    <w:p>
      <w:pPr>
        <w:overflowPunct w:val="false"/>
        <w:jc w:val="start"/>
        <w:rPr/>
      </w:pPr>
      <w:r>
        <w:annotationRef/>
      </w:r>
      <w:r>
        <w:rPr>
          <w:rFonts w:cs="DejaVu Sans" w:ascii="Liberation Serif" w:hAnsi="Liberation Serif" w:eastAsia="DejaVu Sans"/>
          <w:lang w:bidi="en-US" w:eastAsia="en-US" w:val="en-US"/>
        </w:rPr>
        <w:t>Для какого исполнителя? В ГосТехе или для нас?</w:t>
      </w:r>
    </w:p>
    <w:p>
      <w:pPr>
        <w:overflowPunct w:val="false"/>
        <w:jc w:val="start"/>
        <w:rPr/>
      </w:pPr>
      <w:r>
        <w:rPr>
          <w:rFonts w:cs="DejaVu Sans" w:ascii="Liberation Serif" w:hAnsi="Liberation Serif" w:eastAsia="DejaVu Sans"/>
          <w:lang w:bidi="en-US" w:val="en-US" w:eastAsia="en-US"/>
        </w:rPr>
        <w:t>,</w:t>
      </w:r>
    </w:p>
  </w:comment>
  <w:comment w:id="39" w:author="User" w:date="2026-03-13T10:55:00Z" w:initials="U">
    <w:p>
      <w:pPr>
        <w:overflowPunct w:val="false"/>
        <w:jc w:val="start"/>
        <w:rPr/>
      </w:pPr>
      <w:r>
        <w:annotationRef/>
      </w:r>
      <w:r>
        <w:rPr>
          <w:rFonts w:cs="DejaVu Sans" w:ascii="Liberation Serif" w:hAnsi="Liberation Serif" w:eastAsia="DejaVu Sans"/>
          <w:lang w:bidi="en-US" w:eastAsia="en-US" w:val="en-US"/>
        </w:rPr>
        <w:t>Насколько актуален срок?</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Ex w15:paraId="08000000" w15:paraIdParent="07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Calibri">
    <w:charset w:val="01"/>
    <w:family w:val="roman"/>
    <w:pitch w:val="default"/>
  </w:font>
  <w:font w:name="Arial">
    <w:charset w:val="01"/>
    <w:family w:val="swiss"/>
    <w:pitch w:val="default"/>
  </w:font>
  <w:font w:name="Segoe UI">
    <w:charset w:val="01"/>
    <w:family w:val="swiss"/>
    <w:pitch w:val="default"/>
  </w:font>
  <w:font w:name="Liberation Sans">
    <w:altName w:val="Arial"/>
    <w:charset w:val="01" w:characterSet="utf-8"/>
    <w:family w:val="swiss"/>
    <w:pitch w:val="variable"/>
  </w:font>
  <w:font w:name="Microsoft Sans Serif">
    <w:charset w:val="01"/>
    <w:family w:val="swiss"/>
    <w:pitch w:val="default"/>
  </w:font>
  <w:font w:name="Times New Roman Полужирный">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25540369"/>
      <w:docPartObj>
        <w:docPartGallery w:val="AutoText"/>
      </w:docPartObj>
    </w:sdtPr>
    <w:sdtContent>
      <w:p>
        <w:pPr>
          <w:pStyle w:val="Header"/>
          <w:jc w:val="center"/>
          <w:rPr/>
        </w:pPr>
        <w:r>
          <w:rPr/>
          <w:fldChar w:fldCharType="begin"/>
        </w:r>
        <w:r>
          <w:rPr/>
          <w:instrText xml:space="preserve"> PAGE </w:instrText>
        </w:r>
        <w:r>
          <w:rPr/>
          <w:fldChar w:fldCharType="separate"/>
        </w:r>
        <w:r>
          <w:rPr/>
          <w:t>1</w:t>
        </w:r>
        <w:r>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25540369"/>
      <w:docPartObj>
        <w:docPartGallery w:val="AutoText"/>
      </w:docPartObj>
    </w:sdtPr>
    <w:sdtContent>
      <w:p>
        <w:pPr>
          <w:pStyle w:val="Header"/>
          <w:jc w:val="center"/>
          <w:rPr/>
        </w:pPr>
        <w:r>
          <w:rPr/>
          <w:fldChar w:fldCharType="begin"/>
        </w:r>
        <w:r>
          <w:rPr/>
          <w:instrText xml:space="preserve"> PAGE </w:instrText>
        </w:r>
        <w:r>
          <w:rPr/>
          <w:fldChar w:fldCharType="separate"/>
        </w:r>
        <w:r>
          <w:rPr/>
          <w:t>1</w:t>
        </w:r>
        <w:r>
          <w:rPr/>
          <w:fldChar w:fldCharType="end"/>
        </w:r>
      </w:p>
    </w:sdtContent>
  </w:sdt>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79228168"/>
      <w:docPartObj>
        <w:docPartGallery w:val="AutoText"/>
      </w:docPartObj>
    </w:sdtPr>
    <w:sdtContent>
      <w:p>
        <w:pPr>
          <w:pStyle w:val="Header"/>
          <w:jc w:val="center"/>
          <w:rPr/>
        </w:pPr>
        <w:r>
          <w:rPr/>
          <w:fldChar w:fldCharType="begin"/>
        </w:r>
        <w:r>
          <w:rPr/>
          <w:instrText xml:space="preserve"> PAGE </w:instrText>
        </w:r>
        <w:r>
          <w:rPr/>
          <w:fldChar w:fldCharType="separate"/>
        </w:r>
        <w:r>
          <w:rPr/>
          <w:t>2</w:t>
        </w:r>
        <w:r>
          <w:rPr/>
          <w:fldChar w:fldCharType="end"/>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79228168"/>
      <w:docPartObj>
        <w:docPartGallery w:val="AutoText"/>
      </w:docPartObj>
    </w:sdtPr>
    <w:sdtContent>
      <w:p>
        <w:pPr>
          <w:pStyle w:val="Header"/>
          <w:jc w:val="center"/>
          <w:rPr/>
        </w:pPr>
        <w:r>
          <w:rPr/>
          <w:fldChar w:fldCharType="begin"/>
        </w:r>
        <w:r>
          <w:rPr/>
          <w:instrText xml:space="preserve"> PAGE </w:instrText>
        </w:r>
        <w:r>
          <w:rPr/>
          <w:fldChar w:fldCharType="separate"/>
        </w:r>
        <w:r>
          <w:rPr/>
          <w:t>2</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4">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1069" w:hanging="360"/>
      </w:pPr>
      <w:rPr>
        <w:rFonts w:ascii="Symbol" w:hAnsi="Symbol" w:cs="Symbol" w:hint="default"/>
        <w:color w:val="auto"/>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6">
    <w:lvl w:ilvl="0">
      <w:start w:val="1"/>
      <w:numFmt w:val="bullet"/>
      <w:lvlText w:val=""/>
      <w:lvlJc w:val="start"/>
      <w:pPr>
        <w:tabs>
          <w:tab w:val="num" w:pos="0"/>
        </w:tabs>
        <w:ind w:start="1151" w:hanging="360"/>
      </w:pPr>
      <w:rPr>
        <w:rFonts w:ascii="Symbol" w:hAnsi="Symbol" w:cs="Symbol" w:hint="default"/>
      </w:rPr>
    </w:lvl>
    <w:lvl w:ilvl="1">
      <w:start w:val="1"/>
      <w:numFmt w:val="bullet"/>
      <w:lvlText w:val="o"/>
      <w:lvlJc w:val="start"/>
      <w:pPr>
        <w:tabs>
          <w:tab w:val="num" w:pos="0"/>
        </w:tabs>
        <w:ind w:start="1871" w:hanging="360"/>
      </w:pPr>
      <w:rPr>
        <w:rFonts w:ascii="Courier New" w:hAnsi="Courier New" w:cs="Courier New" w:hint="default"/>
      </w:rPr>
    </w:lvl>
    <w:lvl w:ilvl="2">
      <w:start w:val="1"/>
      <w:numFmt w:val="bullet"/>
      <w:lvlText w:val=""/>
      <w:lvlJc w:val="start"/>
      <w:pPr>
        <w:tabs>
          <w:tab w:val="num" w:pos="0"/>
        </w:tabs>
        <w:ind w:start="2591" w:hanging="360"/>
      </w:pPr>
      <w:rPr>
        <w:rFonts w:ascii="Wingdings" w:hAnsi="Wingdings" w:cs="Wingdings" w:hint="default"/>
      </w:rPr>
    </w:lvl>
    <w:lvl w:ilvl="3">
      <w:start w:val="1"/>
      <w:numFmt w:val="bullet"/>
      <w:lvlText w:val=""/>
      <w:lvlJc w:val="start"/>
      <w:pPr>
        <w:tabs>
          <w:tab w:val="num" w:pos="0"/>
        </w:tabs>
        <w:ind w:start="3311" w:hanging="360"/>
      </w:pPr>
      <w:rPr>
        <w:rFonts w:ascii="Symbol" w:hAnsi="Symbol" w:cs="Symbol" w:hint="default"/>
      </w:rPr>
    </w:lvl>
    <w:lvl w:ilvl="4">
      <w:start w:val="1"/>
      <w:numFmt w:val="bullet"/>
      <w:lvlText w:val="o"/>
      <w:lvlJc w:val="start"/>
      <w:pPr>
        <w:tabs>
          <w:tab w:val="num" w:pos="0"/>
        </w:tabs>
        <w:ind w:start="4031" w:hanging="360"/>
      </w:pPr>
      <w:rPr>
        <w:rFonts w:ascii="Courier New" w:hAnsi="Courier New" w:cs="Courier New" w:hint="default"/>
      </w:rPr>
    </w:lvl>
    <w:lvl w:ilvl="5">
      <w:start w:val="1"/>
      <w:numFmt w:val="bullet"/>
      <w:lvlText w:val=""/>
      <w:lvlJc w:val="start"/>
      <w:pPr>
        <w:tabs>
          <w:tab w:val="num" w:pos="0"/>
        </w:tabs>
        <w:ind w:start="4751" w:hanging="360"/>
      </w:pPr>
      <w:rPr>
        <w:rFonts w:ascii="Wingdings" w:hAnsi="Wingdings" w:cs="Wingdings" w:hint="default"/>
      </w:rPr>
    </w:lvl>
    <w:lvl w:ilvl="6">
      <w:start w:val="1"/>
      <w:numFmt w:val="bullet"/>
      <w:lvlText w:val=""/>
      <w:lvlJc w:val="start"/>
      <w:pPr>
        <w:tabs>
          <w:tab w:val="num" w:pos="0"/>
        </w:tabs>
        <w:ind w:start="5471" w:hanging="360"/>
      </w:pPr>
      <w:rPr>
        <w:rFonts w:ascii="Symbol" w:hAnsi="Symbol" w:cs="Symbol" w:hint="default"/>
      </w:rPr>
    </w:lvl>
    <w:lvl w:ilvl="7">
      <w:start w:val="1"/>
      <w:numFmt w:val="bullet"/>
      <w:lvlText w:val="o"/>
      <w:lvlJc w:val="start"/>
      <w:pPr>
        <w:tabs>
          <w:tab w:val="num" w:pos="0"/>
        </w:tabs>
        <w:ind w:start="6191" w:hanging="360"/>
      </w:pPr>
      <w:rPr>
        <w:rFonts w:ascii="Courier New" w:hAnsi="Courier New" w:cs="Courier New" w:hint="default"/>
      </w:rPr>
    </w:lvl>
    <w:lvl w:ilvl="8">
      <w:start w:val="1"/>
      <w:numFmt w:val="bullet"/>
      <w:lvlText w:val=""/>
      <w:lvlJc w:val="start"/>
      <w:pPr>
        <w:tabs>
          <w:tab w:val="num" w:pos="0"/>
        </w:tabs>
        <w:ind w:start="6911" w:hanging="360"/>
      </w:pPr>
      <w:rPr>
        <w:rFonts w:ascii="Wingdings" w:hAnsi="Wingdings" w:cs="Wingdings" w:hint="default"/>
      </w:rPr>
    </w:lvl>
  </w:abstractNum>
  <w:abstractNum w:abstractNumId="7">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1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8">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9">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0">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4">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5">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6">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7">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ind w:firstLine="709"/>
      <w:jc w:val="both"/>
    </w:pPr>
    <w:rPr>
      <w:rFonts w:ascii="Times New Roman" w:hAnsi="Times New Roman" w:eastAsia="Times New Roman" w:cs="Times New Roman"/>
      <w:color w:val="auto"/>
      <w:kern w:val="0"/>
      <w:sz w:val="24"/>
      <w:szCs w:val="24"/>
      <w:lang w:val="ru-RU" w:eastAsia="ru-RU" w:bidi="ar-SA"/>
      <w14:ligatures w14:val="standardContextual"/>
    </w:rPr>
  </w:style>
  <w:style w:type="paragraph" w:styleId="Heading1">
    <w:name w:val="heading 1"/>
    <w:basedOn w:val="Normal"/>
    <w:next w:val="Normal"/>
    <w:link w:val="1"/>
    <w:uiPriority w:val="9"/>
    <w:qFormat/>
    <w:pPr>
      <w:keepNext w:val="true"/>
      <w:keepLines/>
      <w:numPr>
        <w:ilvl w:val="0"/>
        <w:numId w:val="1"/>
      </w:numPr>
      <w:spacing w:before="120" w:after="0"/>
      <w:outlineLvl w:val="0"/>
    </w:pPr>
    <w:rPr>
      <w:rFonts w:eastAsia="Arial" w:cs="Arial" w:cstheme="majorBidi" w:eastAsiaTheme="majorEastAsia"/>
      <w:b/>
      <w:smallCaps/>
      <w:szCs w:val="32"/>
    </w:rPr>
  </w:style>
  <w:style w:type="paragraph" w:styleId="Heading2">
    <w:name w:val="heading 2"/>
    <w:basedOn w:val="Normal"/>
    <w:next w:val="Normal"/>
    <w:link w:val="2"/>
    <w:uiPriority w:val="9"/>
    <w:unhideWhenUsed/>
    <w:qFormat/>
    <w:pPr>
      <w:keepNext w:val="true"/>
      <w:keepLines/>
      <w:numPr>
        <w:ilvl w:val="1"/>
        <w:numId w:val="1"/>
      </w:numPr>
      <w:spacing w:before="120" w:after="0"/>
      <w:outlineLvl w:val="1"/>
    </w:pPr>
    <w:rPr>
      <w:rFonts w:eastAsia="Arial" w:cs="Arial" w:cstheme="majorBidi" w:eastAsiaTheme="majorEastAsia"/>
      <w:b/>
      <w:szCs w:val="26"/>
    </w:rPr>
  </w:style>
  <w:style w:type="paragraph" w:styleId="Heading3">
    <w:name w:val="heading 3"/>
    <w:basedOn w:val="Normal"/>
    <w:next w:val="Normal"/>
    <w:link w:val="3"/>
    <w:uiPriority w:val="9"/>
    <w:unhideWhenUsed/>
    <w:qFormat/>
    <w:pPr>
      <w:keepNext w:val="true"/>
      <w:keepLines/>
      <w:numPr>
        <w:ilvl w:val="2"/>
        <w:numId w:val="1"/>
      </w:numPr>
      <w:spacing w:before="120" w:after="0"/>
      <w:outlineLvl w:val="2"/>
    </w:pPr>
    <w:rPr>
      <w:rFonts w:eastAsia="Arial" w:cs="Arial" w:cstheme="majorBidi" w:eastAsiaTheme="majorEastAsia"/>
      <w:b/>
    </w:rPr>
  </w:style>
  <w:style w:type="paragraph" w:styleId="Heading4">
    <w:name w:val="heading 4"/>
    <w:basedOn w:val="Normal"/>
    <w:next w:val="Normal"/>
    <w:link w:val="4"/>
    <w:uiPriority w:val="9"/>
    <w:unhideWhenUsed/>
    <w:qFormat/>
    <w:pPr>
      <w:keepNext w:val="true"/>
      <w:keepLines/>
      <w:numPr>
        <w:ilvl w:val="3"/>
        <w:numId w:val="1"/>
      </w:numPr>
      <w:spacing w:before="40" w:after="0"/>
      <w:outlineLvl w:val="3"/>
    </w:pPr>
    <w:rPr>
      <w:rFonts w:eastAsia="Arial" w:cs="Arial" w:cstheme="majorBidi" w:eastAsiaTheme="majorEastAsia"/>
      <w:b/>
      <w:iCs/>
    </w:rPr>
  </w:style>
  <w:style w:type="paragraph" w:styleId="Heading5">
    <w:name w:val="heading 5"/>
    <w:basedOn w:val="Normal"/>
    <w:next w:val="Normal"/>
    <w:link w:val="5"/>
    <w:uiPriority w:val="9"/>
    <w:unhideWhenUsed/>
    <w:qFormat/>
    <w:pPr>
      <w:keepNext w:val="true"/>
      <w:keepLines/>
      <w:numPr>
        <w:ilvl w:val="4"/>
        <w:numId w:val="1"/>
      </w:numPr>
      <w:spacing w:before="40" w:after="0"/>
      <w:outlineLvl w:val="4"/>
    </w:pPr>
    <w:rPr>
      <w:rFonts w:eastAsia="Arial" w:cs="Arial" w:cstheme="majorBidi" w:eastAsiaTheme="majorEastAsia"/>
      <w:b/>
    </w:rPr>
  </w:style>
  <w:style w:type="paragraph" w:styleId="Heading6">
    <w:name w:val="heading 6"/>
    <w:basedOn w:val="Normal"/>
    <w:next w:val="Normal"/>
    <w:link w:val="6"/>
    <w:uiPriority w:val="9"/>
    <w:unhideWhenUsed/>
    <w:qFormat/>
    <w:pPr>
      <w:keepNext w:val="true"/>
      <w:keepLines/>
      <w:numPr>
        <w:ilvl w:val="5"/>
        <w:numId w:val="1"/>
      </w:numPr>
      <w:spacing w:before="40" w:after="0"/>
      <w:outlineLvl w:val="5"/>
    </w:pPr>
    <w:rPr>
      <w:rFonts w:eastAsia="Arial" w:cs="Arial" w:cstheme="majorBidi" w:eastAsiaTheme="majorEastAsia"/>
      <w:b/>
    </w:rPr>
  </w:style>
  <w:style w:type="paragraph" w:styleId="Heading7">
    <w:name w:val="heading 7"/>
    <w:basedOn w:val="Normal"/>
    <w:next w:val="Normal"/>
    <w:link w:val="7"/>
    <w:uiPriority w:val="9"/>
    <w:unhideWhenUsed/>
    <w:qFormat/>
    <w:pPr>
      <w:keepNext w:val="true"/>
      <w:keepLines/>
      <w:numPr>
        <w:ilvl w:val="6"/>
        <w:numId w:val="2"/>
      </w:numPr>
      <w:spacing w:before="40" w:after="0"/>
      <w:ind w:hanging="1296" w:start="1296"/>
      <w:outlineLvl w:val="6"/>
    </w:pPr>
    <w:rPr>
      <w:rFonts w:eastAsia="Arial" w:cs="Arial" w:cstheme="majorBidi" w:eastAsiaTheme="majorEastAsia"/>
      <w:b/>
      <w:iCs/>
    </w:rPr>
  </w:style>
  <w:style w:type="paragraph" w:styleId="Heading8">
    <w:name w:val="heading 8"/>
    <w:basedOn w:val="Normal"/>
    <w:next w:val="Normal"/>
    <w:link w:val="8"/>
    <w:uiPriority w:val="9"/>
    <w:semiHidden/>
    <w:unhideWhenUsed/>
    <w:qFormat/>
    <w:pPr>
      <w:keepNext w:val="true"/>
      <w:keepLines/>
      <w:outlineLvl w:val="7"/>
    </w:pPr>
    <w:rPr>
      <w:rFonts w:ascii="Calibri" w:hAnsi="Calibri" w:eastAsia="Arial" w:cs="Arial" w:asciiTheme="minorHAnsi" w:cstheme="majorBidi" w:eastAsiaTheme="majorEastAsia" w:hAnsiTheme="minorHAnsi"/>
      <w:i/>
      <w:iCs/>
      <w:color w:themeColor="text1" w:themeTint="d9" w:val="262626"/>
    </w:rPr>
  </w:style>
  <w:style w:type="paragraph" w:styleId="Heading9">
    <w:name w:val="heading 9"/>
    <w:basedOn w:val="Normal"/>
    <w:next w:val="Normal"/>
    <w:link w:val="9"/>
    <w:uiPriority w:val="9"/>
    <w:semiHidden/>
    <w:unhideWhenUsed/>
    <w:qFormat/>
    <w:pPr>
      <w:keepNext w:val="true"/>
      <w:keepLines/>
      <w:outlineLvl w:val="8"/>
    </w:pPr>
    <w:rPr>
      <w:rFonts w:ascii="Calibri" w:hAnsi="Calibri" w:eastAsia="Arial" w:cs="Arial" w:asciiTheme="minorHAnsi" w:cstheme="majorBidi" w:eastAsiaTheme="majorEastAsia" w:hAnsiTheme="minorHAnsi"/>
      <w:color w:themeColor="text1" w:themeTint="d9" w:val="262626"/>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Pr>
      <w:sz w:val="16"/>
      <w:szCs w:val="16"/>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uiPriority w:val="99"/>
    <w:unhideWhenUsed/>
    <w:rPr>
      <w:color w:themeColor="hyperlink" w:val="0563C1"/>
      <w:u w:val="single"/>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basedOn w:val="DefaultParagraphFont"/>
    <w:uiPriority w:val="35"/>
    <w:qFormat/>
    <w:rPr>
      <w:b/>
      <w:bCs/>
      <w:color w:themeColor="accent1" w:val="4472C4"/>
      <w:sz w:val="18"/>
      <w:szCs w:val="18"/>
    </w:rPr>
  </w:style>
  <w:style w:type="character" w:styleId="FootnoteTextChar" w:customStyle="1">
    <w:name w:val="Footnote Text Char"/>
    <w:uiPriority w:val="99"/>
    <w:qFormat/>
    <w:rPr>
      <w:sz w:val="18"/>
    </w:rPr>
  </w:style>
  <w:style w:type="character" w:styleId="Style5" w:customStyle="1">
    <w:name w:val="Текст концевой сноски Знак"/>
    <w:link w:val="EndnoteText"/>
    <w:uiPriority w:val="99"/>
    <w:qFormat/>
    <w:rPr>
      <w:sz w:val="20"/>
    </w:rPr>
  </w:style>
  <w:style w:type="character" w:styleId="Style6" w:customStyle="1">
    <w:name w:val="Заголовок Знак"/>
    <w:basedOn w:val="DefaultParagraphFont"/>
    <w:link w:val="Title"/>
    <w:uiPriority w:val="10"/>
    <w:qFormat/>
    <w:rPr>
      <w:rFonts w:ascii="Times New Roman" w:hAnsi="Times New Roman" w:eastAsia="Arial" w:cs="Arial" w:cstheme="majorBidi" w:eastAsiaTheme="majorEastAsia"/>
      <w:b/>
      <w:spacing w:val="-10"/>
      <w:sz w:val="24"/>
      <w:szCs w:val="56"/>
      <w:lang w:eastAsia="ru-RU"/>
    </w:rPr>
  </w:style>
  <w:style w:type="character" w:styleId="1" w:customStyle="1">
    <w:name w:val="Заголовок 1 Знак"/>
    <w:basedOn w:val="DefaultParagraphFont"/>
    <w:link w:val="Heading1"/>
    <w:uiPriority w:val="9"/>
    <w:qFormat/>
    <w:rPr>
      <w:rFonts w:ascii="Times New Roman" w:hAnsi="Times New Roman" w:eastAsia="Arial" w:cs="Arial" w:cstheme="majorBidi" w:eastAsiaTheme="majorEastAsia"/>
      <w:b/>
      <w:smallCaps/>
      <w:sz w:val="24"/>
      <w:szCs w:val="32"/>
      <w:lang w:eastAsia="ru-RU"/>
    </w:rPr>
  </w:style>
  <w:style w:type="character" w:styleId="2" w:customStyle="1">
    <w:name w:val="Заголовок 2 Знак"/>
    <w:basedOn w:val="DefaultParagraphFont"/>
    <w:link w:val="Heading2"/>
    <w:uiPriority w:val="9"/>
    <w:qFormat/>
    <w:rPr>
      <w:rFonts w:ascii="Times New Roman" w:hAnsi="Times New Roman" w:eastAsia="Arial" w:cs="Arial" w:cstheme="majorBidi" w:eastAsiaTheme="majorEastAsia"/>
      <w:b/>
      <w:sz w:val="24"/>
      <w:szCs w:val="26"/>
      <w:lang w:eastAsia="ru-RU"/>
    </w:rPr>
  </w:style>
  <w:style w:type="character" w:styleId="3" w:customStyle="1">
    <w:name w:val="Заголовок 3 Знак"/>
    <w:basedOn w:val="DefaultParagraphFont"/>
    <w:link w:val="Heading3"/>
    <w:uiPriority w:val="9"/>
    <w:qFormat/>
    <w:rPr>
      <w:rFonts w:ascii="Times New Roman" w:hAnsi="Times New Roman" w:eastAsia="Arial" w:cs="Arial" w:cstheme="majorBidi" w:eastAsiaTheme="majorEastAsia"/>
      <w:b/>
      <w:sz w:val="24"/>
      <w:szCs w:val="24"/>
      <w:lang w:eastAsia="ru-RU"/>
    </w:rPr>
  </w:style>
  <w:style w:type="character" w:styleId="4" w:customStyle="1">
    <w:name w:val="Заголовок 4 Знак"/>
    <w:basedOn w:val="DefaultParagraphFont"/>
    <w:link w:val="Heading4"/>
    <w:uiPriority w:val="9"/>
    <w:qFormat/>
    <w:rPr>
      <w:rFonts w:ascii="Times New Roman" w:hAnsi="Times New Roman" w:eastAsia="Arial" w:cs="Arial" w:cstheme="majorBidi" w:eastAsiaTheme="majorEastAsia"/>
      <w:b/>
      <w:iCs/>
      <w:sz w:val="24"/>
      <w:szCs w:val="24"/>
      <w:lang w:eastAsia="ru-RU"/>
    </w:rPr>
  </w:style>
  <w:style w:type="character" w:styleId="5" w:customStyle="1">
    <w:name w:val="Заголовок 5 Знак"/>
    <w:basedOn w:val="DefaultParagraphFont"/>
    <w:link w:val="Heading5"/>
    <w:uiPriority w:val="9"/>
    <w:qFormat/>
    <w:rPr>
      <w:rFonts w:ascii="Times New Roman" w:hAnsi="Times New Roman" w:eastAsia="Arial" w:cs="Arial" w:cstheme="majorBidi" w:eastAsiaTheme="majorEastAsia"/>
      <w:b/>
      <w:sz w:val="24"/>
      <w:szCs w:val="24"/>
      <w:lang w:eastAsia="ru-RU"/>
    </w:rPr>
  </w:style>
  <w:style w:type="character" w:styleId="Style7" w:customStyle="1">
    <w:name w:val="Подзаголовок Знак"/>
    <w:basedOn w:val="DefaultParagraphFont"/>
    <w:link w:val="Subtitle"/>
    <w:uiPriority w:val="11"/>
    <w:qFormat/>
    <w:rPr>
      <w:rFonts w:ascii="Times New Roman" w:hAnsi="Times New Roman" w:eastAsia="Arial" w:eastAsiaTheme="minorEastAsia"/>
      <w:b/>
      <w:bCs/>
      <w:sz w:val="24"/>
      <w:lang w:eastAsia="ru-RU"/>
    </w:rPr>
  </w:style>
  <w:style w:type="character" w:styleId="6" w:customStyle="1">
    <w:name w:val="Заголовок 6 Знак"/>
    <w:basedOn w:val="DefaultParagraphFont"/>
    <w:link w:val="Heading6"/>
    <w:uiPriority w:val="9"/>
    <w:qFormat/>
    <w:rPr>
      <w:rFonts w:ascii="Times New Roman" w:hAnsi="Times New Roman" w:eastAsia="Arial" w:cs="Arial" w:cstheme="majorBidi" w:eastAsiaTheme="majorEastAsia"/>
      <w:b/>
      <w:sz w:val="24"/>
      <w:szCs w:val="24"/>
      <w:lang w:eastAsia="ru-RU"/>
    </w:rPr>
  </w:style>
  <w:style w:type="character" w:styleId="7" w:customStyle="1">
    <w:name w:val="Заголовок 7 Знак"/>
    <w:basedOn w:val="DefaultParagraphFont"/>
    <w:link w:val="Heading7"/>
    <w:uiPriority w:val="9"/>
    <w:qFormat/>
    <w:rPr>
      <w:rFonts w:ascii="Times New Roman" w:hAnsi="Times New Roman" w:eastAsia="Arial" w:cs="Arial" w:cstheme="majorBidi" w:eastAsiaTheme="majorEastAsia"/>
      <w:b/>
      <w:iCs/>
      <w:sz w:val="24"/>
      <w:szCs w:val="24"/>
      <w:lang w:eastAsia="ru-RU"/>
    </w:rPr>
  </w:style>
  <w:style w:type="character" w:styleId="Style8" w:customStyle="1">
    <w:name w:val="Абзац списка Знак"/>
    <w:link w:val="ListParagraph"/>
    <w:uiPriority w:val="34"/>
    <w:qFormat/>
    <w:rPr>
      <w:rFonts w:ascii="Times New Roman" w:hAnsi="Times New Roman" w:eastAsia="Times New Roman"/>
      <w:bCs/>
      <w:sz w:val="28"/>
    </w:rPr>
  </w:style>
  <w:style w:type="character" w:styleId="Style9" w:customStyle="1">
    <w:name w:val="Название объекта Знак"/>
    <w:basedOn w:val="DefaultParagraphFont"/>
    <w:link w:val="Caption"/>
    <w:uiPriority w:val="35"/>
    <w:qFormat/>
    <w:rPr>
      <w:rFonts w:ascii="Times New Roman" w:hAnsi="Times New Roman"/>
      <w:iCs/>
      <w:sz w:val="28"/>
      <w:szCs w:val="18"/>
    </w:rPr>
  </w:style>
  <w:style w:type="character" w:styleId="8" w:customStyle="1">
    <w:name w:val="Заголовок 8 Знак"/>
    <w:basedOn w:val="DefaultParagraphFont"/>
    <w:link w:val="Heading8"/>
    <w:uiPriority w:val="9"/>
    <w:semiHidden/>
    <w:qFormat/>
    <w:rPr>
      <w:rFonts w:eastAsia="Arial" w:cs="Arial" w:cstheme="majorBidi" w:eastAsiaTheme="majorEastAsia"/>
      <w:i/>
      <w:iCs/>
      <w:color w:themeColor="text1" w:themeTint="d9" w:val="262626"/>
      <w:sz w:val="28"/>
      <w14:ligatures w14:val="none"/>
    </w:rPr>
  </w:style>
  <w:style w:type="character" w:styleId="9" w:customStyle="1">
    <w:name w:val="Заголовок 9 Знак"/>
    <w:basedOn w:val="DefaultParagraphFont"/>
    <w:link w:val="Heading9"/>
    <w:uiPriority w:val="9"/>
    <w:semiHidden/>
    <w:qFormat/>
    <w:rPr>
      <w:rFonts w:eastAsia="Arial" w:cs="Arial" w:cstheme="majorBidi" w:eastAsiaTheme="majorEastAsia"/>
      <w:color w:themeColor="text1" w:themeTint="d9" w:val="262626"/>
      <w:sz w:val="28"/>
      <w14:ligatures w14:val="none"/>
    </w:rPr>
  </w:style>
  <w:style w:type="character" w:styleId="21" w:customStyle="1">
    <w:name w:val="Цитата 2 Знак"/>
    <w:basedOn w:val="DefaultParagraphFont"/>
    <w:link w:val="Quote"/>
    <w:uiPriority w:val="29"/>
    <w:qFormat/>
    <w:rPr>
      <w:rFonts w:ascii="Times New Roman" w:hAnsi="Times New Roman"/>
      <w:i/>
      <w:iCs/>
      <w:color w:themeColor="text1" w:themeTint="bf" w:val="404040"/>
      <w:sz w:val="28"/>
      <w14:ligatures w14:val="none"/>
    </w:rPr>
  </w:style>
  <w:style w:type="character" w:styleId="11" w:customStyle="1">
    <w:name w:val="Сильное выделение1"/>
    <w:basedOn w:val="DefaultParagraphFont"/>
    <w:uiPriority w:val="21"/>
    <w:qFormat/>
    <w:rPr>
      <w:i/>
      <w:iCs/>
      <w:color w:themeColor="accent1" w:themeShade="bf" w:val="2F5496"/>
    </w:rPr>
  </w:style>
  <w:style w:type="character" w:styleId="Style10" w:customStyle="1">
    <w:name w:val="Выделенная цитата Знак"/>
    <w:basedOn w:val="DefaultParagraphFont"/>
    <w:link w:val="IntenseQuote"/>
    <w:uiPriority w:val="30"/>
    <w:qFormat/>
    <w:rPr>
      <w:rFonts w:ascii="Times New Roman" w:hAnsi="Times New Roman"/>
      <w:i/>
      <w:iCs/>
      <w:color w:themeColor="accent1" w:themeShade="bf" w:val="2F5496"/>
      <w:sz w:val="28"/>
      <w14:ligatures w14:val="none"/>
    </w:rPr>
  </w:style>
  <w:style w:type="character" w:styleId="12" w:customStyle="1">
    <w:name w:val="Сильная ссылка1"/>
    <w:basedOn w:val="DefaultParagraphFont"/>
    <w:uiPriority w:val="32"/>
    <w:qFormat/>
    <w:rPr>
      <w:b/>
      <w:bCs/>
      <w:smallCaps/>
      <w:color w:themeColor="accent1" w:themeShade="bf" w:val="2F5496"/>
      <w:spacing w:val="5"/>
    </w:rPr>
  </w:style>
  <w:style w:type="character" w:styleId="Style11" w:customStyle="1">
    <w:name w:val="Верхний колонтитул Знак"/>
    <w:basedOn w:val="DefaultParagraphFont"/>
    <w:link w:val="Header"/>
    <w:uiPriority w:val="99"/>
    <w:qFormat/>
    <w:rPr>
      <w:rFonts w:ascii="Times New Roman" w:hAnsi="Times New Roman" w:eastAsia="Times New Roman" w:cs="Times New Roman"/>
      <w:sz w:val="24"/>
      <w:szCs w:val="24"/>
      <w:lang w:eastAsia="ru-RU"/>
    </w:rPr>
  </w:style>
  <w:style w:type="character" w:styleId="Style12" w:customStyle="1">
    <w:name w:val="Нижний колонтитул Знак"/>
    <w:basedOn w:val="DefaultParagraphFont"/>
    <w:link w:val="Footer"/>
    <w:uiPriority w:val="99"/>
    <w:qFormat/>
    <w:rPr>
      <w:rFonts w:ascii="Times New Roman" w:hAnsi="Times New Roman" w:eastAsia="Times New Roman" w:cs="Times New Roman"/>
      <w:sz w:val="24"/>
      <w:szCs w:val="24"/>
      <w:lang w:eastAsia="ru-RU"/>
    </w:rPr>
  </w:style>
  <w:style w:type="character" w:styleId="Style13" w:customStyle="1">
    <w:name w:val="Без интервала Знак"/>
    <w:basedOn w:val="DefaultParagraphFont"/>
    <w:link w:val="NoSpacing"/>
    <w:uiPriority w:val="1"/>
    <w:qFormat/>
    <w:rPr>
      <w:rFonts w:ascii="Times New Roman" w:hAnsi="Times New Roman"/>
      <w:sz w:val="24"/>
    </w:rPr>
  </w:style>
  <w:style w:type="character" w:styleId="Style14" w:customStyle="1">
    <w:name w:val="Текст сноски Знак"/>
    <w:basedOn w:val="DefaultParagraphFont"/>
    <w:link w:val="FootnoteText"/>
    <w:uiPriority w:val="99"/>
    <w:semiHidden/>
    <w:qFormat/>
    <w:rPr>
      <w:rFonts w:ascii="Times New Roman" w:hAnsi="Times New Roman" w:eastAsia="Times New Roman" w:cs="Times New Roman"/>
      <w:sz w:val="20"/>
      <w:szCs w:val="20"/>
      <w:lang w:eastAsia="ru-RU"/>
    </w:rPr>
  </w:style>
  <w:style w:type="character" w:styleId="Style15" w:customStyle="1">
    <w:name w:val="Текст примечания Знак"/>
    <w:basedOn w:val="DefaultParagraphFont"/>
    <w:link w:val="CommentText"/>
    <w:uiPriority w:val="99"/>
    <w:qFormat/>
    <w:rPr>
      <w:rFonts w:ascii="Times New Roman" w:hAnsi="Times New Roman" w:eastAsia="Times New Roman" w:cs="Times New Roman"/>
      <w:sz w:val="20"/>
      <w:szCs w:val="20"/>
      <w:lang w:eastAsia="ru-RU"/>
    </w:rPr>
  </w:style>
  <w:style w:type="character" w:styleId="Style16" w:customStyle="1">
    <w:name w:val="Тема примечания Знак"/>
    <w:basedOn w:val="Style15"/>
    <w:link w:val="annotationsubject"/>
    <w:uiPriority w:val="99"/>
    <w:semiHidden/>
    <w:qFormat/>
    <w:rPr>
      <w:rFonts w:ascii="Times New Roman" w:hAnsi="Times New Roman" w:eastAsia="Times New Roman" w:cs="Times New Roman"/>
      <w:b/>
      <w:bCs/>
      <w:sz w:val="20"/>
      <w:szCs w:val="20"/>
      <w:lang w:eastAsia="ru-RU"/>
    </w:rPr>
  </w:style>
  <w:style w:type="character" w:styleId="Style17" w:customStyle="1">
    <w:name w:val="Текст выноски Знак"/>
    <w:basedOn w:val="DefaultParagraphFont"/>
    <w:link w:val="BalloonText"/>
    <w:uiPriority w:val="99"/>
    <w:semiHidden/>
    <w:qFormat/>
    <w:rPr>
      <w:rFonts w:ascii="Segoe UI" w:hAnsi="Segoe UI" w:eastAsia="Times New Roman" w:cs="Segoe UI"/>
      <w:sz w:val="18"/>
      <w:szCs w:val="18"/>
      <w:lang w:eastAsia="ru-RU"/>
    </w:rPr>
  </w:style>
  <w:style w:type="character" w:styleId="docdata" w:customStyle="1">
    <w:name w:val="docdata"/>
    <w:basedOn w:val="DefaultParagraphFont"/>
    <w:qFormat/>
    <w:rPr/>
  </w:style>
  <w:style w:type="character" w:styleId="bold" w:customStyle="1">
    <w:name w:val="bold"/>
    <w:basedOn w:val="DefaultParagraphFont"/>
    <w:qFormat/>
    <w:rPr/>
  </w:style>
  <w:style w:type="character" w:styleId="Style18" w:customStyle="1">
    <w:name w:val="_Табл_Заголовок Знак"/>
    <w:link w:val="Style20"/>
    <w:qFormat/>
    <w:rPr>
      <w:rFonts w:ascii="Times New Roman" w:hAnsi="Times New Roman" w:eastAsia="Times New Roman" w:cs="Times New Roman"/>
      <w:b/>
      <w:sz w:val="24"/>
      <w:szCs w:val="32"/>
      <w:lang w:eastAsia="ru-RU"/>
      <w14:ligatures w14:val="none"/>
    </w:rPr>
  </w:style>
  <w:style w:type="character" w:styleId="Style19" w:customStyle="1">
    <w:name w:val="_Табл_Текст_лев Знак"/>
    <w:link w:val="Style22"/>
    <w:qFormat/>
    <w:rPr>
      <w:rFonts w:ascii="Times New Roman" w:hAnsi="Times New Roman" w:eastAsia="Times New Roman" w:cs="Times New Roman"/>
      <w:sz w:val="24"/>
      <w:szCs w:val="20"/>
      <w:lang w:eastAsia="ru-RU"/>
      <w14:ligatures w14: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9"/>
    <w:uiPriority w:val="35"/>
    <w:unhideWhenUsed/>
    <w:qFormat/>
    <w:pPr/>
    <w:rPr>
      <w:iCs/>
      <w:szCs w:val="18"/>
    </w:rPr>
  </w:style>
  <w:style w:type="paragraph" w:styleId="Index">
    <w:name w:val="Index"/>
    <w:basedOn w:val="Normal"/>
    <w:qFormat/>
    <w:pPr>
      <w:suppressLineNumbers/>
    </w:pPr>
    <w:rPr>
      <w:rFonts w:ascii="Microsoft Sans Serif" w:hAnsi="Microsoft Sans Serif" w:cs="Noto Sans Devanagari"/>
    </w:rPr>
  </w:style>
  <w:style w:type="paragraph" w:styleId="BalloonText">
    <w:name w:val="Balloon Text"/>
    <w:basedOn w:val="Normal"/>
    <w:link w:val="Style17"/>
    <w:uiPriority w:val="99"/>
    <w:semiHidden/>
    <w:unhideWhenUsed/>
    <w:qFormat/>
    <w:pPr/>
    <w:rPr>
      <w:rFonts w:ascii="Segoe UI" w:hAnsi="Segoe UI" w:cs="Segoe UI"/>
      <w:sz w:val="18"/>
      <w:szCs w:val="18"/>
    </w:rPr>
  </w:style>
  <w:style w:type="paragraph" w:styleId="EndnoteText">
    <w:name w:val="endnote text"/>
    <w:basedOn w:val="Normal"/>
    <w:link w:val="Style5"/>
    <w:uiPriority w:val="99"/>
    <w:semiHidden/>
    <w:unhideWhenUsed/>
    <w:pPr/>
    <w:rPr>
      <w:sz w:val="20"/>
    </w:rPr>
  </w:style>
  <w:style w:type="paragraph" w:styleId="CommentText">
    <w:name w:val="annotation text"/>
    <w:basedOn w:val="Normal"/>
    <w:link w:val="Style15"/>
    <w:uiPriority w:val="99"/>
    <w:unhideWhenUsed/>
    <w:qFormat/>
    <w:pPr/>
    <w:rPr>
      <w:sz w:val="20"/>
      <w:szCs w:val="20"/>
    </w:rPr>
  </w:style>
  <w:style w:type="paragraph" w:styleId="annotationsubject">
    <w:name w:val="annotation subject"/>
    <w:basedOn w:val="CommentText"/>
    <w:next w:val="CommentText"/>
    <w:link w:val="Style16"/>
    <w:uiPriority w:val="99"/>
    <w:semiHidden/>
    <w:unhideWhenUsed/>
    <w:qFormat/>
    <w:pPr/>
    <w:rPr>
      <w:b/>
      <w:bCs/>
    </w:rPr>
  </w:style>
  <w:style w:type="paragraph" w:styleId="FootnoteText">
    <w:name w:val="footnote text"/>
    <w:basedOn w:val="Normal"/>
    <w:link w:val="Style14"/>
    <w:uiPriority w:val="99"/>
    <w:semiHidden/>
    <w:unhideWhenUsed/>
    <w:qFormat/>
    <w:pPr/>
    <w:rPr>
      <w:sz w:val="20"/>
      <w:szCs w:val="20"/>
    </w:rPr>
  </w:style>
  <w:style w:type="paragraph" w:styleId="TOC8">
    <w:name w:val="toc 8"/>
    <w:basedOn w:val="Normal"/>
    <w:next w:val="Normal"/>
    <w:uiPriority w:val="39"/>
    <w:unhideWhenUsed/>
    <w:pPr>
      <w:spacing w:before="0" w:after="57"/>
      <w:ind w:hanging="0" w:start="1984"/>
    </w:pPr>
    <w:rPr/>
  </w:style>
  <w:style w:type="paragraph" w:styleId="HeaderandFooter">
    <w:name w:val="Header and Footer"/>
    <w:basedOn w:val="Normal"/>
    <w:qFormat/>
    <w:pPr/>
    <w:rPr/>
  </w:style>
  <w:style w:type="paragraph" w:styleId="Header">
    <w:name w:val="header"/>
    <w:basedOn w:val="Normal"/>
    <w:link w:val="Style11"/>
    <w:uiPriority w:val="99"/>
    <w:unhideWhenUsed/>
    <w:qFormat/>
    <w:pPr>
      <w:tabs>
        <w:tab w:val="clear" w:pos="708"/>
        <w:tab w:val="center" w:pos="4677" w:leader="none"/>
        <w:tab w:val="right" w:pos="9355" w:leader="none"/>
      </w:tabs>
    </w:pPr>
    <w:rPr/>
  </w:style>
  <w:style w:type="paragraph" w:styleId="TOC9">
    <w:name w:val="toc 9"/>
    <w:basedOn w:val="Normal"/>
    <w:next w:val="Normal"/>
    <w:uiPriority w:val="39"/>
    <w:unhideWhenUsed/>
    <w:pPr>
      <w:spacing w:before="0" w:after="57"/>
      <w:ind w:hanging="0" w:start="2268"/>
    </w:pPr>
    <w:rPr/>
  </w:style>
  <w:style w:type="paragraph" w:styleId="TOC7">
    <w:name w:val="toc 7"/>
    <w:basedOn w:val="Normal"/>
    <w:next w:val="Normal"/>
    <w:uiPriority w:val="39"/>
    <w:unhideWhenUsed/>
    <w:pPr>
      <w:spacing w:before="0" w:after="57"/>
      <w:ind w:hanging="0" w:start="1701"/>
    </w:pPr>
    <w:rPr/>
  </w:style>
  <w:style w:type="paragraph" w:styleId="TOC1">
    <w:name w:val="toc 1"/>
    <w:basedOn w:val="Normal"/>
    <w:next w:val="Normal"/>
    <w:uiPriority w:val="39"/>
    <w:unhideWhenUsed/>
    <w:pPr>
      <w:spacing w:before="0" w:after="57"/>
      <w:ind w:hanging="0"/>
    </w:pPr>
    <w:rPr/>
  </w:style>
  <w:style w:type="paragraph" w:styleId="TOC6">
    <w:name w:val="toc 6"/>
    <w:basedOn w:val="Normal"/>
    <w:next w:val="Normal"/>
    <w:uiPriority w:val="39"/>
    <w:unhideWhenUsed/>
    <w:pPr>
      <w:spacing w:before="0" w:after="57"/>
      <w:ind w:hanging="0" w:start="1417"/>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spacing w:before="0" w:after="57"/>
      <w:ind w:hanging="0" w:start="567"/>
    </w:pPr>
    <w:rPr/>
  </w:style>
  <w:style w:type="paragraph" w:styleId="TOC2">
    <w:name w:val="toc 2"/>
    <w:basedOn w:val="Normal"/>
    <w:next w:val="Normal"/>
    <w:uiPriority w:val="39"/>
    <w:unhideWhenUsed/>
    <w:pPr>
      <w:spacing w:before="0" w:after="57"/>
      <w:ind w:hanging="0" w:start="283"/>
    </w:pPr>
    <w:rPr/>
  </w:style>
  <w:style w:type="paragraph" w:styleId="TOC4">
    <w:name w:val="toc 4"/>
    <w:basedOn w:val="Normal"/>
    <w:next w:val="Normal"/>
    <w:uiPriority w:val="39"/>
    <w:unhideWhenUsed/>
    <w:pPr>
      <w:spacing w:before="0" w:after="57"/>
      <w:ind w:hanging="0" w:start="850"/>
    </w:pPr>
    <w:rPr/>
  </w:style>
  <w:style w:type="paragraph" w:styleId="TOC5">
    <w:name w:val="toc 5"/>
    <w:basedOn w:val="Normal"/>
    <w:next w:val="Normal"/>
    <w:uiPriority w:val="39"/>
    <w:unhideWhenUsed/>
    <w:pPr>
      <w:spacing w:before="0" w:after="57"/>
      <w:ind w:hanging="0" w:start="1134"/>
    </w:pPr>
    <w:rPr/>
  </w:style>
  <w:style w:type="paragraph" w:styleId="Title">
    <w:name w:val="Title"/>
    <w:basedOn w:val="Normal"/>
    <w:next w:val="Normal"/>
    <w:link w:val="Style6"/>
    <w:uiPriority w:val="10"/>
    <w:qFormat/>
    <w:pPr>
      <w:numPr>
        <w:ilvl w:val="0"/>
        <w:numId w:val="3"/>
      </w:numPr>
      <w:spacing w:before="0" w:after="0"/>
      <w:ind w:hanging="357" w:start="357"/>
      <w:contextualSpacing/>
    </w:pPr>
    <w:rPr>
      <w:rFonts w:eastAsia="Arial" w:cs="Arial" w:cstheme="majorBidi" w:eastAsiaTheme="majorEastAsia"/>
      <w:b/>
      <w:spacing w:val="-10"/>
      <w:szCs w:val="56"/>
    </w:rPr>
  </w:style>
  <w:style w:type="paragraph" w:styleId="Footer">
    <w:name w:val="footer"/>
    <w:basedOn w:val="Normal"/>
    <w:link w:val="Style12"/>
    <w:uiPriority w:val="99"/>
    <w:unhideWhenUsed/>
    <w:qFormat/>
    <w:pPr>
      <w:tabs>
        <w:tab w:val="clear" w:pos="708"/>
        <w:tab w:val="center" w:pos="4677" w:leader="none"/>
        <w:tab w:val="right" w:pos="9355" w:leader="none"/>
      </w:tabs>
    </w:pPr>
    <w:rPr/>
  </w:style>
  <w:style w:type="paragraph" w:styleId="NormalWeb">
    <w:name w:val="Normal (Web)"/>
    <w:basedOn w:val="Normal"/>
    <w:uiPriority w:val="99"/>
    <w:semiHidden/>
    <w:unhideWhenUsed/>
    <w:qFormat/>
    <w:pPr>
      <w:spacing w:beforeAutospacing="1" w:afterAutospacing="1"/>
      <w:ind w:hanging="0"/>
      <w:jc w:val="start"/>
    </w:pPr>
    <w:rPr>
      <w14:ligatures w14:val="none"/>
    </w:rPr>
  </w:style>
  <w:style w:type="paragraph" w:styleId="Subtitle">
    <w:name w:val="Subtitle"/>
    <w:basedOn w:val="Normal"/>
    <w:next w:val="Normal"/>
    <w:link w:val="Style7"/>
    <w:uiPriority w:val="11"/>
    <w:qFormat/>
    <w:pPr>
      <w:spacing w:before="0" w:after="160"/>
    </w:pPr>
    <w:rPr>
      <w:rFonts w:eastAsia="Arial" w:eastAsiaTheme="minorEastAsia"/>
      <w:b/>
    </w:rPr>
  </w:style>
  <w:style w:type="paragraph" w:styleId="13" w:customStyle="1">
    <w:name w:val="Заголовок оглавления1"/>
    <w:uiPriority w:val="39"/>
    <w:unhideWhenUsed/>
    <w:qFormat/>
    <w:pPr>
      <w:widowControl/>
      <w:bidi w:val="0"/>
      <w:spacing w:lineRule="auto" w:line="259" w:before="0" w:after="160"/>
      <w:jc w:val="start"/>
    </w:pPr>
    <w:rPr>
      <w:rFonts w:ascii="Calibri" w:hAnsi="Calibri" w:eastAsia="Calibri" w:cs="Arial"/>
      <w:color w:val="auto"/>
      <w:kern w:val="0"/>
      <w:sz w:val="22"/>
      <w:szCs w:val="22"/>
      <w:lang w:eastAsia="en-US" w:val="ru-RU" w:bidi="ar-SA"/>
      <w14:ligatures w14:val="standardContextual"/>
    </w:rPr>
  </w:style>
  <w:style w:type="paragraph" w:styleId="NoSpacing">
    <w:name w:val="No Spacing"/>
    <w:link w:val="Style13"/>
    <w:uiPriority w:val="1"/>
    <w:qFormat/>
    <w:pPr>
      <w:widowControl/>
      <w:bidi w:val="0"/>
      <w:spacing w:before="0" w:after="0"/>
      <w:jc w:val="both"/>
    </w:pPr>
    <w:rPr>
      <w:rFonts w:ascii="Times New Roman" w:hAnsi="Times New Roman" w:eastAsia="Calibri" w:cs="Arial"/>
      <w:color w:val="auto"/>
      <w:kern w:val="0"/>
      <w:sz w:val="24"/>
      <w:szCs w:val="22"/>
      <w:lang w:eastAsia="en-US" w:val="ru-RU" w:bidi="ar-SA"/>
      <w14:ligatures w14:val="standardContextual"/>
    </w:rPr>
  </w:style>
  <w:style w:type="paragraph" w:styleId="ListParagraph">
    <w:name w:val="List Paragraph"/>
    <w:basedOn w:val="Normal"/>
    <w:link w:val="Style8"/>
    <w:uiPriority w:val="34"/>
    <w:qFormat/>
    <w:pPr>
      <w:spacing w:before="0" w:after="0"/>
      <w:ind w:hanging="357" w:start="1429"/>
      <w:contextualSpacing/>
    </w:pPr>
    <w:rPr>
      <w:bCs/>
    </w:rPr>
  </w:style>
  <w:style w:type="paragraph" w:styleId="Quote">
    <w:name w:val="Quote"/>
    <w:basedOn w:val="Normal"/>
    <w:next w:val="Normal"/>
    <w:link w:val="21"/>
    <w:uiPriority w:val="29"/>
    <w:qFormat/>
    <w:pPr>
      <w:spacing w:before="160" w:after="160"/>
      <w:jc w:val="center"/>
    </w:pPr>
    <w:rPr>
      <w:i/>
      <w:iCs/>
      <w:color w:themeColor="text1" w:themeTint="bf" w:val="404040"/>
    </w:rPr>
  </w:style>
  <w:style w:type="paragraph" w:styleId="IntenseQuote">
    <w:name w:val="Intense Quote"/>
    <w:basedOn w:val="Normal"/>
    <w:next w:val="Normal"/>
    <w:link w:val="Style10"/>
    <w:uiPriority w:val="30"/>
    <w:qFormat/>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TableParagraph" w:customStyle="1">
    <w:name w:val="Table Paragraph"/>
    <w:basedOn w:val="Normal"/>
    <w:uiPriority w:val="1"/>
    <w:qFormat/>
    <w:pPr>
      <w:widowControl w:val="false"/>
      <w:spacing w:before="0" w:after="0"/>
      <w:ind w:hanging="0" w:start="110"/>
      <w:contextualSpacing/>
      <w:jc w:val="start"/>
    </w:pPr>
    <w:rPr>
      <w:sz w:val="22"/>
      <w:szCs w:val="22"/>
      <w:lang w:eastAsia="en-US"/>
    </w:rPr>
  </w:style>
  <w:style w:type="paragraph" w:styleId="14" w:customStyle="1">
    <w:name w:val="Рецензия1"/>
    <w:uiPriority w:val="99"/>
    <w:semiHidden/>
    <w:qFormat/>
    <w:pPr>
      <w:widowControl/>
      <w:bidi w:val="0"/>
      <w:spacing w:before="0" w:after="0"/>
      <w:jc w:val="start"/>
    </w:pPr>
    <w:rPr>
      <w:rFonts w:ascii="Times New Roman" w:hAnsi="Times New Roman" w:eastAsia="Times New Roman" w:cs="Times New Roman"/>
      <w:color w:val="auto"/>
      <w:kern w:val="0"/>
      <w:sz w:val="24"/>
      <w:szCs w:val="24"/>
      <w:lang w:val="ru-RU" w:eastAsia="ru-RU" w:bidi="ar-SA"/>
      <w14:ligatures w14:val="standardContextual"/>
    </w:rPr>
  </w:style>
  <w:style w:type="paragraph" w:styleId="Style20" w:customStyle="1">
    <w:name w:val="_Табл_Заголовок"/>
    <w:basedOn w:val="Normal"/>
    <w:link w:val="Style18"/>
    <w:qFormat/>
    <w:pPr>
      <w:keepNext w:val="true"/>
      <w:spacing w:before="120" w:after="120"/>
      <w:ind w:hanging="0"/>
      <w:jc w:val="center"/>
    </w:pPr>
    <w:rPr>
      <w:b/>
      <w:szCs w:val="32"/>
      <w14:ligatures w14:val="none"/>
    </w:rPr>
  </w:style>
  <w:style w:type="paragraph" w:styleId="Style21" w:customStyle="1">
    <w:name w:val="_Табл_Название"/>
    <w:basedOn w:val="Normal"/>
    <w:qFormat/>
    <w:pPr>
      <w:keepNext w:val="true"/>
      <w:widowControl w:val="false"/>
      <w:spacing w:lineRule="auto" w:line="276" w:before="120" w:after="60"/>
      <w:ind w:hanging="0"/>
    </w:pPr>
    <w:rPr>
      <w:szCs w:val="20"/>
      <w14:ligatures w14:val="none"/>
    </w:rPr>
  </w:style>
  <w:style w:type="paragraph" w:styleId="Style22" w:customStyle="1">
    <w:name w:val="_Табл_Текст_лев"/>
    <w:basedOn w:val="Normal"/>
    <w:link w:val="Style19"/>
    <w:qFormat/>
    <w:pPr>
      <w:ind w:hanging="0"/>
      <w:jc w:val="start"/>
    </w:pPr>
    <w:rPr>
      <w:szCs w:val="20"/>
      <w14:ligatures w14:val="none"/>
    </w:rPr>
  </w:style>
  <w:style w:type="paragraph" w:styleId="15" w:customStyle="1">
    <w:name w:val="Заголовок 1 Приложение"/>
    <w:basedOn w:val="Heading1"/>
    <w:next w:val="Normal"/>
    <w:qFormat/>
    <w:pPr>
      <w:pageBreakBefore/>
      <w:numPr>
        <w:ilvl w:val="4"/>
        <w:numId w:val="4"/>
      </w:numPr>
      <w:tabs>
        <w:tab w:val="clear" w:pos="708"/>
        <w:tab w:val="left" w:pos="360" w:leader="none"/>
      </w:tabs>
      <w:spacing w:lineRule="auto" w:line="360" w:before="240" w:after="240"/>
      <w:ind w:hanging="0"/>
      <w:jc w:val="end"/>
    </w:pPr>
    <w:rPr>
      <w:rFonts w:ascii="Times New Roman Полужирный" w:hAnsi="Times New Roman Полужирный" w:eastAsia="Times New Roman" w:cs="Arial"/>
      <w:bCs/>
      <w:caps/>
      <w14:ligatures w14:val="none"/>
    </w:rPr>
  </w:style>
  <w:style w:type="paragraph" w:styleId="western1" w:customStyle="1">
    <w:name w:val="western1"/>
    <w:basedOn w:val="Normal"/>
    <w:qFormat/>
    <w:pPr>
      <w:spacing w:lineRule="auto" w:line="360" w:beforeAutospacing="1" w:after="0"/>
      <w:ind w:hanging="0"/>
    </w:pPr>
    <w:rPr>
      <w:color w:val="000000"/>
      <w14:ligatures w14:val="none"/>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d">
    <w:name w:val="Table Grid"/>
    <w:basedOn w:val="a2"/>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2"/>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0">
    <w:name w:val="Таблица простая 11"/>
    <w:basedOn w:val="a2"/>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0">
    <w:name w:val="Таблица простая 21"/>
    <w:basedOn w:val="a2"/>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2"/>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2"/>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2"/>
    <w:uiPriority w:val="99"/>
    <w:qFormat/>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2"/>
    <w:uiPriority w:val="99"/>
    <w:qFormat/>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2"/>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2"/>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2"/>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21">
    <w:name w:val="Таблица-сетка 21"/>
    <w:basedOn w:val="a2"/>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6A6A6A" w:themeColor="text1" w:sz="12" w:space="0"/>
          <w:right w:val="nil"/>
        </w:tcBorders>
        <w:shd w:val="clear" w:color="FFFFFF" w:fill="auto"/>
      </w:tcPr>
    </w:tblStylePr>
    <w:tblStylePr w:type="lastRow">
      <w:rPr>
        <w:b/>
      </w:rPr>
      <w:tblPr/>
      <w:tcPr>
        <w:tcBorders>
          <w:top w:val="single" w:color="6A6A6A"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2"/>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537DC8" w:themeColor="accent1" w:sz="12" w:space="0"/>
          <w:right w:val="nil"/>
        </w:tcBorders>
        <w:shd w:val="clear" w:color="FFFFFF" w:fill="auto"/>
      </w:tcPr>
    </w:tblStylePr>
    <w:tblStylePr w:type="lastRow">
      <w:rPr>
        <w:b/>
      </w:rPr>
      <w:tblPr/>
      <w:tcPr>
        <w:tcBorders>
          <w:top w:val="single" w:color="537DC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2"/>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F4B184" w:themeColor="accent2" w:sz="12" w:space="0"/>
          <w:right w:val="nil"/>
        </w:tcBorders>
        <w:shd w:val="clear" w:color="FFFFFF" w:fill="auto"/>
      </w:tcPr>
    </w:tblStylePr>
    <w:tblStylePr w:type="lastRow">
      <w:rPr>
        <w:b/>
      </w:rPr>
      <w:tblPr/>
      <w:tcPr>
        <w:tcBorders>
          <w:top w:val="single" w:color="F4B184"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2"/>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D865" w:themeColor="accent4" w:sz="12" w:space="0"/>
          <w:right w:val="nil"/>
        </w:tcBorders>
        <w:shd w:val="clear" w:color="FFFFFF" w:fill="auto"/>
      </w:tcPr>
    </w:tblStylePr>
    <w:tblStylePr w:type="lastRow">
      <w:rPr>
        <w:b/>
      </w:rPr>
      <w:tblPr/>
      <w:tcPr>
        <w:tcBorders>
          <w:top w:val="single" w:color="FFD86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2"/>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2"/>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2"/>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2"/>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2"/>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2"/>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2"/>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2"/>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2"/>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2"/>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2"/>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2"/>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2"/>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2"/>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2"/>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2"/>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7F7F7F"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2"/>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A0B7E1"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2"/>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F4B184"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2"/>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2"/>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D865"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2"/>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2"/>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2"/>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b/>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2"/>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A0B7E1" w:themeColor="accent1" w:sz="4" w:space="0"/>
          <w:right w:val="nil"/>
        </w:tcBorders>
        <w:shd w:val="clear" w:color="FFFFFF" w:fill="FFFFFF" w:themeFill="light1"/>
      </w:tcPr>
    </w:tblStylePr>
    <w:tblStylePr w:type="lastRow">
      <w:rPr>
        <w:b/>
        <w:color w:val="a0b7e1" w:themeColor="accent1" w:themeTint="80"/>
        <w:sz w:val="22"/>
      </w:rPr>
      <w:tblPr/>
      <w:tcPr>
        <w:tcBorders>
          <w:top w:val="single" w:color="A0B7E1"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A0B7E1" w:themeColor="accent1" w:sz="4" w:space="0"/>
        </w:tcBorders>
        <w:shd w:val="clear" w:color="FFFFFF" w:fill="auto"/>
      </w:tcPr>
    </w:tblStylePr>
    <w:tblStylePr w:type="lastCol">
      <w:rPr>
        <w:i/>
        <w:color w:val="a0b7e1" w:themeColor="accent1" w:themeTint="80"/>
        <w:sz w:val="22"/>
      </w:rPr>
      <w:tblPr/>
      <w:tcPr>
        <w:tcBorders>
          <w:top w:val="nil"/>
          <w:left w:val="single" w:color="A0B7E1"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2"/>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2"/>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2"/>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2"/>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A2C6E7"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A2C6E7"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A2C6E7" w:themeColor="accent5" w:sz="4" w:space="0"/>
        </w:tcBorders>
        <w:shd w:val="clear" w:color="FFFFFF" w:fill="auto"/>
      </w:tcPr>
    </w:tblStylePr>
    <w:tblStylePr w:type="lastCol">
      <w:rPr>
        <w:i/>
        <w:color w:val="245a8c" w:themeColor="accent5" w:themeShade="94"/>
        <w:sz w:val="22"/>
      </w:rPr>
      <w:tblPr/>
      <w:tcPr>
        <w:tcBorders>
          <w:top w:val="nil"/>
          <w:left w:val="single" w:color="A2C6E7"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0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2"/>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2"/>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2"/>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2"/>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2"/>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2"/>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2"/>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2"/>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il"/>
          <w:bottom w:val="single" w:color="6F6F6F" w:themeColor="text1" w:sz="4" w:space="0"/>
          <w:right w:val="nil"/>
        </w:tcBorders>
      </w:tcPr>
    </w:tblStylePr>
    <w:tblStylePr w:type="lastRow">
      <w:rPr>
        <w:b/>
        <w:sz w:val="22"/>
      </w:rPr>
      <w:tblPr/>
      <w:tcPr>
        <w:tcBorders>
          <w:top w:val="single" w:color="6F6F6F" w:themeColor="text1" w:sz="4" w:space="0"/>
          <w:left w:val="nil"/>
          <w:bottom w:val="single" w:color="6F6F6F"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2"/>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il"/>
          <w:bottom w:val="single" w:color="95AFDD" w:themeColor="accent1" w:sz="4" w:space="0"/>
          <w:right w:val="nil"/>
        </w:tcBorders>
      </w:tcPr>
    </w:tblStylePr>
    <w:tblStylePr w:type="lastRow">
      <w:rPr>
        <w:b/>
        <w:sz w:val="22"/>
      </w:rPr>
      <w:tblPr/>
      <w:tcPr>
        <w:tcBorders>
          <w:top w:val="single" w:color="95AFDD" w:themeColor="accent1" w:sz="4" w:space="0"/>
          <w:left w:val="nil"/>
          <w:bottom w:val="single" w:color="95AFD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2"/>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il"/>
          <w:bottom w:val="single" w:color="FFDB6F" w:themeColor="accent4" w:sz="4" w:space="0"/>
          <w:right w:val="nil"/>
        </w:tcBorders>
      </w:tcPr>
    </w:tblStylePr>
    <w:tblStylePr w:type="lastRow">
      <w:rPr>
        <w:b/>
        <w:sz w:val="22"/>
      </w:rPr>
      <w:tblPr/>
      <w:tcPr>
        <w:tcBorders>
          <w:top w:val="single" w:color="FFDB6F" w:themeColor="accent4" w:sz="4" w:space="0"/>
          <w:left w:val="nil"/>
          <w:bottom w:val="single" w:color="FFDB6F"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2"/>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il"/>
          <w:bottom w:val="single" w:color="A2C6E7" w:themeColor="accent5" w:sz="4" w:space="0"/>
          <w:right w:val="nil"/>
        </w:tcBorders>
      </w:tcPr>
    </w:tblStylePr>
    <w:tblStylePr w:type="lastRow">
      <w:rPr>
        <w:b/>
        <w:sz w:val="22"/>
      </w:rPr>
      <w:tblPr/>
      <w:tcPr>
        <w:tcBorders>
          <w:top w:val="single" w:color="A2C6E7" w:themeColor="accent5" w:sz="4" w:space="0"/>
          <w:left w:val="nil"/>
          <w:bottom w:val="single" w:color="A2C6E7"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2"/>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2"/>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2"/>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2"/>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2"/>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customStyle="1" w:styleId="-410">
    <w:name w:val="Список-таблица 41"/>
    <w:basedOn w:val="a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2"/>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2"/>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2"/>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2"/>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2"/>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2"/>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2"/>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2"/>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2"/>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2"/>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2"/>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2"/>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F4B184" w:themeColor="accent2" w:sz="4" w:space="0"/>
        </w:tcBorders>
      </w:tcPr>
    </w:tblStylePr>
    <w:tblStylePr w:type="lastRow">
      <w:rPr>
        <w:b/>
        <w:color w:val="f4b285" w:themeColor="accent2" w:themeTint="96"/>
      </w:rPr>
      <w:tblPr/>
      <w:tcPr>
        <w:tcBorders>
          <w:top w:val="single" w:color="F4B184"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2"/>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2"/>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D865" w:themeColor="accent4" w:sz="4" w:space="0"/>
        </w:tcBorders>
      </w:tcPr>
    </w:tblStylePr>
    <w:tblStylePr w:type="lastRow">
      <w:rPr>
        <w:b/>
        <w:color w:val="ffd966" w:themeColor="accent4" w:themeTint="99"/>
      </w:rPr>
      <w:tblPr/>
      <w:tcPr>
        <w:tcBorders>
          <w:top w:val="single" w:color="FFD865"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2"/>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9BC2E5" w:themeColor="accent5" w:sz="4" w:space="0"/>
        </w:tcBorders>
      </w:tcPr>
    </w:tblStylePr>
    <w:tblStylePr w:type="lastRow">
      <w:rPr>
        <w:b/>
        <w:color w:val="9cc2e5" w:themeColor="accent5" w:themeTint="99"/>
      </w:rPr>
      <w:tblPr/>
      <w:tcPr>
        <w:tcBorders>
          <w:top w:val="single" w:color="9BC2E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2"/>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A9D08E" w:themeColor="accent6" w:sz="4" w:space="0"/>
        </w:tcBorders>
      </w:tcPr>
    </w:tblStylePr>
    <w:tblStylePr w:type="lastRow">
      <w:rPr>
        <w:b/>
        <w:color w:val="a8d08d" w:themeColor="accent6" w:themeTint="99"/>
      </w:rPr>
      <w:tblPr/>
      <w:tcPr>
        <w:tcBorders>
          <w:top w:val="single" w:color="A9D08E"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2"/>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i/>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2"/>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2"/>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2"/>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2"/>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2"/>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9BC2E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9BC2E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9BC2E5" w:themeColor="accent5" w:sz="4" w:space="0"/>
        </w:tcBorders>
        <w:shd w:val="clear" w:color="FFFFFF" w:fill="auto"/>
      </w:tcPr>
    </w:tblStylePr>
    <w:tblStylePr w:type="lastCol">
      <w:rPr>
        <w:i/>
        <w:color w:val="9cc2e5" w:themeColor="accent5" w:themeTint="99"/>
        <w:sz w:val="22"/>
      </w:rPr>
      <w:tblPr/>
      <w:tcPr>
        <w:tcBorders>
          <w:top w:val="nil"/>
          <w:left w:val="single" w:color="9BC2E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2"/>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8d08d"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8d08d"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2"/>
    <w:uiPriority w:val="99"/>
    <w:r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2"/>
    <w:uiPriority w:val="99"/>
    <w:r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2"/>
    <w:uiPriority w:val="99"/>
    <w:r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2"/>
    <w:uiPriority w:val="99"/>
    <w:r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2"/>
    <w:uiPriority w:val="99"/>
    <w:r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2"/>
    <w:uiPriority w:val="99"/>
    <w:r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2"/>
    <w:uiPriority w:val="99"/>
    <w:r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2"/>
    <w:uiPriority w:val="99"/>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2"/>
    <w:uiPriority w:val="99"/>
    <w:rPr/>
    <w:tblPr>
      <w:tblBorders>
        <w:top w:val="single" w:color="254175" w:themeColor="accent1" w:sz="4" w:space="0"/>
        <w:left w:val="single" w:color="254175" w:themeColor="accent1" w:sz="4" w:space="0"/>
        <w:bottom w:val="single" w:color="254175" w:themeColor="accent1" w:sz="4" w:space="0"/>
        <w:right w:val="single" w:color="254175" w:themeColor="accent1" w:sz="4" w:space="0"/>
        <w:insideH w:val="single" w:color="254175" w:themeColor="accent1" w:sz="4" w:space="0"/>
        <w:insideV w:val="single" w:color="254175" w:themeColor="accent1"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2"/>
    <w:uiPriority w:val="99"/>
    <w:rPr/>
    <w:tblPr>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2"/>
    <w:uiPriority w:val="99"/>
    <w:rPr/>
    <w:tblPr>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2"/>
    <w:uiPriority w:val="99"/>
    <w:rPr/>
    <w:tblPr>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2"/>
    <w:uiPriority w:val="99"/>
    <w:rPr/>
    <w:tblPr>
      <w:tblBorders>
        <w:top w:val="single" w:color="245A8D" w:themeColor="accent5" w:sz="4" w:space="0"/>
        <w:left w:val="single" w:color="245A8D" w:themeColor="accent5" w:sz="4" w:space="0"/>
        <w:bottom w:val="single" w:color="245A8D" w:themeColor="accent5" w:sz="4" w:space="0"/>
        <w:right w:val="single" w:color="245A8D" w:themeColor="accent5" w:sz="4" w:space="0"/>
        <w:insideH w:val="single" w:color="245A8D" w:themeColor="accent5" w:sz="4" w:space="0"/>
        <w:insideV w:val="single" w:color="245A8D" w:themeColor="accent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2"/>
    <w:uiPriority w:val="99"/>
    <w:rPr/>
    <w:tblPr>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2"/>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2"/>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2"/>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2"/>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2"/>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2"/>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2"/>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comments" Target="comments.xml"/><Relationship Id="rId13" Type="http://schemas.microsoft.com/office/2011/relationships/commentsExtended" Target="commentsExtended.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8A48C-AA3F-4F9C-BE6A-537B7F59C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Application>LibreOffice/25.8.6.2$Linux_X86_64 LibreOffice_project/580$Build-2</Application>
  <AppVersion>15.0000</AppVersion>
  <Pages>23</Pages>
  <Words>6461</Words>
  <Characters>47665</Characters>
  <CharactersWithSpaces>53626</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2026-03-18T16:59:00Z</dcterms:created>
  <dc:creator>Людмила Абламская</dc:creator>
  <dc:description/>
  <dc:language>en-US</dc:language>
  <cp:lastModifiedBy/>
  <dcterms:modified xsi:type="dcterms:W3CDTF">2026-03-29T22:30:01Z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96D5B284066041B0950AA871EB30731A_13</vt:lpwstr>
  </property>
  <property fmtid="{D5CDD505-2E9C-101B-9397-08002B2CF9AE}" pid="3" name="KSOProductBuildVer">
    <vt:lpwstr>1049-12.2.0.23196</vt:lpwstr>
  </property>
</Properties>
</file>