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5" w:before="0" w:after="40"/>
        <w:jc w:val="center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color w:themeColor="dark1" w:val="000000"/>
          <w:sz w:val="28"/>
          <w:szCs w:val="28"/>
          <w:shd w:fill="auto" w:val="clear"/>
          <w:lang w:val="ru-RU"/>
        </w:rPr>
        <w:t xml:space="preserve">Задача на оценку трудозатрат </w:t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color w:themeColor="dark1" w:val="000000"/>
          <w:sz w:val="28"/>
          <w:szCs w:val="28"/>
          <w:shd w:fill="auto" w:val="clear"/>
          <w:lang w:val="ru-RU"/>
        </w:rPr>
        <w:t xml:space="preserve">по проекту создания сервиса Россельхознадзора «Цифровой надзор» </w:t>
        <w:br/>
        <w:t xml:space="preserve">единой цифровой платформы Российской Федерации «ГосТех» </w:t>
        <w:br/>
        <w:t xml:space="preserve">в части государственного ветеринарного надзора </w:t>
        <w:br/>
        <w:t>(для Аналитической системы Россельхознадзора (далее – Аналитическая система РСХН )</w:t>
      </w:r>
    </w:p>
    <w:p>
      <w:pPr>
        <w:pStyle w:val="Normal"/>
        <w:spacing w:lineRule="auto" w:line="245" w:before="0" w:after="40"/>
        <w:jc w:val="center"/>
        <w:rPr>
          <w:highlight w:val="none"/>
          <w:shd w:fill="auto" w:val="clear"/>
        </w:rPr>
      </w:pPr>
      <w:r>
        <w:rPr>
          <w:rFonts w:cs="Times New Roman" w:ascii="Times New Roman" w:hAnsi="Times New Roman"/>
          <w:i/>
          <w:color w:themeColor="dark1" w:val="000000"/>
          <w:sz w:val="24"/>
          <w:shd w:fill="auto" w:val="clear"/>
          <w:lang w:val="ru-RU"/>
        </w:rPr>
        <w:t>Документ подготовлен по итогам трех рабочих встреч (13.03.2026, 18.03.2026 и 20.03.2026) и предназначен для команды аналитической системы как сводное описание объема работ, интеграционного контура, пользовательских сценариев, ограничений, уточнений по третьей встрече и открытых вопросов.</w:t>
      </w:r>
    </w:p>
    <w:p>
      <w:pPr>
        <w:pStyle w:val="Normal"/>
        <w:spacing w:lineRule="auto" w:line="245" w:before="0" w:after="40"/>
        <w:jc w:val="center"/>
        <w:rPr>
          <w:rFonts w:ascii="Times New Roman" w:hAnsi="Times New Roman" w:cs="Times New Roman"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Heading1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1. Кратко: суть проекта и главный вывод</w:t>
      </w:r>
    </w:p>
    <w:tbl>
      <w:tblPr>
        <w:tblW w:w="8789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</w:tblPr>
      <w:tblGrid>
        <w:gridCol w:w="2835"/>
        <w:gridCol w:w="5954"/>
      </w:tblGrid>
      <w:tr>
        <w:trPr/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shd w:fill="auto" w:val="clear"/>
                <w:lang w:val="en-US" w:eastAsia="en-US" w:bidi="ar-SA"/>
              </w:rPr>
              <w:t>Пункт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shd w:fill="auto" w:val="clear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shd w:fill="auto" w:val="clear"/>
                <w:lang w:val="en-US" w:eastAsia="en-US" w:bidi="ar-SA"/>
              </w:rPr>
              <w:t>Что создается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Сервис цифровых индикаторов риска на платформе ГосТех и доработки аналитической системы Росельхознадзора для обработки индикаторов, работы с документами и формирования отчетности.</w:t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shd w:fill="auto" w:val="clear"/>
                <w:lang w:val="en-US" w:eastAsia="en-US" w:bidi="ar-SA"/>
              </w:rPr>
              <w:t>Роль аналитической системы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ru-RU" w:eastAsia="en-US" w:bidi="ar-SA"/>
              </w:rPr>
              <w:t>Не считать модели и не строить сервисы на ГосТех, а обеспечить пользовательский интерфейс, интеграцию через Федеральная государственная информационная система (</w:t>
            </w:r>
            <w:r>
              <w:rPr>
                <w:rFonts w:cs="Times New Roman" w:ascii="Times New Roman" w:hAnsi="Times New Roman"/>
                <w:b/>
                <w:bCs/>
                <w:color w:themeColor="dark1" w:val="000000"/>
                <w:kern w:val="0"/>
                <w:sz w:val="24"/>
                <w:szCs w:val="22"/>
                <w:shd w:fill="auto" w:val="clear"/>
                <w:lang w:val="ru-RU" w:eastAsia="en-US" w:bidi="ar-SA"/>
              </w:rPr>
              <w:t>ФГИС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ru-RU" w:eastAsia="en-US" w:bidi="ar-SA"/>
              </w:rPr>
              <w:t>) Интегрированная ведомственная информационная система (</w:t>
            </w:r>
            <w:r>
              <w:rPr>
                <w:rFonts w:cs="Times New Roman" w:ascii="Times New Roman" w:hAnsi="Times New Roman"/>
                <w:b/>
                <w:bCs/>
                <w:color w:themeColor="dark1" w:val="000000"/>
                <w:kern w:val="0"/>
                <w:sz w:val="24"/>
                <w:szCs w:val="22"/>
                <w:shd w:fill="auto" w:val="clear"/>
                <w:lang w:val="ru-RU" w:eastAsia="en-US" w:bidi="ar-SA"/>
              </w:rPr>
              <w:t>ИВИС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ru-RU" w:eastAsia="en-US" w:bidi="ar-SA"/>
              </w:rPr>
              <w:t xml:space="preserve">), формирование и отправку 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en-US" w:eastAsia="en-US" w:bidi="ar-SA"/>
              </w:rPr>
              <w:t>XML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ru-RU" w:eastAsia="en-US" w:bidi="ar-SA"/>
              </w:rPr>
              <w:t>, прием и отправку файлов, хранение версий документов, передачу оценки качества генерации и аналитическую отчетность.</w:t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shd w:fill="auto" w:val="clear"/>
                <w:lang w:val="en-US" w:eastAsia="en-US" w:bidi="ar-SA"/>
              </w:rPr>
              <w:t>Главный вывод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ru-RU" w:eastAsia="en-US" w:bidi="ar-SA"/>
              </w:rPr>
              <w:t>Команда аналитической системы должна реализовать не только отображение данных, но и полноценный сквозной процесс: подтверждение индикаторов инспектором, вызов сервисов, прием и хранение файлов, локальную редактуру сгенерированных документов пользователем, возврат итоговой версии в систему, передачу оценки качества генерации и отправку полного пакета в ГосТех.</w:t>
            </w:r>
          </w:p>
        </w:tc>
      </w:tr>
    </w:tbl>
    <w:p>
      <w:pPr>
        <w:pStyle w:val="Heading1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2. Что зафиксировано по границам проекта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Функциональные требования, которые обсуждались на встречах, относятся к аналитической системе и ее взаимодействию с сервисами на платформе ГосТех.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Под «сервисом» понимается совокупность сервисов на ГосТех и аналитической системы, но зона ответственности команды аналитической системы ограничена только своей частью.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Аналитическая система взаимодействует не с внешними ФОИВ напрямую, а только с сервисами, предоставленными в контуре ГосТех.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Взаимодействие выполняется через интеграционный контур ФГИС ИВИС.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Система межведомственного электронного взаимодействия (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shd w:fill="auto" w:val="clear"/>
          <w:lang w:val="ru-RU"/>
        </w:rPr>
        <w:t>СМЭВ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) нужна только как способ п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ередачи сведений; отдельного прямого подключения аналитической системы к иным ФОИВ не пред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полагается.</w:t>
      </w:r>
    </w:p>
    <w:p>
      <w:pPr>
        <w:pStyle w:val="Heading1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3. Архитектура и интеграционный контур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Основные компоненты решения: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сервис на платформе ГосТех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аналитическая система Росельхознадзора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интеграционный контур ФГИС ИВИС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u w:val="none"/>
          <w:shd w:fill="auto" w:val="clear"/>
          <w:lang w:val="ru-RU"/>
        </w:rPr>
        <w:t>СМЭВ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как транспорт обмена сведениями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сервис сбора доказательной базы на ГосТех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сервис взаимодействия с большой языковой моделью на ГосТех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Ключевой архитектурный принцип: все вызовы сервисов на ГосТех выполняются через ИВИС; прямых вызовов из аналитической системы к сервисам на ГосТех быть не должно.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Криптографическая и инфраструктурная часть интеграции, связанная со СМЭВ, закрывается на стороне ИВИС. Для аналитической системы это означает необходимость уметь вызывать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SOAP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-сервис и собирать корректный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по заданной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XSD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-схеме.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Внутри своей зоны команда должна исходить из того, что взаимодействие выполняется по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SOAP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, с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как основным форматом обмена, а конечный пакет может включать также вложения.</w:t>
      </w:r>
    </w:p>
    <w:p>
      <w:pPr>
        <w:pStyle w:val="Heading1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4. Сквозной процесс, который должна поддержать система</w:t>
      </w:r>
    </w:p>
    <w:p>
      <w:pPr>
        <w:pStyle w:val="Normal"/>
        <w:spacing w:lineRule="auto" w:line="245" w:before="0" w:after="40"/>
        <w:ind w:start="17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1. Модель или расчетный механизм формирует срабатывание цифрового индикатора риска.</w:t>
      </w:r>
    </w:p>
    <w:p>
      <w:pPr>
        <w:pStyle w:val="Normal"/>
        <w:spacing w:lineRule="auto" w:line="245" w:before="0" w:after="40"/>
        <w:ind w:start="17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2. Индикатор отображается в аналитической системе.</w:t>
      </w:r>
    </w:p>
    <w:p>
      <w:pPr>
        <w:pStyle w:val="Normal"/>
        <w:spacing w:lineRule="auto" w:line="245" w:before="0" w:after="40"/>
        <w:ind w:start="17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3. Инспектор откр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ывает форму обработки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 индикатора, подтверждает или отклоняет его и указывает наруше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нные пункты нормативн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ых правовых актов.</w:t>
      </w:r>
    </w:p>
    <w:p>
      <w:pPr>
        <w:pStyle w:val="Normal"/>
        <w:spacing w:lineRule="auto" w:line="245" w:before="0" w:after="40"/>
        <w:ind w:start="17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4. После подтверждения индикатора инспектор запускает сбор доказательной базы.</w:t>
      </w:r>
    </w:p>
    <w:p>
      <w:pPr>
        <w:pStyle w:val="Normal"/>
        <w:spacing w:lineRule="auto" w:line="245" w:before="0" w:after="40"/>
        <w:ind w:start="17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5. Сервис сбора доказательной базы на ГосТех работает как черный ящик: получает необходимые идентификаторы и возвращает один или несколько файлов по участвующим в расчете сущностям.</w:t>
      </w:r>
    </w:p>
    <w:p>
      <w:pPr>
        <w:pStyle w:val="Normal"/>
        <w:spacing w:lineRule="auto" w:line="245" w:before="0" w:after="40"/>
        <w:ind w:start="17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6. Система принимает пакет файлов, сохраняет его и предоставляет пользователю просмотр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или скачивание (для просмотра)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. Эти файлы не редактируются.</w:t>
      </w:r>
    </w:p>
    <w:p>
      <w:pPr>
        <w:pStyle w:val="Normal"/>
        <w:spacing w:lineRule="auto" w:line="245" w:before="0" w:after="40"/>
        <w:ind w:start="17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7. После получения доказательной базы инспектор запускает формирование документов с помощью большой языковой модели.</w:t>
      </w:r>
    </w:p>
    <w:p>
      <w:pPr>
        <w:pStyle w:val="Normal"/>
        <w:spacing w:lineRule="auto" w:line="245" w:before="0" w:after="40"/>
        <w:ind w:start="17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8. В большую языковую модель через ИВИС передаются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, доказательная база и служебные сведения по индикатору, нарушению, хозяйствующему субъекту и площадке.</w:t>
      </w:r>
    </w:p>
    <w:p>
      <w:pPr>
        <w:pStyle w:val="Normal"/>
        <w:spacing w:lineRule="auto" w:line="245" w:before="0" w:after="40"/>
        <w:ind w:start="17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9. Большая языковая м</w:t>
      </w:r>
      <w:r>
        <w:rPr>
          <w:rFonts w:cs="Times New Roman" w:ascii="Times New Roman" w:hAnsi="Times New Roman"/>
          <w:color w:themeColor="dark1" w:val="000000"/>
          <w:sz w:val="24"/>
          <w:u w:val="none"/>
          <w:shd w:fill="auto" w:val="clear"/>
          <w:lang w:val="ru-RU"/>
        </w:rPr>
        <w:t xml:space="preserve">одель возвращает один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или несколько проектов документов в редактируемом формате. Базово ожидаются мотивированное представление о проведении проверки и акт дистанционного мониторинга с приложениями.</w:t>
      </w:r>
    </w:p>
    <w:p>
      <w:pPr>
        <w:pStyle w:val="Normal"/>
        <w:spacing w:lineRule="auto" w:line="245" w:before="0" w:after="40"/>
        <w:ind w:start="17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10. Пользователь скачивает полученный документ в своем рабочем пространстве, редактирует его локально и затем загружает итоговую редакцию обратно в систему.</w:t>
      </w:r>
    </w:p>
    <w:p>
      <w:pPr>
        <w:pStyle w:val="Normal"/>
        <w:spacing w:lineRule="auto" w:line="245" w:before="0" w:after="40"/>
        <w:ind w:start="17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11. В системе должны быть сохранены как минимум две версии документа: исходная версия, полученная от большой языковой модели, и итоговая версия, подготовленная инспектором.</w:t>
      </w:r>
    </w:p>
    <w:p>
      <w:pPr>
        <w:pStyle w:val="Normal"/>
        <w:spacing w:lineRule="auto" w:line="245" w:before="0" w:after="40"/>
        <w:ind w:start="17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12. После загрузки итоговой редакции инспектор указывает в интерфейсе оценку качества генерации. В сервис большой языковой модели отправляются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исходная версия, итоговая версия и метрика оценки релевантности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.</w:t>
      </w:r>
    </w:p>
    <w:p>
      <w:pPr>
        <w:pStyle w:val="Normal"/>
        <w:spacing w:lineRule="auto" w:line="245" w:before="0" w:after="40"/>
        <w:ind w:start="17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13. После подготовки итоговой редакции система формирует и отправляет в сервис ГосТех полный пакет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 и файлов для инициации контрольных надзорных мероприятий (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hd w:fill="auto" w:val="clear"/>
          <w:lang w:val="ru-RU"/>
        </w:rPr>
        <w:t>КНМ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).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hd w:fill="auto" w:val="clear"/>
          <w:lang w:val="ru-RU"/>
        </w:rPr>
        <w:t xml:space="preserve">Передаются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u w:val="single"/>
          <w:shd w:fill="auto" w:val="clear"/>
          <w:lang w:val="ru-RU"/>
        </w:rPr>
        <w:t>именно файлы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hd w:fill="auto" w:val="clear"/>
          <w:lang w:val="ru-RU"/>
        </w:rPr>
        <w:t>, а не ссылки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14. После отправки пакет переводится в статус ожидания результата проведения КНМ. Статус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может обновляться по входящему сообщению (webhook?)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 или по отдельному запросу на обновление.</w:t>
      </w:r>
    </w:p>
    <w:p>
      <w:pPr>
        <w:pStyle w:val="Heading1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5. Что именно должна сделать команда аналитической системы</w:t>
      </w:r>
    </w:p>
    <w:p>
      <w:pPr>
        <w:pStyle w:val="Heading2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5.1. Обработка индикаторов инспектором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Необходимо создать функциональность обработки цифровых индикаторов инспектором. На встрече отдельно проговорено, что слово «доработать» в требованиях фактически следует понимать как «создать», потому что исходная функциональность в целевом виде не готова.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Подтверждение инспектором требуется для всех пяти индикаторов. Автоматический расчет индикатора не означает автоматическое принятие решения.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Инспектор является последним барьером проверки качества. Он подтверждает или отклоняет индикатор, поскольку возможны ошибки логики, ошибки данных и ситуации, когда формально похожая операция не является нарушением.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Нужна единая форма обработки индикатора по аналогии с Автоматизированноым рабочим местом (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shd w:fill="auto" w:val="clear"/>
          <w:lang w:val="ru-RU"/>
        </w:rPr>
        <w:t>АРМ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) инспектора, но применительно к цифровым индикаторам.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В форме обработки должны быть предусмотрены: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статус обработки индикатора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поле комментария инспектора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выбор пунктов нормативных правовых актов или обязательных требований, которые были нарушены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возможность множественного выбора пунктов нормативки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дополнительные поля, связанные со статусной моделью и атрибутивным составом, который будет уточняться в проектировании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Для индикаторов 8 и 9 сохраняется отдельная специфика, так как там уже есть обработка подозрительных операций и модернизация существующих форм ввода данных. Однако общий подход к подтверждению и дальнейшей обработке должен быть единым.</w:t>
      </w:r>
    </w:p>
    <w:p>
      <w:pPr>
        <w:pStyle w:val="Heading2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5.2. Экранные формы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По оценке с встреч зафиксирован ориентир: 5 индикаторов × 3 формы = 15 экранных форм.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Типы форм: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просмотр индикатора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обработка индикатора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нормативная информация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Отдельно было проговорено, что для цифровых индикаторов будет один общий АРМ инспектора, а не раздельные интерфейсы по ролям.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По индикаторам 8 и 9 потребуется модернизация существующих Форм ввода данных (ФВД) в части вывода дополнительных полей и нормативной информации.</w:t>
      </w:r>
    </w:p>
    <w:p>
      <w:pPr>
        <w:pStyle w:val="Heading2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hd w:fill="auto" w:val="clear"/>
          <w:lang w:val="ru-RU"/>
        </w:rPr>
        <w:t>5.3. Работа с нормативной информацией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В форме обработки должна появиться возможность указывать нарушенные пункты нормативных правовых актов. Эта нормативка не приходит извне в рамках интеграции, а ведется в базе системы как справочник.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По сути, это связанный справочник минимум двухуровневой структуры с возможностью множественного выбора. В базовом варианте пользователю должны предлагаться наиболее вероятные пункты по данному индикатору, но при этом должен быть доступен полный перечень нормативки.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Текущего свободного текстового поля недостаточно; требуется нормализованный выбор нарушенных требований с возможностью выбрать как рекомендуемые, так и иные пункты.</w:t>
      </w:r>
    </w:p>
    <w:p>
      <w:pPr>
        <w:pStyle w:val="Heading2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hd w:fill="auto" w:val="clear"/>
          <w:lang w:val="ru-RU"/>
        </w:rPr>
        <w:t xml:space="preserve">5.4. Интеграция через </w:t>
      </w:r>
      <w:r>
        <w:rPr>
          <w:rFonts w:cs="Times New Roman" w:ascii="Times New Roman" w:hAnsi="Times New Roman"/>
          <w:color w:themeColor="dark1" w:val="000000"/>
          <w:shd w:fill="auto" w:val="clear"/>
        </w:rPr>
        <w:t>SOAP</w:t>
      </w:r>
      <w:r>
        <w:rPr>
          <w:rFonts w:cs="Times New Roman" w:ascii="Times New Roman" w:hAnsi="Times New Roman"/>
          <w:color w:themeColor="dark1" w:val="000000"/>
          <w:shd w:fill="auto" w:val="clear"/>
          <w:lang w:val="ru-RU"/>
        </w:rPr>
        <w:t xml:space="preserve">, </w:t>
      </w:r>
      <w:r>
        <w:rPr>
          <w:rFonts w:cs="Times New Roman" w:ascii="Times New Roman" w:hAnsi="Times New Roman"/>
          <w:color w:themeColor="dark1" w:val="000000"/>
          <w:shd w:fill="auto" w:val="clear"/>
        </w:rPr>
        <w:t>XML</w:t>
      </w:r>
      <w:r>
        <w:rPr>
          <w:rFonts w:cs="Times New Roman" w:ascii="Times New Roman" w:hAnsi="Times New Roman"/>
          <w:color w:themeColor="dark1" w:val="000000"/>
          <w:shd w:fill="auto" w:val="clear"/>
          <w:lang w:val="ru-RU"/>
        </w:rPr>
        <w:t xml:space="preserve"> и Система межведомственного электронного взаимодействия (СМЭВ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)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Команда должна уметь вызывать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SOAP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-сервисы через ИВИС. Прямых вызовов из аналитической системы к сервисам ГосТех быть не должно.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Основной технический объем в зоне команды включает: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сбор требуемого набора атрибутов по индикатору, нарушениям, хозяйствующему субъекту, площадке, документам и иным связанным сущностям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прием ответа и извлечение служебной информации, в том числе идентификаторов сообщений и статусов обмена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обработка вложений, если они приходят в ответе, включая прием одного или нескольких файлов и их увязку с конкретным индикатором или пакетом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формирование итогового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 и файлового пакета для отправки в сервис ГосТех (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через ИВИС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)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, а также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отдельного пакета обратной связи по качеству генерации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На встречах прямо зафиксировано, что наличие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</w:rPr>
        <w:t>XSD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-схемы принципиально важно, но на момент обсуждения точная схема еще не была предоставлена. Заказчик должен предоставить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</w:rPr>
        <w:t>XSD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 и сопутствующие материалы в ходе проекта.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Также было проговорено, что конкретный атрибутивный состав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</w:rPr>
        <w:t>XSD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 уникален для каждого вида сведений, и пока его нет, оценка может быть только верхнеуровневой. Дополнительно требуется учитывать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передачу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</w:rPr>
        <w:t>attachment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 в составе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</w:rPr>
        <w:t>SOAP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-обмена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Heading2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5.5. Служебная информация и логирование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В числе примеров прямо назывались идентификаторы транзакций, номера сертификатов, идентификаторы хозяйствующего субъекта, площадки,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</w:rPr>
        <w:t>message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</w:rPr>
        <w:t>ID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 обменов и иные технические атрибуты.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Отдельно требуется логирование межведомственного взаимодействия: что отправлено, когда отправлено, что принято, успешно ли прошел обмен, была ли ошибка, таймаут, какой пакет находится в ожидании и какой статус вернулся из ГосТех.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Heading2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5.6. Доказательная база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После вызова соответствующего сервиса система получает один или несколько файлов. На встрече отдельно проговорено, что формат файлов может различаться; для аналитической системы принципиален не формат, а возможность принять, сохранить и показать пользователю результат.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Что требуется сделать в аналитической системе: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принять пакет файлов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распаковать при необходимости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обеспечить пользователю просмотр или скачивание файлов в том же рабочем пространстве, где он работает с индикатором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сохранить доступ к этим файлам без искажения и потери во времени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Для доказательной базы редактирование не требуется. Эти файлы формируются автоматически и должны быть доступны пользователю только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на просмотр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 и скачивание (для просмотра). Желательно, также выводить краткую атрибутику файла: тип документа, номер, дату или иное описание, если оно приходит в ответе.</w:t>
      </w:r>
    </w:p>
    <w:p>
      <w:pPr>
        <w:pStyle w:val="Heading2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5.7. Генерация и редактирование документов через большую языковую модель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Большая языковая модель не заменяет инспектора и не принимает решение за него. Она формирует проект одного или нескольких документов на основе предоставленных сведений.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Система должна обеспечить: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передачу в сервис необходимых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-данных, доказательной базы и служебной информации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прием результата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в редактируемом формате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возможность для инспектора скачать документ, откорректировать его локально и вернуть итоговую редакцию в систему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сохранение итоговой редакции инспектора и увязку исходной и итоговой версий между собой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Также было отдельно сказано, что у целевого сервиса на ГосТех предполагается механизм обратной связи по качеству генерации. Базово это отдельная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оценка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 в интерфейсе, которая вместе с файлами отправляется обратно в сервис большой языковой модели.</w:t>
      </w:r>
    </w:p>
    <w:p>
      <w:pPr>
        <w:pStyle w:val="Heading2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5.8. Работа с файлами, загруженными пользователем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По итогам второй и третьей встреч зафиксирована важная неопределенность: в текущих Формах ввода данных (ФВД) нет штатного механизма, позволяющего открыть локальную папку пользователя, прикрепить измененный файл обратно в систему и связать его с конкретным индикатором и пакетом документов.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При этом в сценарии требуется, чтобы пользователь скачал полученный от большой языковой модели (LLM) документ, отредактировал его локально и вернул итоговую редакцию в систему. Работа с документом будет происходить локально на компьютере инспектора.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Следовательно, команде необходимо отдельно проработать и оценить механизм загрузки итоговой версии документа от инспектора в аналитическую систему, а также сценарий ее хранения, повторного скачивания и последующей отправки.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Это один из ключевых технических рисков, так как без такого механизма сценарий редактирования, оценки качества генерации и последующей отправки в ГосТех не выполняется. При этом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hd w:fill="auto" w:val="clear"/>
          <w:lang w:val="ru-RU"/>
        </w:rPr>
        <w:t xml:space="preserve">от пользователя нельзя ожидать работы с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hd w:fill="auto" w:val="clear"/>
        </w:rPr>
        <w:t>S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hd w:fill="auto" w:val="clear"/>
          <w:lang w:val="ru-RU"/>
        </w:rPr>
        <w:t>3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, ЭТП или иными внешними хранилищами: весь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сценарий должен укладываться в интерфейс портала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.</w:t>
      </w:r>
    </w:p>
    <w:p>
      <w:pPr>
        <w:pStyle w:val="Heading2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5.9. Финальная отправка в ГосТех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После подтверждения индикатора, получения доказательной базы, подготовки итоговой редакции документа и формирования необходимых служебных сведений система должна сформировать и отправить в сервис ГосТех (через ИВИС) полный пакет.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В пакет входят: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с данными индикатора и сопутствующей информацией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доказательная база и иные файлы, полученные по ходу сценария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итоговая редакция документа от инспектора (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а при необходимости и исходная версия, если это потребуется формату обмена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)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иные накопленные в процессе сведения, включая статусы, идентификаторы и техническую атрибутику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На встречах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отдельно проговорено, что в сторону ГосТех должны уходить именно файлы, а не ссылки на них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. Отправка в ГосТех не должна быть доступна до формирования финальной редакции документа. При этом отправка оценки качества генерации и отправка в ГосТех могут быть разблокированы одновременно и не обязаны блокировать друг друга.</w:t>
      </w:r>
    </w:p>
    <w:p>
      <w:pPr>
        <w:pStyle w:val="Heading2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5.10. Аналитическая отчетность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Зафиксировано требование на 8 дашбордов. Подход к оценке: каждый отчет считается отдельным дашбордом.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статусы обработки выявленных индикаторов, включая их эффективность и статусы прохождения КНМ после отправки материалов в ГосТех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технические детали взаимодействия сервисов, то есть технический дашборд по логированию обменов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отчетность о проведенных КНМ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отчетность о выявленных нарушениях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отчетность о принятых мерах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два дашборда по производным показателям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еще один дашборд в рамках общей структуры, чтобы суммарно соблюсти требование в 8 дашбордов, исходя из декомпозиции, принятой на встречах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По отчетам зафиксированы следующие принципы: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дашборды стандартные аналитические, без сложных Форм ввода данных (ФВД)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доступны фильтрация, просмотр и экспорт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технический дашборд нужен прежде всего центральному аппарату для контроля прохождения пакетов, состояния обмена и возврата статусов из ГосТех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shd w:fill="auto" w:val="clear"/>
          <w:lang w:val="ru-RU"/>
        </w:rPr>
        <w:t>производные показатели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на момент встреч полностью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shd w:fill="auto" w:val="clear"/>
          <w:lang w:val="ru-RU"/>
        </w:rPr>
        <w:t>не определены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, но обязательство сделать два отдельных отчета зафиксировано</w:t>
      </w:r>
    </w:p>
    <w:p>
      <w:pPr>
        <w:pStyle w:val="Heading2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hd w:fill="auto" w:val="clear"/>
          <w:lang w:val="ru-RU"/>
        </w:rPr>
        <w:t>5.11. Технические ориентиры для разработки и оценки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Для разработчиков принципиально важно различать два независимых потока файлов: доказательную базу и документы, сформированные большой языковой моделью. Доказательная база только принимается, сохраняется и показывается пользователю; редактирование этих файлов не требуется — их можно скачать, посмотреть, но нельзя загрузить обратно.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Документы, сформированные большой языковой моделью, должны приходить в редактируемом формате. Базовый сценарий не предполагает редактирование в интерфейсе аналитической системы: пользователь скачивает документ, корректирует его локально и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затем загружает итоговую редакцию обратно в систему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Для оценки реализации следует исходить из того, что системе нужны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как минимум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следующие сущности: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1) карточка индикатора,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2) пакет доказательной базы,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3) исходная версия документа от большой языковой модели,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4) итоговая версия документа от инспектора,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5) запись об оценке качества генерации,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6) журнал интеграционных обменов.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Минимально необходимая последовательность вызовов такова: подтверждение индикатора → выбор нормативки → запрос доказательной базы → прием и сохранение файлов → вызов большой языковой модели → прием проекта документа → загрузка итоговой редакции инспектора → отправка оценки качества генерации → отправка итогового пакета в ГосТех. До получения доказательной базы вызов большой языковой модели не выполняется.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При проектировании интерфейса и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backend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-логики не требуется парсить содержимое файлов и показывать пользователю различия между версиями. Для базового сценария достаточно дать возможность скачать файл, загрузить новую редакцию, хранить обе версии и использовать их в дальнейшей интеграции.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Для оценки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backend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-части необходимо отдельно учитывать: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1) прием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attachment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из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SOAP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-ответов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,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2) хранение файлов с привязкой к индикатору и пакету,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3) повторное скачивание файлов,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4) извлечение служебной информации из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-ответов,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5) формирование финального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-пакета с приложениями для отправки в ГосТех (через ИВИС).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Для оценки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UI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-части необходимо отдельно учитывать: отображение статусов процесса, ссылки на скачивание файлов в том же рабочем пространстве, где инспектор работает с индикатором, форму загрузки итоговой редакции документа и ввод оценки качества генерации.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Минимальный набор статусов, который целесообразно закладывать в оценку уже на этом этапе: индикатор сформирован, индикатор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shd w:fill="auto" w:val="clear"/>
          <w:lang w:val="ru-RU"/>
        </w:rPr>
        <w:t>подтвержден или отклонен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, доказательная база запрошена, доказательная база получена, документы от большой языковой модели получены,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shd w:fill="auto" w:val="clear"/>
          <w:lang w:val="ru-RU"/>
        </w:rPr>
        <w:t>итоговая редакция загружена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, оценка генерации отправлена, материалы в ГосТех отправлены, результат КНМ получен.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Указанные ориентиры введены именно для целей оценки. Детальные технические решения по хранению файлов, форматам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attachment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, механизму обновления статусов и составу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должны быть уточнены после получения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shd w:fill="auto" w:val="clear"/>
        </w:rPr>
        <w:t>XSD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shd w:fill="auto" w:val="clear"/>
          <w:lang w:val="ru-RU"/>
        </w:rPr>
        <w:t xml:space="preserve">-схем,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shd w:fill="auto" w:val="clear"/>
        </w:rPr>
        <w:t>WSDL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shd w:fill="auto" w:val="clear"/>
          <w:lang w:val="ru-RU"/>
        </w:rPr>
        <w:t xml:space="preserve"> и спецификаций интеграционных сервисов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.</w:t>
      </w:r>
    </w:p>
    <w:p>
      <w:pPr>
        <w:pStyle w:val="Heading1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6. Что не входит в зону ответственности команды аналитической системы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Расчет моделей и собственно выявление цифровых индикаторов как алгоритмический или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ML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-процесс.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Сервис сбора доказательной базы как отдельный сервис ГосТех.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Сервис большой языковой модели как отдельный сервис ГосТех.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Backend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-логика и модели, которые могут реализовываться внешними командами, в том числе командой Сбера или другими командами, которые определит заказчик.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Инфраструктурная часть СМЭВ, криптография, проксирование и соответствие внешнему контуру, если это закрывается ИВИС.</w:t>
      </w:r>
    </w:p>
    <w:p>
      <w:pPr>
        <w:pStyle w:val="Heading1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7. Что нужно оценить команде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Оценка должна покрывать не только интерфейсные доработки, но и весь сквозной сценарий.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Минимальный перечень блоков оценки: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создание формы обработки индикаторов инспектором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доработка существующих форм просмотра и связанных экранов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модернизация ФВД по индикаторам 8 и 9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справочник нормативных актов и множественный выбор нарушенных пунктов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формирование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по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XSD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SOAP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-интеграция через ИВИС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прием и хранение файлов доказательной базы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вызов сервиса большой языковой модели и прием результата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хранение двух версий документа: версии большой языковой модели и итоговой версии инспектора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механизм загрузки итоговой редакции документа от инспектора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финальная пакетная отправка данных и файлов в ГосТех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логирование обменов и сохранение служебной информации</w:t>
      </w:r>
    </w:p>
    <w:p>
      <w:pPr>
        <w:pStyle w:val="Normal"/>
        <w:spacing w:lineRule="auto" w:line="245" w:before="0" w:after="40"/>
        <w:ind w:start="68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реализация 8 аналитических дашбордов</w:t>
      </w:r>
    </w:p>
    <w:p>
      <w:pPr>
        <w:pStyle w:val="Heading1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8. Открытые вопросы и риски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Не было окончательно определено, в каком именно формате в разных сценариях приходят и возвращаются файлы: доказательная база может включать разные типы файлов, а документы от большой языковой модели должны приходить в </w:t>
      </w:r>
      <w:r>
        <w:rPr>
          <w:rFonts w:cs="Times New Roman" w:ascii="Times New Roman" w:hAnsi="Times New Roman"/>
          <w:i/>
          <w:iCs/>
          <w:color w:themeColor="dark1" w:val="000000"/>
          <w:sz w:val="24"/>
          <w:shd w:fill="auto" w:val="clear"/>
          <w:lang w:val="ru-RU"/>
        </w:rPr>
        <w:t>редактируемом формате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Не зафиксирован окончательный механизм обратной загрузки итоговой редакции документа инспектором и увязки этой версии с исходным пакетом документов.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hd w:fill="auto" w:val="clear"/>
          <w:lang w:val="ru-RU"/>
        </w:rPr>
        <w:t>Не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 до конца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hd w:fill="auto" w:val="clear"/>
          <w:lang w:val="ru-RU"/>
        </w:rPr>
        <w:t>определен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hd w:fill="auto" w:val="clear"/>
          <w:lang w:val="ru-RU"/>
        </w:rPr>
        <w:t>механизм получения статуса результата КНМ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 после отправки материалов в ГосТех: </w:t>
      </w:r>
      <w:r>
        <w:rPr>
          <w:rFonts w:cs="Times New Roman" w:ascii="Times New Roman" w:hAnsi="Times New Roman"/>
          <w:i/>
          <w:iCs/>
          <w:color w:themeColor="dark1" w:val="000000"/>
          <w:sz w:val="24"/>
          <w:shd w:fill="auto" w:val="clear"/>
          <w:lang w:val="ru-RU"/>
        </w:rPr>
        <w:t>это может быть входящее сообщение, фоновое обновление или отдельный запрос на обновление статуса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Не зафиксирован окончательный механизм редактирования и последующей обратной загрузки документа инспектором.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Не определены все поля расширенного атрибутивного состава и статусной модели.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Есть риск невозможности дать быстро точную оценку без дополнительного разбора с разработкой.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Есть риск, что отдельные части пользовательского сценария не выполнятся в текущих возможностях ФВД без специальной доработки механизма загрузки файлов.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Есть зависимость от внешних команд и внешних сервисов: без их фактической спецификации и готовности часть оценки остается приблизительной.</w:t>
      </w:r>
    </w:p>
    <w:p>
      <w:pPr>
        <w:pStyle w:val="Normal"/>
        <w:spacing w:lineRule="auto" w:line="245" w:before="0" w:after="40"/>
        <w:ind w:start="3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По производным показателям для двух дашбордов на встречах не была зафиксирована окончательная предметная декомпозиция, но обязательство по их количеству уже есть.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Heading1"/>
        <w:spacing w:before="120" w:after="60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hd w:fill="auto" w:val="clear"/>
        </w:rPr>
        <w:t>9. Итоговое задание по ролям</w:t>
      </w:r>
    </w:p>
    <w:tbl>
      <w:tblPr>
        <w:tblW w:w="9747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shd w:fill="auto" w:val="clear"/>
                <w:lang w:val="en-US" w:eastAsia="en-US" w:bidi="ar-SA"/>
              </w:rPr>
              <w:t>Роль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shd w:fill="auto" w:val="clear"/>
                <w:lang w:val="en-US" w:eastAsia="en-US" w:bidi="ar-SA"/>
              </w:rPr>
              <w:t>Что нужно сделать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shd w:fill="auto" w:val="clear"/>
                <w:lang w:val="en-US" w:eastAsia="en-US" w:bidi="ar-SA"/>
              </w:rPr>
              <w:t>Комментарий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Системный а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shd w:fill="auto" w:val="clear"/>
                <w:lang w:val="en-US" w:eastAsia="en-US" w:bidi="ar-SA"/>
              </w:rPr>
              <w:t>налитик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ru-RU" w:eastAsia="en-US" w:bidi="ar-SA"/>
              </w:rPr>
              <w:t>Разложить требования по формам, статусам, атрибутам, справочникам нормативки, сценариям запуска сервисов, оценке качества генерации и составу пакетов данных.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Определить способ хранения файлов и версий документов, механизм увязки файлов с индикатором и технический подход к загрузке пользовательских файлов.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ru-RU" w:eastAsia="en-US" w:bidi="ar-SA"/>
              </w:rPr>
              <w:t>Нужно закрыть не только интерфейс, но и сквозной сценарий от подтверждения индикатора до отправки в ГосТех и последующего обновления статуса.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Требование к хранилищу не зафиксировано, решение нужно принять внутри проекта.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shd w:fill="auto" w:val="clear"/>
                <w:lang w:val="en-US" w:eastAsia="en-US" w:bidi="ar-SA"/>
              </w:rPr>
              <w:t>Интеграционный разработчик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ru-RU" w:eastAsia="en-US" w:bidi="ar-SA"/>
              </w:rPr>
              <w:t xml:space="preserve">Оценить 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en-US" w:eastAsia="en-US" w:bidi="ar-SA"/>
              </w:rPr>
              <w:t>SOAP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ru-RU" w:eastAsia="en-US" w:bidi="ar-SA"/>
              </w:rPr>
              <w:t xml:space="preserve">-интеграцию через ИВИС, формирование 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en-US" w:eastAsia="en-US" w:bidi="ar-SA"/>
              </w:rPr>
              <w:t>XML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ru-RU" w:eastAsia="en-US" w:bidi="ar-SA"/>
              </w:rPr>
              <w:t xml:space="preserve"> по 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en-US" w:eastAsia="en-US" w:bidi="ar-SA"/>
              </w:rPr>
              <w:t>XSD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ru-RU" w:eastAsia="en-US" w:bidi="ar-SA"/>
              </w:rPr>
              <w:t>, прием ответов и вложений, отправку оценки качества генерации, финальную отправку пакета в ГосТех и прием статусов.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ru-RU" w:eastAsia="en-US" w:bidi="ar-SA"/>
              </w:rPr>
              <w:t xml:space="preserve">Оценка пока верхнеуровневая, до получения 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en-US" w:eastAsia="en-US" w:bidi="ar-SA"/>
              </w:rPr>
              <w:t>XSD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ru-RU" w:eastAsia="en-US" w:bidi="ar-SA"/>
              </w:rPr>
              <w:t xml:space="preserve"> и точных контрактов.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shd w:fill="auto" w:val="clear"/>
                <w:lang w:val="en-US" w:eastAsia="en-US" w:bidi="ar-SA"/>
              </w:rPr>
              <w:t xml:space="preserve">Разработчик UI / 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ФВД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ru-RU" w:eastAsia="en-US" w:bidi="ar-SA"/>
              </w:rPr>
              <w:t>Реализовать форму обработки индикатора, просмотр и скачивание доказательной базы, запуск формирования документов, загрузку итоговой редакции инспектора, отображение статусов и оценку качества генерации.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ru-RU" w:eastAsia="en-US" w:bidi="ar-SA"/>
              </w:rPr>
              <w:t>Критичные вопросы — поддержка загрузки пользовательского файла обратно в систему и удобный сценарий работы пользователя в одном интерфейсе.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shd w:fill="auto" w:val="clear"/>
                <w:lang w:val="en-US" w:eastAsia="en-US" w:bidi="ar-SA"/>
              </w:rPr>
              <w:t xml:space="preserve">BI 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аналитик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shd w:fill="auto" w:val="clear"/>
                <w:lang w:val="ru-RU" w:eastAsia="en-US" w:bidi="ar-SA"/>
              </w:rPr>
              <w:t>Сделать 8 дашбордов, включая статусы обработки, технический дашборд интеграционных обменов, КНМ, нарушения, меры и производные показатели.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Каждый отчет считается отдельным дашбордом.</w:t>
            </w:r>
          </w:p>
        </w:tc>
      </w:tr>
    </w:tbl>
    <w:p>
      <w:pPr>
        <w:pStyle w:val="Normal"/>
        <w:spacing w:before="120" w:after="60"/>
        <w:rPr>
          <w:rFonts w:ascii="Times New Roman" w:hAnsi="Times New Roman" w:cs="Times New Roman"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b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b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b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b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b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b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b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b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b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b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5" w:before="0" w:after="40"/>
        <w:rPr>
          <w:highlight w:val="none"/>
          <w:shd w:fill="auto" w:val="clear"/>
        </w:rPr>
        <w:sectPr>
          <w:type w:val="nextPage"/>
          <w:pgSz w:w="12240" w:h="15840"/>
          <w:pgMar w:left="1247" w:right="1247" w:gutter="0" w:header="0" w:top="851" w:footer="0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cs="Times New Roman" w:ascii="Times New Roman" w:hAnsi="Times New Roman"/>
          <w:b/>
          <w:color w:themeColor="dark1" w:val="000000"/>
          <w:sz w:val="24"/>
          <w:szCs w:val="24"/>
          <w:shd w:fill="auto" w:val="clear"/>
          <w:lang w:val="ru-RU"/>
        </w:rPr>
        <w:t xml:space="preserve">Команда аналитической системы должна реализовать интерфейс и интеграционный контур для полного процесса работы с цифровыми индикаторами: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показать индикатор, дать инспектору подтвердить его, получить и сохранить доказательную базу, сформировать документы через большую языковую модель, дать инспектору отредактировать итоговый документ, сохранить обе версии и отправить полный пакет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и файлов в ГосТех через ИВИС. Одновременно необходимо подготовить 8 дашбордов и обеспечить логирование межведомственного обмена.</w:t>
      </w:r>
      <w:r>
        <w:br w:type="page"/>
      </w:r>
    </w:p>
    <w:p>
      <w:pPr>
        <w:pStyle w:val="Normal"/>
        <w:spacing w:lineRule="auto" w:line="245" w:before="0" w:after="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             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shd w:fill="auto" w:val="clear"/>
          <w:lang w:val="ru-RU"/>
        </w:rPr>
        <w:t>Схема бизнес-процесса</w:t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5" w:before="0" w:after="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             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Процесс включает:</w:t>
      </w:r>
    </w:p>
    <w:p>
      <w:pPr>
        <w:pStyle w:val="Normal"/>
        <w:spacing w:lineRule="auto" w:line="245" w:before="0" w:after="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    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обязательное подтверждение индикатора инспектором</w:t>
      </w:r>
    </w:p>
    <w:p>
      <w:pPr>
        <w:pStyle w:val="Normal"/>
        <w:spacing w:lineRule="auto" w:line="245" w:before="0" w:after="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    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формирование доказательной базы через ФГИС ИВИС</w:t>
      </w:r>
    </w:p>
    <w:p>
      <w:pPr>
        <w:pStyle w:val="Normal"/>
        <w:spacing w:lineRule="auto" w:line="245" w:before="0" w:after="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    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генерацию документов с использованием LLM</w:t>
      </w:r>
    </w:p>
    <w:p>
      <w:pPr>
        <w:pStyle w:val="Normal"/>
        <w:spacing w:lineRule="auto" w:line="245" w:before="0" w:after="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    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редактирование документов пользователем</w:t>
      </w:r>
    </w:p>
    <w:p>
      <w:pPr>
        <w:pStyle w:val="Normal"/>
        <w:spacing w:lineRule="auto" w:line="245" w:before="0" w:after="4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    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передачу полного пакета (XML + файлы) в ГосТех</w:t>
      </w:r>
    </w:p>
    <w:p>
      <w:pPr>
        <w:pStyle w:val="Normal"/>
        <w:spacing w:lineRule="auto" w:line="245" w:before="0" w:after="40"/>
        <w:rPr>
          <w:highlight w:val="none"/>
          <w:shd w:fill="auto" w:val="clear"/>
        </w:rPr>
      </w:pPr>
      <w:r>
        <w:rPr>
          <w:shd w:fill="auto" w:val="clear"/>
        </w:rPr>
        <w:drawing>
          <wp:inline distT="0" distB="0" distL="0" distR="0">
            <wp:extent cx="9933305" cy="13500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3305" cy="135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highlight w:val="none"/>
          <w:shd w:fill="auto" w:val="clear"/>
          <w:lang w:val="ru-RU"/>
        </w:rPr>
        <w:sectPr>
          <w:type w:val="nextPage"/>
          <w:pgSz w:orient="landscape" w:w="15840" w:h="12240"/>
          <w:pgMar w:left="142" w:right="851" w:gutter="0" w:header="0" w:top="1247" w:footer="0" w:bottom="1247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Heading1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10. Позиционирование АРМ как подсистемы Аналитической системы РСХН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Данный раздел определяет архитектурную позицию разрабатываемого АРМ инспектора в контексте Аналитической системы РСХН и фиксирует ключевые интеграционные требования, вытекающие из этого позиционирования.</w:t>
      </w:r>
    </w:p>
    <w:p>
      <w:pPr>
        <w:pStyle w:val="Heading2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10.1. Архитектурный статус: отдельная подсистема Аналитической системы РСХН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АРМ инспектора по цифровым индикаторам рассматривается как отдельная подсистема в составе платформы Аналитической системы РСХН 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Это означает, что АРМ разрабатывается и эксплуатируется в рамках единого технологического контура Аналитической системы РСХН, но имеет собственный функциональный периметр, отдельный цикл разработки и выделенный набор экранных форм.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Подход «отдельная подсистема» предпочтителен ввиду специфики рабочего процесса инспектора, нетипичной для стандартной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BI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-аналитики: наличие интерактивных форм ввода, управление статусной моделью, вызов внешних сервисов и хранение файлов.</w:t>
      </w:r>
    </w:p>
    <w:p>
      <w:pPr>
        <w:pStyle w:val="Heading2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10.2. Единая система авторизации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АРМ должен использовать единый механизм аутентификации и авторизации, реализованный в Аналитической системы РСХН. 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Ролевая модель доступа к функциям АРМ (инспектор, руководитель, администратор) должна быть определена и настроена в рамках существующей системы ролей Аналитической системы РСХН, без создания параллельных механизмов управления доступом.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При необходимости введения новых ролей или дополнительных атрибутов пользователя, специфичных для АРМ, расширение должно производиться через штатные механизмы Аналитической системы РСХН, а не путём создания обходных решений на уровне АРМ, при этом необходимо в том числе рассмотреть вариант собственного административного раздела с правами пользователей и возможно более тонкой настройкой прав на уровне функций АРМа. (по идее аналогично как сейчас в ФВД) 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highlight w:val="none"/>
          <w:shd w:fill="auto" w:val="clear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</w:r>
    </w:p>
    <w:p>
      <w:pPr>
        <w:pStyle w:val="Heading2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10.3. Размещение АРМ в интерфейсе Аналитической системы РСХН и вызов с дашборда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АРМ размещается внутри интерфейса Аналитической системы РСХН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как самостоятельный раздел навигации (или вкладка), доступный авторизованному пользователю в рамках его ролевых прав.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Одновременно с этим должна быть предусмотрена возможность перехода в АРМ непосредственно с дашборда Аналитической системы РСХН — по аналогии с тем, как сейчас реализован переход в ФВД с соответствующих дашбордов. Такой переход должен быть контекстным: при открытии АРМ с дашборда система должна передавать идентификатор конкретного индикатора или объекта надзора, по которому был совершён переход, минимизируя количество дополнительных действий инспектора.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Необходимо определить и зафиксировать конкретные виджеты или элементы дашбордов, с которых будет осуществляться вызов АРМ (например, карточка срабатывания индикатора, строка таблицы результатов КНМ), и описать механизм передачи контекста при переходе.</w:t>
      </w:r>
    </w:p>
    <w:p>
      <w:pPr>
        <w:pStyle w:val="Heading2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10.4. Взаимодействие с Аналитической системой РСХН на уровне данных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Результаты работы инспектора в АРМ — подтверждение или отклонение индикатора, статусы обработки, введённые атрибуты, оценка качества генерации — должны быть доступны в дашбордах Аналитической системы РСХН без дополнительных ручных шагов по синхронизации.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Необходимо определить, каким образом данные, созданные в АРМ, попадают в хранилище Аналитической системы РСХН: через прямую запись в единую БД, через шину данных или через отдельный слой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API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. Выбранный способ должен обеспечивать актуальность данных на дашбордах без значимой задержки.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Файлы, созданные или полученные в рамках работы АРМ (доказательная база, документы от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LLM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, итоговые редакции инспектора), должны быть доступны для отображения и скачивания как из АРМ, так и — в части аналитических сведений — из дашбордов Аналитической системы РСХН. Механизм хранения и раздачи файлов должен быть единым для всего контура Аналитической системы РСХН.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Аналитические дашборды (раздел 5.10 настоящего документа) строятся на данных, которые АРМ генерирует в ходе эксплуатации. Системный аналитик должен обеспечить, чтобы эти данные были доступны в витринах или слое, который используют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BI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-отчёты Аналитической системы РСХН, не требуя дополнительной ручной выгрузки.</w:t>
      </w:r>
    </w:p>
    <w:p>
      <w:pPr>
        <w:pStyle w:val="Heading2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10.5. Границы интеграции с внешними сервисами: АРМ или ЕТЛ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Необходимо явно разграничить ответственность между АРМ и процессами ЕТЛ в части взаимодействия с внешними сервисами. Смешение этих ответственностей ведёт к дублированию логики, затруднению поддержки и нарушению целостности данных.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Принципиальное разграничение предлагается следующее: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ab/>
        <w:t xml:space="preserve">• АРМ отвечает за интерактивные интеграционные вызовы, инициируемые пользователем в реальном времени: запрос доказательной базы, вызов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LLM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для генерации документов, отправка финального пакета в ГосТех через ИВИС, получение ответного статуса КНМ. Эти вызовы являются частью пользовательского сценария и требуют отображения статуса и результата непосредственно в интерфейсе инспектора.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ab/>
        <w:t>• ЕТЛ отвечает за фоновую и массовую передачу данных, не привязанную к конкретной сессии пользователя: регулярная загрузка справочников из внешних источников, пакетное обновление данных о КНМ и поднадзорных объектах, синхронизация со смежными системами в части исторических данных, а также первоначальная загрузка данных для дашбордов.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Если по результатам работы АРМ формируются данные, которые необходимо передать в смежные системы (например, результаты КНМ в учётную систему), то механизм такой передачи должен быть отдельно согласован: либо это выполняет АРМ в рамках своего интеграционного контура, либо это задача ЕТЛ, работающего с общей БД. По умолчанию рекомендуется: первичная отправка — АРМ, вторичная репликация в смежные системы — ЕТЛ.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Данное разграничение должно быть зафиксировано в архитектурном решении до начала разработки и согласовано с командой интеграции. Отсутствие чёткой границы является операционным риском, так как может приводить к двойным записям, конфликтам версий данных и непредсказуемому поведению при сбоях.</w:t>
      </w:r>
    </w:p>
    <w:p>
      <w:pPr>
        <w:pStyle w:val="Heading2"/>
        <w:ind w:hanging="0" w:star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10.6. Итоговые требования к проработке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До начала разработки АРМ необходимо: зафиксировать место АРМ в навигационной структуре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Аналитической системы РСХН и согласовать с владельцем платформы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Описать контекстную передачу параметров при переходе с дашборда в АРМ и разработать соответствующий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API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или механизм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deep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</w:rPr>
        <w:t>link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Согласовать с командой РСХН расширение ролевой модели для нужд АРМ.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Определить модель данных для результатов работы АРМ в части их доступности в дашбордах, и включить это в задачу системного аналитика.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 xml:space="preserve">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Зафиксировать матрицу интеграционных вызовов с указанием для каждого вызова: инициатор (пользователь / фоновый процесс), ответственный компонент (АРМ / ЕТЛ), синхронность, обработка ошибок.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br/>
      </w:r>
      <w:r>
        <w:rPr>
          <w:rFonts w:cs="Times New Roman" w:ascii="Times New Roman" w:hAnsi="Times New Roman"/>
          <w:b/>
          <w:bCs/>
          <w:sz w:val="24"/>
          <w:szCs w:val="24"/>
          <w:shd w:fill="auto" w:val="clear"/>
          <w:lang w:val="ru-RU"/>
        </w:rPr>
        <w:t>11.  Архитектурная реализация АРМ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Функциональность обработки индикаторов реализуется в виде отдельного АРМ инспектора в составе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Аналитической системы РСХН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>АРМ включает: пользовательские формы обработки, вызовы внешних сервисов, работу с файлами, управление статусами.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АРМ не является отдельной системой, а встраивается в существующий контур </w:t>
      </w:r>
      <w:r>
        <w:rPr>
          <w:rFonts w:cs="Times New Roman" w:ascii="Times New Roman" w:hAnsi="Times New Roman"/>
          <w:sz w:val="24"/>
          <w:szCs w:val="24"/>
          <w:shd w:fill="auto" w:val="clear"/>
        </w:rPr>
        <w:t>Modus</w:t>
      </w: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>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реализация АРМ как отдельной подсистемы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Аналитической системы РСХН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интеграция АРМ с дашбордами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Аналитической системы РСХН</w:t>
      </w: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 переход с контекстом)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механизм передачи параметров при переходе из </w:t>
      </w:r>
      <w:r>
        <w:rPr>
          <w:rFonts w:cs="Times New Roman" w:ascii="Times New Roman" w:hAnsi="Times New Roman"/>
          <w:sz w:val="24"/>
          <w:szCs w:val="24"/>
          <w:shd w:fill="auto" w:val="clear"/>
        </w:rPr>
        <w:t>BI</w:t>
      </w: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 в АРМ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>обеспечение доступности данных АРМ в аналитических витринах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Не определена окончательная архитектурная модель взаимодействия АРМ с ядром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Аналитической системы РСХН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>Не определен механизм передачи контекста при переходе из дашбордов в АРМ</w:t>
      </w:r>
    </w:p>
    <w:p>
      <w:pPr>
        <w:pStyle w:val="Normal"/>
        <w:spacing w:before="0" w:after="20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shd w:fill="auto" w:val="clear"/>
          <w:lang w:val="ru-RU"/>
        </w:rPr>
        <w:t xml:space="preserve">Не зафиксировано окончательное разделение ответственности между АРМ и </w:t>
      </w:r>
      <w:r>
        <w:rPr>
          <w:rFonts w:cs="Times New Roman" w:ascii="Times New Roman" w:hAnsi="Times New Roman"/>
          <w:sz w:val="24"/>
          <w:szCs w:val="24"/>
          <w:shd w:fill="auto" w:val="clear"/>
        </w:rPr>
        <w:t>ETL</w:t>
      </w:r>
    </w:p>
    <w:sectPr>
      <w:type w:val="nextPage"/>
      <w:pgSz w:w="12240" w:h="15840"/>
      <w:pgMar w:left="1247" w:right="1247" w:gutter="0" w:header="0" w:top="851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/>
    <w:family w:val="swiss"/>
    <w:pitch w:val="default"/>
  </w:font>
  <w:font w:name="Arial">
    <w:charset w:val="01"/>
    <w:family w:val="swiss"/>
    <w:pitch w:val="default"/>
  </w:font>
  <w:font w:name="Calibri">
    <w:charset w:val="01"/>
    <w:family w:val="swiss"/>
    <w:pitch w:val="default"/>
  </w:font>
  <w:font w:name="Courier">
    <w:altName w:val="Courier New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Microsoft Sans Serif">
    <w:charset w:val="01"/>
    <w:family w:val="swiss"/>
    <w:pitch w:val="default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DejaVu Sans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200"/>
      <w:jc w:val="start"/>
    </w:pPr>
    <w:rPr>
      <w:rFonts w:ascii="Arial" w:hAnsi="Arial" w:eastAsia="Arial" w:cs="DejaVu Sans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DejaVu Sans" w:cs="DejaVu Sans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DejaVu Sans" w:cs="DejaVu Sans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DejaVu Sans" w:cs="DejaVu Sans"/>
      <w:b/>
      <w:bCs/>
      <w:color w:val="404040"/>
      <w:sz w:val="21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DejaVu Sans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DejaVu Sans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DejaVu Sans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DejaVu Sans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DejaVu Sans" w:cs="DejaVu Sans"/>
      <w:color w:themeColor="accent1" w:val="4F81BD"/>
      <w:szCs w:val="20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DejaVu Sans" w:cs="DejaVu Sans"/>
      <w:i/>
      <w:iCs/>
      <w:color w:themeColor="dark1" w:themeTint="bf" w:val="404040"/>
      <w:szCs w:val="20"/>
    </w:rPr>
  </w:style>
  <w:style w:type="character" w:styleId="DefaultParagraphFont">
    <w:name w:val="Default Paragraph Font"/>
    <w:qFormat/>
    <w:rPr/>
  </w:style>
  <w:style w:type="character" w:styleId="Style5">
    <w:name w:val="Верхний колонтитул Знак"/>
    <w:basedOn w:val="DefaultParagraphFont"/>
    <w:link w:val="Header"/>
    <w:qFormat/>
    <w:rPr/>
  </w:style>
  <w:style w:type="character" w:styleId="Style6">
    <w:name w:val="Нижний колонтитул Знак"/>
    <w:basedOn w:val="DefaultParagraphFont"/>
    <w:link w:val="Footer"/>
    <w:qFormat/>
    <w:rPr/>
  </w:style>
  <w:style w:type="character" w:styleId="1">
    <w:name w:val="Заголовок 1 Знак"/>
    <w:basedOn w:val="DefaultParagraphFont"/>
    <w:link w:val="Heading1"/>
    <w:qFormat/>
    <w:rPr>
      <w:rFonts w:ascii="Calibri" w:hAnsi="Calibri" w:eastAsia="DejaVu Sans" w:cs="DejaVu Sans"/>
      <w:b/>
      <w:bCs/>
      <w:color w:themeColor="accent1" w:themeShade="bf" w:val="365F91"/>
      <w:sz w:val="28"/>
      <w:szCs w:val="28"/>
    </w:rPr>
  </w:style>
  <w:style w:type="character" w:styleId="2">
    <w:name w:val="Заголовок 2 Знак"/>
    <w:basedOn w:val="DefaultParagraphFont"/>
    <w:link w:val="Heading2"/>
    <w:qFormat/>
    <w:rPr>
      <w:rFonts w:ascii="Calibri" w:hAnsi="Calibri" w:eastAsia="DejaVu Sans" w:cs="DejaVu Sans"/>
      <w:b/>
      <w:bCs/>
      <w:color w:themeColor="accent1" w:val="4F81BD"/>
      <w:sz w:val="26"/>
      <w:szCs w:val="26"/>
    </w:rPr>
  </w:style>
  <w:style w:type="character" w:styleId="3">
    <w:name w:val="Заголовок 3 Знак"/>
    <w:basedOn w:val="DefaultParagraphFont"/>
    <w:link w:val="Heading3"/>
    <w:qFormat/>
    <w:rPr>
      <w:rFonts w:ascii="Calibri" w:hAnsi="Calibri" w:eastAsia="DejaVu Sans" w:cs="DejaVu Sans"/>
      <w:b/>
      <w:bCs/>
      <w:color w:themeColor="accent1" w:val="4F81BD"/>
    </w:rPr>
  </w:style>
  <w:style w:type="character" w:styleId="Style7">
    <w:name w:val="Заголовок Знак"/>
    <w:basedOn w:val="DefaultParagraphFont"/>
    <w:link w:val="Title"/>
    <w:qFormat/>
    <w:rPr>
      <w:rFonts w:ascii="Calibri" w:hAnsi="Calibri" w:eastAsia="DejaVu Sans" w:cs="DejaVu Sans"/>
      <w:color w:themeColor="dark2" w:themeShade="bf" w:val="17365D"/>
      <w:spacing w:val="5"/>
      <w:kern w:val="2"/>
      <w:sz w:val="52"/>
      <w:szCs w:val="52"/>
    </w:rPr>
  </w:style>
  <w:style w:type="character" w:styleId="Style8">
    <w:name w:val="Подзаголовок Знак"/>
    <w:basedOn w:val="DefaultParagraphFont"/>
    <w:link w:val="Subtitle"/>
    <w:qFormat/>
    <w:rPr>
      <w:rFonts w:ascii="Calibri" w:hAnsi="Calibri" w:eastAsia="DejaVu Sans" w:cs="DejaVu Sans"/>
      <w:i/>
      <w:iCs/>
      <w:color w:themeColor="accent1" w:val="4F81BD"/>
      <w:spacing w:val="15"/>
      <w:sz w:val="24"/>
      <w:szCs w:val="24"/>
    </w:rPr>
  </w:style>
  <w:style w:type="character" w:styleId="Style9">
    <w:name w:val="Основной текст Знак"/>
    <w:basedOn w:val="DefaultParagraphFont"/>
    <w:qFormat/>
    <w:rPr/>
  </w:style>
  <w:style w:type="character" w:styleId="21">
    <w:name w:val="Основной текст 2 Знак"/>
    <w:basedOn w:val="DefaultParagraphFont"/>
    <w:link w:val="BodyText2"/>
    <w:qFormat/>
    <w:rPr/>
  </w:style>
  <w:style w:type="character" w:styleId="31">
    <w:name w:val="Основной текст 3 Знак"/>
    <w:basedOn w:val="DefaultParagraphFont"/>
    <w:link w:val="BodyText3"/>
    <w:qFormat/>
    <w:rPr>
      <w:sz w:val="16"/>
      <w:szCs w:val="16"/>
    </w:rPr>
  </w:style>
  <w:style w:type="character" w:styleId="Style10">
    <w:name w:val="Текст макроса Знак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22">
    <w:name w:val="Цитата 2 Знак"/>
    <w:basedOn w:val="DefaultParagraphFont"/>
    <w:link w:val="Quote"/>
    <w:qFormat/>
    <w:rPr>
      <w:i/>
      <w:iCs/>
      <w:color w:themeColor="dark1" w:val="000000"/>
    </w:rPr>
  </w:style>
  <w:style w:type="character" w:styleId="4">
    <w:name w:val="Заголовок 4 Знак"/>
    <w:basedOn w:val="DefaultParagraphFont"/>
    <w:link w:val="Heading4"/>
    <w:qFormat/>
    <w:rPr>
      <w:rFonts w:ascii="Calibri" w:hAnsi="Calibri" w:eastAsia="DejaVu Sans" w:cs="DejaVu Sans"/>
      <w:b/>
      <w:bCs/>
      <w:i/>
      <w:iCs/>
      <w:color w:themeColor="accent1" w:val="4F81BD"/>
    </w:rPr>
  </w:style>
  <w:style w:type="character" w:styleId="5">
    <w:name w:val="Заголовок 5 Знак"/>
    <w:basedOn w:val="DefaultParagraphFont"/>
    <w:link w:val="Heading5"/>
    <w:qFormat/>
    <w:rPr>
      <w:rFonts w:ascii="Calibri" w:hAnsi="Calibri" w:eastAsia="DejaVu Sans" w:cs="DejaVu Sans"/>
      <w:color w:themeColor="accent1" w:themeShade="7f" w:val="243F60"/>
    </w:rPr>
  </w:style>
  <w:style w:type="character" w:styleId="6">
    <w:name w:val="Заголовок 6 Знак"/>
    <w:basedOn w:val="DefaultParagraphFont"/>
    <w:link w:val="Heading6"/>
    <w:qFormat/>
    <w:rPr>
      <w:rFonts w:ascii="Calibri" w:hAnsi="Calibri" w:eastAsia="DejaVu Sans" w:cs="DejaVu Sans"/>
      <w:i/>
      <w:iCs/>
      <w:color w:themeColor="accent1" w:themeShade="7f" w:val="243F60"/>
    </w:rPr>
  </w:style>
  <w:style w:type="character" w:styleId="7">
    <w:name w:val="Заголовок 7 Знак"/>
    <w:basedOn w:val="DefaultParagraphFont"/>
    <w:link w:val="Heading7"/>
    <w:qFormat/>
    <w:rPr>
      <w:rFonts w:ascii="Calibri" w:hAnsi="Calibri" w:eastAsia="DejaVu Sans" w:cs="DejaVu Sans"/>
      <w:i/>
      <w:iCs/>
      <w:color w:themeColor="dark1" w:themeTint="bf" w:val="404040"/>
    </w:rPr>
  </w:style>
  <w:style w:type="character" w:styleId="8">
    <w:name w:val="Заголовок 8 Знак"/>
    <w:basedOn w:val="DefaultParagraphFont"/>
    <w:link w:val="Heading8"/>
    <w:qFormat/>
    <w:rPr>
      <w:rFonts w:ascii="Calibri" w:hAnsi="Calibri" w:eastAsia="DejaVu Sans" w:cs="DejaVu Sans"/>
      <w:color w:themeColor="accent1" w:val="4F81BD"/>
      <w:sz w:val="20"/>
      <w:szCs w:val="20"/>
    </w:rPr>
  </w:style>
  <w:style w:type="character" w:styleId="9">
    <w:name w:val="Заголовок 9 Знак"/>
    <w:basedOn w:val="DefaultParagraphFont"/>
    <w:link w:val="Heading9"/>
    <w:qFormat/>
    <w:rPr>
      <w:rFonts w:ascii="Calibri" w:hAnsi="Calibri" w:eastAsia="DejaVu Sans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1">
    <w:name w:val="Выделенная цитата Знак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9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Microsoft Sans Serif" w:hAnsi="Microsoft Sans Serif"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lineRule="auto" w:line="240" w:before="0" w:after="0"/>
      <w:jc w:val="start"/>
    </w:pPr>
    <w:rPr>
      <w:rFonts w:ascii="Cambria" w:hAnsi="Cambria" w:eastAsia="DejaVu Sans" w:cs="DejaVu Sans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DejaVu Sans" w:cs="DejaVu Sans"/>
      <w:b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tyle8"/>
    <w:qFormat/>
    <w:pPr/>
    <w:rPr>
      <w:rFonts w:ascii="Calibri" w:hAnsi="Calibri" w:eastAsia="DejaVu Sans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21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Style10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overflowPunct w:val="true"/>
      <w:bidi w:val="0"/>
      <w:spacing w:lineRule="auto" w:line="276" w:before="0" w:after="200"/>
      <w:jc w:val="start"/>
    </w:pPr>
    <w:rPr>
      <w:rFonts w:ascii="Courier" w:hAnsi="Courier" w:eastAsia="DejaVu Sans" w:cs="DejaVu Sans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Style11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1842</TotalTime>
  <Application>LibreOffice/25.8.6.2$Linux_X86_64 LibreOffice_project/580$Build-2</Application>
  <AppVersion>15.0000</AppVersion>
  <Pages>14</Pages>
  <Words>3917</Words>
  <Characters>26078</Characters>
  <CharactersWithSpaces>29948</CharactersWithSpaces>
  <Paragraphs>247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2026-03-27T06:23:00Z</dcterms:created>
  <dc:creator>python-docx</dc:creator>
  <dc:description>generated by python-docx</dc:description>
  <dc:language>en-US</dc:language>
  <cp:lastModifiedBy/>
  <dcterms:modified xsi:type="dcterms:W3CDTF">2026-03-30T22:10:42Z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