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F9B0C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 xml:space="preserve">U8 </w:t>
      </w:r>
      <w:r>
        <w:rPr>
          <w:rFonts w:hint="eastAsia"/>
          <w:b/>
          <w:bCs/>
          <w:highlight w:val="yellow"/>
          <w:lang w:val="en-US" w:eastAsia="zh-CN"/>
        </w:rPr>
        <w:t>数据库硬件</w:t>
      </w:r>
    </w:p>
    <w:p w14:paraId="4E316C1E">
      <w:pPr>
        <w:pBdr>
          <w:bottom w:val="single" w:color="auto" w:sz="4" w:space="0"/>
        </w:pBdr>
      </w:pPr>
      <w:r>
        <w:drawing>
          <wp:inline distT="0" distB="0" distL="114300" distR="114300">
            <wp:extent cx="4603115" cy="3291205"/>
            <wp:effectExtent l="0" t="0" r="19685" b="1079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B7D1">
      <w:pPr>
        <w:rPr>
          <w:rFonts w:hint="default"/>
          <w:lang w:val="en-US" w:eastAsia="zh-CN"/>
        </w:rPr>
      </w:pPr>
    </w:p>
    <w:p w14:paraId="33FF1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题 稠密索引、稀疏索引、多级索引查询过程</w:t>
      </w:r>
      <w:r>
        <w:rPr>
          <w:rFonts w:hint="eastAsia"/>
          <w:lang w:val="en-US" w:eastAsia="zh-CN"/>
        </w:rPr>
        <w:t xml:space="preserve">✅ </w:t>
      </w:r>
    </w:p>
    <w:p w14:paraId="11756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辅助索引/无序索引，一定是稠密索引</w:t>
      </w:r>
    </w:p>
    <w:p w14:paraId="16C0F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主索引/有序索引，可以是稠密索引，更多是稀疏索引和多级索引</w:t>
      </w:r>
    </w:p>
    <w:p w14:paraId="21096660">
      <w:pPr>
        <w:rPr>
          <w:rFonts w:hint="default"/>
          <w:lang w:val="en-US" w:eastAsia="zh-CN"/>
        </w:rPr>
      </w:pPr>
    </w:p>
    <w:p w14:paraId="6A25B4A4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查询学号为 20180014 的记录</w:t>
      </w:r>
    </w:p>
    <w:p w14:paraId="117D54B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3C750B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稠密索引：</w:t>
      </w:r>
    </w:p>
    <w:p w14:paraId="559DA4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索引项与数据记录一一对应。</w:t>
      </w:r>
    </w:p>
    <w:p w14:paraId="09CB4B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首先通过索引结构找到学号为 20180014 的索引项，获取该记录的物理地址，随后直接读取对应数据块，在块内一次命中目标记录。整个过程需访问 3 个索引块、1 个数据块。</w:t>
      </w:r>
    </w:p>
    <w:p w14:paraId="379B24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</w:p>
    <w:p w14:paraId="7F69A9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稀疏索引：</w:t>
      </w:r>
    </w:p>
    <w:p w14:paraId="07E3C5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索引项与数据块一一对应，每个索引项记录对应数据块的最小学号。</w:t>
      </w:r>
    </w:p>
    <w:p w14:paraId="0FA077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首先在索引中找到包含 20180014 的目标数据块索引项，读取该数据块后，再在块内顺序遍历找到目标记录。整个过程需访问 2 个索引块、1 个数据块。</w:t>
      </w:r>
    </w:p>
    <w:p w14:paraId="4FD8B0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b/>
          <w:bCs/>
          <w:lang w:val="en-US" w:eastAsia="zh-CN"/>
        </w:rPr>
      </w:pPr>
    </w:p>
    <w:p w14:paraId="3603A5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多级索引：</w:t>
      </w:r>
    </w:p>
    <w:p w14:paraId="30B683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为稀疏索引再建立上层索引。</w:t>
      </w:r>
    </w:p>
    <w:p w14:paraId="5CCE37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查询时从根索引出发，逐层定位到最底层的稀疏索引项，再根据索引项找到对应数据块，最后在块内直接命中目标记录。整个过程需访问 2 个索引块、1 个数据块。</w:t>
      </w:r>
    </w:p>
    <w:p w14:paraId="6F1BCA5B">
      <w:pPr>
        <w:rPr>
          <w:rFonts w:hint="default"/>
          <w:lang w:val="en-US" w:eastAsia="zh-CN"/>
        </w:rPr>
      </w:pPr>
    </w:p>
    <w:p w14:paraId="66DE2953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查询学号大于 20180009 的记录</w:t>
      </w:r>
    </w:p>
    <w:p w14:paraId="0BB906B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</w:p>
    <w:p w14:paraId="485FBD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稠密索引：</w:t>
      </w:r>
      <w:r>
        <w:rPr>
          <w:rFonts w:hint="default"/>
          <w:lang w:val="en-US" w:eastAsia="zh-CN"/>
        </w:rPr>
        <w:t>首先在索引中找到第一个学号大于 20180009 的索引项，随后依次遍历</w:t>
      </w:r>
      <w:r>
        <w:rPr>
          <w:rFonts w:hint="default"/>
          <w:u w:val="single"/>
          <w:lang w:val="en-US" w:eastAsia="zh-CN"/>
        </w:rPr>
        <w:t>后续所有索引项</w:t>
      </w:r>
      <w:r>
        <w:rPr>
          <w:rFonts w:hint="default"/>
          <w:lang w:val="en-US" w:eastAsia="zh-CN"/>
        </w:rPr>
        <w:t>，根据每个索引项的指针读取对应数据块中的记录，直至文件末尾。</w:t>
      </w:r>
    </w:p>
    <w:p w14:paraId="52533A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-- 适用于无序存储的数据块，因此无法保重索引项对应的下游数据也是顺序存储。即必须一个个指向。</w:t>
      </w:r>
      <w:r>
        <w:rPr>
          <w:rFonts w:hint="eastAsia"/>
          <w:lang w:val="en-US" w:eastAsia="zh-CN"/>
        </w:rPr>
        <w:br w:type="textWrapping"/>
      </w:r>
    </w:p>
    <w:p w14:paraId="6F587D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稀疏索引：</w:t>
      </w:r>
      <w:r>
        <w:rPr>
          <w:rFonts w:hint="default"/>
          <w:lang w:val="en-US" w:eastAsia="zh-CN"/>
        </w:rPr>
        <w:t>首先找到</w:t>
      </w:r>
      <w:r>
        <w:rPr>
          <w:rFonts w:hint="default"/>
          <w:u w:val="single"/>
          <w:lang w:val="en-US" w:eastAsia="zh-CN"/>
        </w:rPr>
        <w:t>包含 20180009 的索引项</w:t>
      </w:r>
      <w:r>
        <w:rPr>
          <w:rFonts w:hint="default"/>
          <w:lang w:val="en-US" w:eastAsia="zh-CN"/>
        </w:rPr>
        <w:t>，读取该数据块后，在块内找到第一个学号大于 20180009 的记录，再依次读取后续</w:t>
      </w:r>
      <w:r>
        <w:rPr>
          <w:rFonts w:hint="default"/>
          <w:u w:val="single"/>
          <w:lang w:val="en-US" w:eastAsia="zh-CN"/>
        </w:rPr>
        <w:t>所有数据块</w:t>
      </w:r>
      <w:r>
        <w:rPr>
          <w:rFonts w:hint="default"/>
          <w:lang w:val="en-US" w:eastAsia="zh-CN"/>
        </w:rPr>
        <w:t>的全部记录，直至文件末尾。相比稠密索引，稀疏索引访问的索引块数量更少。</w:t>
      </w:r>
    </w:p>
    <w:p w14:paraId="3BA6F6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-- 由于索引块和数据块绑定，且用于优化有序存储的数据块的读入。</w:t>
      </w:r>
    </w:p>
    <w:p w14:paraId="4EE2F8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</w:p>
    <w:p w14:paraId="7A9F6F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多级索引：</w:t>
      </w:r>
      <w:r>
        <w:rPr>
          <w:rFonts w:hint="default"/>
          <w:lang w:val="en-US" w:eastAsia="zh-CN"/>
        </w:rPr>
        <w:t xml:space="preserve">从根索引出发，定位到第二级索引中对应 </w:t>
      </w:r>
      <w:r>
        <w:rPr>
          <w:rFonts w:hint="default"/>
          <w:u w:val="single"/>
          <w:lang w:val="en-US" w:eastAsia="zh-CN"/>
        </w:rPr>
        <w:t>20180009 的索引项</w:t>
      </w:r>
      <w:r>
        <w:rPr>
          <w:rFonts w:hint="default"/>
          <w:lang w:val="en-US" w:eastAsia="zh-CN"/>
        </w:rPr>
        <w:t>，遍历该索引项之后的所有索引项，通</w:t>
      </w:r>
    </w:p>
    <w:p w14:paraId="50CA46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过索引指针依次读取对应数据块的记录，直至文件末尾。</w:t>
      </w:r>
    </w:p>
    <w:p w14:paraId="4A961B16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0A2C646B">
      <w:pPr>
        <w:rPr>
          <w:rFonts w:hint="default"/>
          <w:lang w:val="en-US" w:eastAsia="zh-CN"/>
        </w:rPr>
      </w:pPr>
    </w:p>
    <w:p w14:paraId="784B0CAC">
      <w:pPr>
        <w:rPr>
          <w:rFonts w:hint="default"/>
          <w:lang w:val="en-US" w:eastAsia="zh-CN"/>
        </w:rPr>
      </w:pPr>
    </w:p>
    <w:p w14:paraId="27145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题 堆文件空闲空间组织方式</w:t>
      </w:r>
      <w:r>
        <w:rPr>
          <w:rFonts w:hint="eastAsia"/>
          <w:lang w:val="en-US" w:eastAsia="zh-CN"/>
        </w:rPr>
        <w:t>✅</w:t>
      </w:r>
    </w:p>
    <w:p w14:paraId="6C9F3EC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链表方式</w:t>
      </w:r>
    </w:p>
    <w:p w14:paraId="34406A2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堆文件头部设有 header 页面，其中存放两个指针，一个指向空闲页列表（free list）的头部。每个数据页内部记录自身的空闲空间信息。当存在多个堆文件时，需通过元数据记录文件中的所有页面及空闲状态。</w:t>
      </w:r>
    </w:p>
    <w:p w14:paraId="15D561B1">
      <w:pPr>
        <w:ind w:firstLine="420" w:firstLineChars="0"/>
        <w:rPr>
          <w:rFonts w:hint="default"/>
          <w:lang w:val="en-US" w:eastAsia="zh-CN"/>
        </w:rPr>
      </w:pPr>
    </w:p>
    <w:p w14:paraId="65B2DD0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优点：实现简单，无需额外维护复杂目录结构。</w:t>
      </w:r>
    </w:p>
    <w:p w14:paraId="4D368C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缺点：查找特定空闲页时，需要从链表头部开始逐个扫描页面，I/O 开销较大。</w:t>
      </w:r>
    </w:p>
    <w:p w14:paraId="34C76ADB">
      <w:pPr>
        <w:rPr>
          <w:rFonts w:hint="default"/>
          <w:b/>
          <w:bCs/>
          <w:lang w:val="en-US" w:eastAsia="zh-CN"/>
        </w:rPr>
      </w:pPr>
    </w:p>
    <w:p w14:paraId="33B662E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页目录方式</w:t>
      </w:r>
    </w:p>
    <w:p w14:paraId="20EA854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堆文件中设置专门的目录页，记录所有数据页的存放位置，同时记录每个页面的空闲空间信息。所有页面状态信息集中存放在目录页中，查找特定页面的速度更快。</w:t>
      </w:r>
    </w:p>
    <w:p w14:paraId="2ADCD22E">
      <w:pPr>
        <w:ind w:firstLine="420" w:firstLineChars="0"/>
        <w:rPr>
          <w:rFonts w:hint="default"/>
          <w:lang w:val="en-US" w:eastAsia="zh-CN"/>
        </w:rPr>
      </w:pPr>
    </w:p>
    <w:p w14:paraId="1B201F7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优点：空闲空间查找效率高，无需遍历链表。</w:t>
      </w:r>
    </w:p>
    <w:p w14:paraId="1AC2E2E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缺点：DBMS 必须保持目录页与所有数据页的状态信息同步，维护成本较高。</w:t>
      </w:r>
    </w:p>
    <w:p w14:paraId="38CC1ED8">
      <w:pPr>
        <w:pBdr>
          <w:bottom w:val="single" w:color="auto" w:sz="4" w:space="0"/>
        </w:pBdr>
        <w:ind w:firstLine="420" w:firstLineChars="0"/>
        <w:rPr>
          <w:rFonts w:hint="default"/>
          <w:lang w:val="en-US" w:eastAsia="zh-CN"/>
        </w:rPr>
      </w:pPr>
    </w:p>
    <w:p w14:paraId="68CAF334">
      <w:pPr>
        <w:ind w:firstLine="420" w:firstLineChars="0"/>
        <w:rPr>
          <w:rFonts w:hint="default"/>
          <w:lang w:val="en-US" w:eastAsia="zh-CN"/>
        </w:rPr>
      </w:pPr>
    </w:p>
    <w:p w14:paraId="3BDC5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题 槽页方案的基本思想与优势</w:t>
      </w:r>
      <w:r>
        <w:rPr>
          <w:rFonts w:hint="eastAsia"/>
          <w:lang w:val="en-US" w:eastAsia="zh-CN"/>
        </w:rPr>
        <w:t>✅</w:t>
      </w:r>
    </w:p>
    <w:p w14:paraId="4A11F4A1">
      <w:pPr>
        <w:rPr>
          <w:rFonts w:hint="default"/>
          <w:lang w:val="en-US" w:eastAsia="zh-CN"/>
        </w:rPr>
      </w:pPr>
    </w:p>
    <w:p w14:paraId="5F194BE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页面的组织：</w:t>
      </w:r>
      <w:r>
        <w:rPr>
          <w:rFonts w:hint="default"/>
          <w:lang w:val="en-US" w:eastAsia="zh-CN"/>
        </w:rPr>
        <w:t>Page Header 页面头部</w:t>
      </w:r>
      <w:r>
        <w:rPr>
          <w:rFonts w:hint="eastAsia"/>
          <w:lang w:val="en-US" w:eastAsia="zh-CN"/>
        </w:rPr>
        <w:t xml:space="preserve"> + </w:t>
      </w:r>
      <w:r>
        <w:rPr>
          <w:rFonts w:hint="default"/>
          <w:lang w:val="en-US" w:eastAsia="zh-CN"/>
        </w:rPr>
        <w:t>数据区域 Data Area</w:t>
      </w:r>
    </w:p>
    <w:p w14:paraId="07D935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header</w:t>
      </w:r>
      <w:r>
        <w:rPr>
          <w:rFonts w:hint="default"/>
          <w:lang w:val="en-US" w:eastAsia="zh-CN"/>
        </w:rPr>
        <w:t>存放整页全局信息：页编号、页大小、空闲空间起始位置、校验和、事务信息等</w:t>
      </w:r>
    </w:p>
    <w:p w14:paraId="2ACC9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data area采用slotted page</w:t>
      </w:r>
      <w:r>
        <w:rPr>
          <w:rFonts w:hint="default"/>
          <w:lang w:val="en-US" w:eastAsia="zh-CN"/>
        </w:rPr>
        <w:t>基本思想</w:t>
      </w:r>
      <w:r>
        <w:rPr>
          <w:rFonts w:hint="eastAsia"/>
          <w:lang w:val="en-US" w:eastAsia="zh-CN"/>
        </w:rPr>
        <w:t>，分为slot</w:t>
      </w:r>
      <w:r>
        <w:rPr>
          <w:rFonts w:hint="default"/>
          <w:lang w:val="en-US" w:eastAsia="zh-CN"/>
        </w:rPr>
        <w:t xml:space="preserve"> array , tuples</w:t>
      </w:r>
      <w:r>
        <w:rPr>
          <w:rFonts w:hint="eastAsia"/>
          <w:lang w:val="en-US" w:eastAsia="zh-CN"/>
        </w:rPr>
        <w:t>前后两个部分</w:t>
      </w:r>
    </w:p>
    <w:p w14:paraId="56873873">
      <w:pPr>
        <w:rPr>
          <w:rFonts w:hint="eastAsia"/>
          <w:lang w:val="en-US" w:eastAsia="zh-CN"/>
        </w:rPr>
      </w:pPr>
    </w:p>
    <w:p w14:paraId="498E841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slot page方案</w:t>
      </w:r>
    </w:p>
    <w:p w14:paraId="6E48C48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前部：Slot Array 槽位数组（一堆 slot 条目）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每个元素记录对应元组的偏移量、长度及状态信息。</w:t>
      </w:r>
    </w:p>
    <w:p w14:paraId="5672576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后部：反向存储的 Tuple 元组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从页尾往前倒序存放，与 Slot 数组双向推进。元组的逻辑位置由页 ID 和 Slot ID 唯一标识，与物理存储位置无关。</w:t>
      </w:r>
    </w:p>
    <w:p w14:paraId="79896297">
      <w:pPr>
        <w:ind w:firstLine="420" w:firstLineChars="0"/>
        <w:rPr>
          <w:rFonts w:hint="default"/>
          <w:lang w:val="en-US" w:eastAsia="zh-CN"/>
        </w:rPr>
      </w:pPr>
    </w:p>
    <w:p w14:paraId="08B52B0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slot page</w:t>
      </w:r>
      <w:r>
        <w:rPr>
          <w:rFonts w:hint="default"/>
          <w:lang w:val="en-US" w:eastAsia="zh-CN"/>
        </w:rPr>
        <w:t>存储的好处</w:t>
      </w:r>
    </w:p>
    <w:p w14:paraId="5CD6EB4D"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支持变长元组：无需为元组预留固定长度空间，可灵活存储不同长度的元组。</w:t>
      </w:r>
    </w:p>
    <w:p w14:paraId="7B249830"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 / 更新无碎片：删除元组时只需标记对应 Slot 为无效，无需移动其他元组；更新变长元组时，可在页内重新分配空间并修改 Slot 信息，避免数据移动。</w:t>
      </w:r>
    </w:p>
    <w:p w14:paraId="163774EC"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元组逻辑位置稳定：Slot ID 与物理位置解耦，元组移动时不影响上层索引，无需修改索引项。</w:t>
      </w:r>
    </w:p>
    <w:p w14:paraId="3101AB07">
      <w:pPr>
        <w:ind w:firstLine="420" w:firstLineChars="0"/>
        <w:rPr>
          <w:rFonts w:hint="default"/>
          <w:lang w:val="en-US" w:eastAsia="zh-CN"/>
        </w:rPr>
      </w:pPr>
    </w:p>
    <w:p w14:paraId="269458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66C7196">
      <w:pPr>
        <w:ind w:firstLine="420" w:firstLineChars="0"/>
        <w:rPr>
          <w:rFonts w:hint="default"/>
          <w:lang w:val="en-US" w:eastAsia="zh-CN"/>
        </w:rPr>
      </w:pPr>
    </w:p>
    <w:p w14:paraId="50281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题 查询语法树与向量模型伪代码</w:t>
      </w:r>
    </w:p>
    <w:p w14:paraId="3162C6C7">
      <w:pPr>
        <w:rPr>
          <w:rFonts w:hint="default"/>
          <w:lang w:val="en-US" w:eastAsia="zh-CN"/>
        </w:rPr>
      </w:pPr>
    </w:p>
    <w:p w14:paraId="124CD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查询语法树结构</w:t>
      </w:r>
    </w:p>
    <w:p w14:paraId="1A5940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 xml:space="preserve">    π S.SNO, CNO, SCORE</w:t>
      </w:r>
      <w:r>
        <w:rPr>
          <w:rFonts w:hint="eastAsia"/>
          <w:shd w:val="clear" w:color="FFFFFF" w:fill="D9D9D9"/>
          <w:lang w:val="en-US" w:eastAsia="zh-CN"/>
        </w:rPr>
        <w:t xml:space="preserve">  </w:t>
      </w:r>
    </w:p>
    <w:p w14:paraId="4A4F83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 xml:space="preserve">           |</w:t>
      </w:r>
      <w:r>
        <w:rPr>
          <w:rFonts w:hint="eastAsia"/>
          <w:shd w:val="clear" w:color="FFFFFF" w:fill="D9D9D9"/>
          <w:lang w:val="en-US" w:eastAsia="zh-CN"/>
        </w:rPr>
        <w:t xml:space="preserve">                </w:t>
      </w:r>
    </w:p>
    <w:p w14:paraId="05E1DF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 xml:space="preserve">    ⋈ (S.SNO = SC.SNO)</w:t>
      </w:r>
      <w:r>
        <w:rPr>
          <w:rFonts w:hint="eastAsia"/>
          <w:shd w:val="clear" w:color="FFFFFF" w:fill="D9D9D9"/>
          <w:lang w:val="en-US" w:eastAsia="zh-CN"/>
        </w:rPr>
        <w:t xml:space="preserve">     </w:t>
      </w:r>
    </w:p>
    <w:p w14:paraId="216D82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 xml:space="preserve">      /       \</w:t>
      </w:r>
      <w:r>
        <w:rPr>
          <w:rFonts w:hint="eastAsia"/>
          <w:shd w:val="clear" w:color="FFFFFF" w:fill="D9D9D9"/>
          <w:lang w:val="en-US" w:eastAsia="zh-CN"/>
        </w:rPr>
        <w:t xml:space="preserve">             </w:t>
      </w:r>
    </w:p>
    <w:p w14:paraId="47D812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 xml:space="preserve">     S        SC</w:t>
      </w:r>
      <w:r>
        <w:rPr>
          <w:rFonts w:hint="eastAsia"/>
          <w:shd w:val="clear" w:color="FFFFFF" w:fill="D9D9D9"/>
          <w:lang w:val="en-US" w:eastAsia="zh-CN"/>
        </w:rPr>
        <w:t xml:space="preserve">          </w:t>
      </w:r>
    </w:p>
    <w:p w14:paraId="03A08C7D">
      <w:pPr>
        <w:rPr>
          <w:rFonts w:hint="default"/>
          <w:lang w:val="en-US" w:eastAsia="zh-CN"/>
        </w:rPr>
      </w:pPr>
    </w:p>
    <w:p w14:paraId="63B49656">
      <w:pPr>
        <w:rPr>
          <w:rFonts w:hint="default"/>
          <w:lang w:val="en-US" w:eastAsia="zh-CN"/>
        </w:rPr>
      </w:pPr>
    </w:p>
    <w:p w14:paraId="099C1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向量模型伪代码（batch 大小 = 500）</w:t>
      </w:r>
    </w:p>
    <w:p w14:paraId="276712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算子1：表扫描 S</w:t>
      </w:r>
    </w:p>
    <w:p w14:paraId="1D4D7F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[]</w:t>
      </w:r>
    </w:p>
    <w:p w14:paraId="3ABB07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S:</w:t>
      </w:r>
    </w:p>
    <w:p w14:paraId="15B3B1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out.add(t)</w:t>
      </w:r>
    </w:p>
    <w:p w14:paraId="3DA6CA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|out| &gt; n:</w:t>
      </w:r>
    </w:p>
    <w:p w14:paraId="6F0AD0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emit(out)</w:t>
      </w:r>
    </w:p>
    <w:p w14:paraId="4F376E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 = []</w:t>
      </w:r>
    </w:p>
    <w:p w14:paraId="739EB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emit(out)</w:t>
      </w:r>
    </w:p>
    <w:p w14:paraId="020252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eastAsia"/>
          <w:lang w:val="en-US" w:eastAsia="zh-CN"/>
        </w:rPr>
      </w:pPr>
    </w:p>
    <w:p w14:paraId="2CC546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算子2：表扫描 SC</w:t>
      </w:r>
    </w:p>
    <w:p w14:paraId="074582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[]</w:t>
      </w:r>
    </w:p>
    <w:p w14:paraId="77391F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SC:</w:t>
      </w:r>
    </w:p>
    <w:p w14:paraId="0E1EBF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out.add(t)</w:t>
      </w:r>
    </w:p>
    <w:p w14:paraId="6CB238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|out| &gt; n:</w:t>
      </w:r>
    </w:p>
    <w:p w14:paraId="26569C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emit(out)</w:t>
      </w:r>
    </w:p>
    <w:p w14:paraId="6879EF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 = []</w:t>
      </w:r>
    </w:p>
    <w:p w14:paraId="318AF2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emit(out)</w:t>
      </w:r>
    </w:p>
    <w:p w14:paraId="318673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eastAsia"/>
          <w:lang w:val="en-US" w:eastAsia="zh-CN"/>
        </w:rPr>
      </w:pPr>
    </w:p>
    <w:p w14:paraId="6ADEEB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算子3：连接算子 S ⋈ SC</w:t>
      </w:r>
    </w:p>
    <w:p w14:paraId="44C16C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[]</w:t>
      </w:r>
    </w:p>
    <w:p w14:paraId="62D07E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t1 in left.next():</w:t>
      </w:r>
    </w:p>
    <w:p w14:paraId="277005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buildHashTable(t1)</w:t>
      </w:r>
    </w:p>
    <w:p w14:paraId="6D056E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t2 in right.next():</w:t>
      </w:r>
    </w:p>
    <w:p w14:paraId="0D4D46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probe(t2):</w:t>
      </w:r>
    </w:p>
    <w:p w14:paraId="1F62A7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out.add(t1 ⋈ t2)</w:t>
      </w:r>
    </w:p>
    <w:p w14:paraId="7E83E4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|out| &gt; n:</w:t>
      </w:r>
    </w:p>
    <w:p w14:paraId="2EFD77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emit(out)</w:t>
      </w:r>
    </w:p>
    <w:p w14:paraId="02BDF2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 = []</w:t>
      </w:r>
    </w:p>
    <w:p w14:paraId="1981CD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emit(out)</w:t>
      </w:r>
    </w:p>
    <w:p w14:paraId="50617D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  <w:bookmarkStart w:id="0" w:name="_GoBack"/>
      <w:bookmarkEnd w:id="0"/>
    </w:p>
    <w:p w14:paraId="408D43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0A63E3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eastAsia"/>
          <w:lang w:val="en-US" w:eastAsia="zh-CN"/>
        </w:rPr>
      </w:pPr>
    </w:p>
    <w:p w14:paraId="0C14DA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算子4：投影算子 π(S.SNO, CNO, SCORE)</w:t>
      </w:r>
    </w:p>
    <w:p w14:paraId="1CF22E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[]</w:t>
      </w:r>
    </w:p>
    <w:p w14:paraId="6F9ADF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child.next():</w:t>
      </w:r>
    </w:p>
    <w:p w14:paraId="0B5A40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out.add(projection(t))</w:t>
      </w:r>
    </w:p>
    <w:p w14:paraId="2D767D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|out| &gt; n:</w:t>
      </w:r>
    </w:p>
    <w:p w14:paraId="0DFC82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emit(out)</w:t>
      </w:r>
    </w:p>
    <w:p w14:paraId="19C5B9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 = []</w:t>
      </w:r>
    </w:p>
    <w:p w14:paraId="2E9C11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emit(out)</w:t>
      </w:r>
    </w:p>
    <w:p w14:paraId="72B306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</w:p>
    <w:p w14:paraId="0A1CDA42">
      <w:pPr>
        <w:rPr>
          <w:rFonts w:hint="default"/>
          <w:lang w:val="en-US" w:eastAsia="zh-CN"/>
        </w:rPr>
      </w:pPr>
    </w:p>
    <w:p w14:paraId="722A6758">
      <w:pPr>
        <w:rPr>
          <w:rFonts w:hint="default"/>
          <w:lang w:val="en-US" w:eastAsia="zh-CN"/>
        </w:rPr>
      </w:pPr>
    </w:p>
    <w:p w14:paraId="1E335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题 DBMS 缓冲池结构与数据页访问过程</w:t>
      </w:r>
      <w:r>
        <w:rPr>
          <w:rFonts w:hint="eastAsia"/>
          <w:lang w:val="en-US" w:eastAsia="zh-CN"/>
        </w:rPr>
        <w:t>✅</w:t>
      </w:r>
    </w:p>
    <w:p w14:paraId="4B669CC1">
      <w:pPr>
        <w:rPr>
          <w:rFonts w:hint="default"/>
          <w:lang w:val="en-US" w:eastAsia="zh-CN"/>
        </w:rPr>
      </w:pPr>
    </w:p>
    <w:p w14:paraId="27C08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缓冲池结构示意图（文字版）</w:t>
      </w:r>
    </w:p>
    <w:p w14:paraId="67FB762F">
      <w:pPr>
        <w:rPr>
          <w:rFonts w:hint="default"/>
          <w:lang w:val="en-US" w:eastAsia="zh-CN"/>
        </w:rPr>
      </w:pPr>
    </w:p>
    <w:p w14:paraId="4D6518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执行引擎</w:t>
      </w:r>
    </w:p>
    <w:p w14:paraId="234297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↓（请求Get page #2）</w:t>
      </w:r>
    </w:p>
    <w:p w14:paraId="314DFD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缓冲池</w:t>
      </w:r>
    </w:p>
    <w:p w14:paraId="3ACDCD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目录（Directory，记录页号与帧映射）</w:t>
      </w:r>
    </w:p>
    <w:p w14:paraId="51787A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帧1（空闲）</w:t>
      </w:r>
    </w:p>
    <w:p w14:paraId="578A5A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3735"/>
        </w:tabs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帧2（空闲）</w:t>
      </w:r>
      <w:r>
        <w:rPr>
          <w:rFonts w:hint="eastAsia"/>
          <w:lang w:val="en-US" w:eastAsia="zh-CN"/>
        </w:rPr>
        <w:tab/>
      </w:r>
    </w:p>
    <w:p w14:paraId="48A2FB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 ...</w:t>
      </w:r>
    </w:p>
    <w:p w14:paraId="6BFCCF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↑（页不在内存时，从磁盘读取）</w:t>
      </w:r>
    </w:p>
    <w:p w14:paraId="4D2A2C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磁盘文件</w:t>
      </w:r>
    </w:p>
    <w:p w14:paraId="3216F4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目录页</w:t>
      </w:r>
    </w:p>
    <w:p w14:paraId="4E3982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数据页1</w:t>
      </w:r>
    </w:p>
    <w:p w14:paraId="6AC88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数据页2</w:t>
      </w:r>
    </w:p>
    <w:p w14:paraId="5F843D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 数据页3</w:t>
      </w:r>
    </w:p>
    <w:p w14:paraId="3AE74F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 ...</w:t>
      </w:r>
    </w:p>
    <w:p w14:paraId="46BD930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464300" cy="3505200"/>
            <wp:effectExtent l="0" t="0" r="1270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3617">
      <w:pPr>
        <w:rPr>
          <w:rFonts w:hint="default"/>
          <w:b/>
          <w:bCs/>
          <w:lang w:val="en-US" w:eastAsia="zh-CN"/>
        </w:rPr>
      </w:pPr>
    </w:p>
    <w:p w14:paraId="0219185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数据页访问过程</w:t>
      </w:r>
      <w:r>
        <w:rPr>
          <w:rFonts w:hint="eastAsia"/>
          <w:b/>
          <w:bCs/>
          <w:lang w:val="en-US" w:eastAsia="zh-CN"/>
        </w:rPr>
        <w:t>✅</w:t>
      </w:r>
    </w:p>
    <w:p w14:paraId="283EBC7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执行引擎请求访问目标数据页时，首先通过</w:t>
      </w:r>
      <w:r>
        <w:rPr>
          <w:rFonts w:hint="default"/>
          <w:u w:val="single"/>
          <w:lang w:val="en-US" w:eastAsia="zh-CN"/>
        </w:rPr>
        <w:t>缓冲池的目录页表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>page table</w:t>
      </w:r>
      <w:r>
        <w:rPr>
          <w:rFonts w:hint="default"/>
          <w:lang w:val="en-US" w:eastAsia="zh-CN"/>
        </w:rPr>
        <w:t>查询目标页是否在内存中。</w:t>
      </w:r>
    </w:p>
    <w:p w14:paraId="7B6D45B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若</w:t>
      </w:r>
      <w:r>
        <w:rPr>
          <w:rFonts w:hint="default"/>
          <w:color w:val="0070C0"/>
          <w:lang w:val="en-US" w:eastAsia="zh-CN"/>
        </w:rPr>
        <w:t>命中</w:t>
      </w:r>
      <w:r>
        <w:rPr>
          <w:rFonts w:hint="default"/>
          <w:lang w:val="en-US" w:eastAsia="zh-CN"/>
        </w:rPr>
        <w:t>，则直接访问缓冲池中的页，无需磁盘 I/O；若</w:t>
      </w:r>
      <w:r>
        <w:rPr>
          <w:rFonts w:hint="default"/>
          <w:color w:val="0070C0"/>
          <w:lang w:val="en-US" w:eastAsia="zh-CN"/>
        </w:rPr>
        <w:t>修改页</w:t>
      </w:r>
      <w:r>
        <w:rPr>
          <w:rFonts w:hint="default"/>
          <w:lang w:val="en-US" w:eastAsia="zh-CN"/>
        </w:rPr>
        <w:t>内容，则标记为</w:t>
      </w:r>
      <w:r>
        <w:rPr>
          <w:rFonts w:hint="default"/>
          <w:color w:val="0070C0"/>
          <w:lang w:val="en-US" w:eastAsia="zh-CN"/>
        </w:rPr>
        <w:t>脏页。</w:t>
      </w:r>
    </w:p>
    <w:p w14:paraId="36A95F0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若</w:t>
      </w:r>
      <w:r>
        <w:rPr>
          <w:rFonts w:hint="default"/>
          <w:color w:val="0070C0"/>
          <w:lang w:val="en-US" w:eastAsia="zh-CN"/>
        </w:rPr>
        <w:t>未命中</w:t>
      </w:r>
      <w:r>
        <w:rPr>
          <w:rFonts w:hint="default"/>
          <w:lang w:val="en-US" w:eastAsia="zh-CN"/>
        </w:rPr>
        <w:t>，则从磁盘读取目标页到缓冲池的空闲帧。</w:t>
      </w:r>
    </w:p>
    <w:p w14:paraId="43E783D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</w:t>
      </w:r>
      <w:r>
        <w:rPr>
          <w:rFonts w:hint="default"/>
          <w:color w:val="0070C0"/>
          <w:lang w:val="en-US" w:eastAsia="zh-CN"/>
        </w:rPr>
        <w:t>缓冲池已满</w:t>
      </w:r>
      <w:r>
        <w:rPr>
          <w:rFonts w:hint="default"/>
          <w:lang w:val="en-US" w:eastAsia="zh-CN"/>
        </w:rPr>
        <w:t>，则根据替换策略（如 LRU-k）选择可替换的帧。</w:t>
      </w:r>
    </w:p>
    <w:p w14:paraId="29975D3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</w:t>
      </w:r>
      <w:r>
        <w:rPr>
          <w:rFonts w:hint="default"/>
          <w:color w:val="0070C0"/>
          <w:lang w:val="en-US" w:eastAsia="zh-CN"/>
        </w:rPr>
        <w:t>被替换的帧中的页是脏页</w:t>
      </w:r>
      <w:r>
        <w:rPr>
          <w:rFonts w:hint="default"/>
          <w:lang w:val="en-US" w:eastAsia="zh-CN"/>
        </w:rPr>
        <w:t>，则需先将该页写回磁盘，再加载新页到缓冲池。</w:t>
      </w:r>
      <w:r>
        <w:rPr>
          <w:rFonts w:hint="eastAsia"/>
          <w:lang w:val="en-US" w:eastAsia="zh-CN"/>
        </w:rPr>
        <w:t>优化：</w:t>
      </w:r>
      <w:r>
        <w:rPr>
          <w:rFonts w:hint="default"/>
          <w:lang w:val="en-US" w:eastAsia="zh-CN"/>
        </w:rPr>
        <w:t>缓冲池中的脏页会按一定频率批量刷写到磁盘，保证数据持久化。</w:t>
      </w:r>
    </w:p>
    <w:p w14:paraId="4C22A4E1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51C749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触发磁盘写操作的场景</w:t>
      </w:r>
      <w:r>
        <w:rPr>
          <w:rFonts w:hint="eastAsia"/>
          <w:b/>
          <w:bCs/>
          <w:lang w:val="en-US" w:eastAsia="zh-CN"/>
        </w:rPr>
        <w:t>✅</w:t>
      </w:r>
    </w:p>
    <w:p w14:paraId="1171FF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当执行引擎访问的数据页</w:t>
      </w:r>
      <w:r>
        <w:rPr>
          <w:rFonts w:hint="default"/>
          <w:color w:val="0070C0"/>
          <w:lang w:val="en-US" w:eastAsia="zh-CN"/>
        </w:rPr>
        <w:t>不在缓冲池中</w:t>
      </w:r>
      <w:r>
        <w:rPr>
          <w:rFonts w:hint="default"/>
          <w:lang w:val="en-US" w:eastAsia="zh-CN"/>
        </w:rPr>
        <w:t>，且</w:t>
      </w:r>
      <w:r>
        <w:rPr>
          <w:rFonts w:hint="default"/>
          <w:color w:val="0070C0"/>
          <w:lang w:val="en-US" w:eastAsia="zh-CN"/>
        </w:rPr>
        <w:t>缓冲池已满</w:t>
      </w:r>
      <w:r>
        <w:rPr>
          <w:rFonts w:hint="default"/>
          <w:lang w:val="en-US" w:eastAsia="zh-CN"/>
        </w:rPr>
        <w:t>时，触发页面替换策略。</w:t>
      </w:r>
    </w:p>
    <w:p w14:paraId="47FE3DE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若被淘汰的页</w:t>
      </w:r>
      <w:r>
        <w:rPr>
          <w:rFonts w:hint="default"/>
          <w:color w:val="0070C0"/>
          <w:lang w:val="en-US" w:eastAsia="zh-CN"/>
        </w:rPr>
        <w:t>是脏页</w:t>
      </w:r>
      <w:r>
        <w:rPr>
          <w:rFonts w:hint="default"/>
          <w:lang w:val="en-US" w:eastAsia="zh-CN"/>
        </w:rPr>
        <w:t>，则必须先将该页</w:t>
      </w:r>
      <w:r>
        <w:rPr>
          <w:rFonts w:hint="default"/>
          <w:b/>
          <w:bCs/>
          <w:u w:val="single"/>
          <w:lang w:val="en-US" w:eastAsia="zh-CN"/>
        </w:rPr>
        <w:t>写回磁盘，再加载新页</w:t>
      </w:r>
      <w:r>
        <w:rPr>
          <w:rFonts w:hint="default"/>
          <w:lang w:val="en-US" w:eastAsia="zh-CN"/>
        </w:rPr>
        <w:t>，此时读数据页的过程会</w:t>
      </w:r>
      <w:r>
        <w:rPr>
          <w:rFonts w:hint="default"/>
          <w:b/>
          <w:bCs/>
          <w:u w:val="single"/>
          <w:lang w:val="en-US" w:eastAsia="zh-CN"/>
        </w:rPr>
        <w:t>触发磁盘写操作</w:t>
      </w:r>
      <w:r>
        <w:rPr>
          <w:rFonts w:hint="default"/>
          <w:lang w:val="en-US" w:eastAsia="zh-CN"/>
        </w:rPr>
        <w:t>。</w:t>
      </w:r>
    </w:p>
    <w:p w14:paraId="76D2D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0C85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42F1A"/>
    <w:multiLevelType w:val="singleLevel"/>
    <w:tmpl w:val="DB742F1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7F8331"/>
    <w:multiLevelType w:val="singleLevel"/>
    <w:tmpl w:val="FF7F83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D6BA70E"/>
    <w:multiLevelType w:val="singleLevel"/>
    <w:tmpl w:val="7D6BA7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AD42F"/>
    <w:rsid w:val="73BAD42F"/>
    <w:rsid w:val="776EB54B"/>
    <w:rsid w:val="7FB5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2026-06-22T21:43:00Z</dcterms:created>
  <dc:creator>包子姐</dc:creator>
  <cp:lastModifiedBy>包子姐</cp:lastModifiedBy>
  <dcterms:modified xsi:type="dcterms:W3CDTF">2026-06-23T20:14:45Z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3BF5CDBB9E5C780CEB3B396AB18075AA_41</vt:lpwstr>
  </property>
</Properties>
</file>