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5FF95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p316 U10课后题T2</w:t>
      </w:r>
    </w:p>
    <w:p w14:paraId="4C485AEB">
      <w:pPr>
        <w:ind w:firstLine="420"/>
      </w:pPr>
      <w:r>
        <w:drawing>
          <wp:inline distT="0" distB="0" distL="114300" distR="114300">
            <wp:extent cx="6640195" cy="1242695"/>
            <wp:effectExtent l="0" t="0" r="1460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BB409">
      <w:pPr>
        <w:ind w:firstLine="420"/>
      </w:pPr>
      <w:r>
        <w:drawing>
          <wp:inline distT="0" distB="0" distL="114300" distR="114300">
            <wp:extent cx="6637655" cy="2870835"/>
            <wp:effectExtent l="0" t="0" r="17145" b="247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D202">
      <w:pPr>
        <w:ind w:firstLine="420"/>
      </w:pPr>
    </w:p>
    <w:p w14:paraId="3579E636">
      <w:pPr>
        <w:ind w:firstLine="420"/>
      </w:pPr>
    </w:p>
    <w:p w14:paraId="7360AE62">
      <w:pPr>
        <w:ind w:firstLine="420"/>
      </w:pPr>
    </w:p>
    <w:p w14:paraId="75FB2A2A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T3</w:t>
      </w:r>
    </w:p>
    <w:p w14:paraId="1418CE8C">
      <w:pPr>
        <w:keepNext w:val="0"/>
        <w:keepLines w:val="0"/>
        <w:widowControl/>
        <w:suppressLineNumbers w:val="0"/>
        <w:jc w:val="left"/>
        <w:rPr>
          <w:rFonts w:hint="eastAsia"/>
          <w:color w:val="0000FF"/>
          <w:lang w:val="en-US" w:eastAsia="zh-CN"/>
        </w:rPr>
      </w:pPr>
      <w:bookmarkStart w:id="0" w:name="_GoBack"/>
      <w:r>
        <w:drawing>
          <wp:inline distT="0" distB="0" distL="114300" distR="114300">
            <wp:extent cx="6641465" cy="1390650"/>
            <wp:effectExtent l="0" t="0" r="1333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br w:type="textWrapping"/>
      </w:r>
      <w:r>
        <w:rPr>
          <w:rFonts w:hint="eastAsia"/>
          <w:color w:val="0000FF"/>
          <w:lang w:val="en-US" w:eastAsia="zh-CN"/>
        </w:rPr>
        <w:tab/>
        <w:t>注意：</w:t>
      </w:r>
    </w:p>
    <w:p w14:paraId="5FA4754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/>
          <w:color w:val="0000FF"/>
          <w:sz w:val="21"/>
          <w:szCs w:val="21"/>
          <w:lang w:val="en-US" w:eastAsia="zh-CN"/>
        </w:rPr>
        <w:t xml:space="preserve">下图来自《数据库系统概论实验指导》的解析，但有错：优化后不应出现 笛卡尔积X，改成 </w:t>
      </w:r>
      <w:r>
        <w:rPr>
          <w:rFonts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  <w:t>⋈</w:t>
      </w:r>
      <w:r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  <w:t>连接；</w:t>
      </w:r>
    </w:p>
    <w:p w14:paraId="59338C80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1"/>
          <w:szCs w:val="21"/>
          <w:lang w:val="en-US" w:eastAsia="zh-CN" w:bidi="ar"/>
        </w:rPr>
        <w:t>另外优化还包括：投影下移、相邻算子合并等（final考到）</w:t>
      </w:r>
    </w:p>
    <w:p w14:paraId="6CDD692E">
      <w:pPr>
        <w:ind w:firstLine="420"/>
        <w:rPr>
          <w:rFonts w:hint="default" w:eastAsiaTheme="minorEastAsia"/>
          <w:lang w:val="en-US" w:eastAsia="zh-CN"/>
        </w:rPr>
      </w:pPr>
    </w:p>
    <w:p w14:paraId="0AA9B425">
      <w:pPr>
        <w:ind w:firstLine="420"/>
      </w:pPr>
      <w:r>
        <w:drawing>
          <wp:inline distT="0" distB="0" distL="114300" distR="114300">
            <wp:extent cx="5862955" cy="2430780"/>
            <wp:effectExtent l="0" t="0" r="444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D27D">
      <w:pPr>
        <w:ind w:firstLine="420"/>
        <w:rPr>
          <w:rFonts w:hint="eastAsia"/>
          <w:lang w:val="en-US" w:eastAsia="zh-CN"/>
        </w:rPr>
      </w:pPr>
      <w:r>
        <w:drawing>
          <wp:inline distT="0" distB="0" distL="114300" distR="114300">
            <wp:extent cx="2336800" cy="2959100"/>
            <wp:effectExtent l="0" t="0" r="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DF1A23"/>
    <w:multiLevelType w:val="singleLevel"/>
    <w:tmpl w:val="DADF1A23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5602F"/>
    <w:rsid w:val="3FFB55BA"/>
    <w:rsid w:val="7EB7C9C3"/>
    <w:rsid w:val="7FDE03B0"/>
    <w:rsid w:val="B7F311EC"/>
    <w:rsid w:val="FBEF39B1"/>
    <w:rsid w:val="FFE5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2026-05-26T00:12:00Z</dcterms:created>
  <dc:creator>包子姐</dc:creator>
  <cp:lastModifiedBy>包子姐</cp:lastModifiedBy>
  <dcterms:modified xsi:type="dcterms:W3CDTF">2026-07-04T22:33:32Z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4659979C2DE182878A04146ADF469016_41</vt:lpwstr>
  </property>
</Properties>
</file>