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28"/>
          <w:szCs w:val="28"/>
        </w:rPr>
        <w:t xml:space="preserve">Requirements Table</w:t>
      </w:r>
    </w:p>
    <w:p>
      <w:pPr>
        <w:spacing w:after="20"/>
      </w:pPr>
      <w:r>
        <w:rPr>
          <w:sz w:val="20"/>
          <w:szCs w:val="20"/>
        </w:rPr>
        <w:t xml:space="preserve">Personal Subscription &amp; Recurring Expense Auditor, Lab 1: Requirements Engineering &amp; UML Use-Case Modelling</w:t>
      </w:r>
    </w:p>
    <w:p>
      <w:pPr>
        <w:spacing w:after="200"/>
      </w:pPr>
      <w:r>
        <w:rPr>
          <w:sz w:val="20"/>
          <w:szCs w:val="20"/>
        </w:rPr>
        <w:t xml:space="preserve">Aditya Vats | PES1UG24CS032 | Section 5A</w:t>
      </w:r>
    </w:p>
    <w:tbl>
      <w:tblPr>
        <w:tblW w:type="dxa" w:w="1515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100"/>
        <w:gridCol w:w="1500"/>
        <w:gridCol w:w="4200"/>
        <w:gridCol w:w="950"/>
        <w:gridCol w:w="4550"/>
        <w:gridCol w:w="2850"/>
      </w:tblGrid>
      <w:tr>
        <w:trPr>
          <w:tblHeader/>
        </w:trPr>
        <w:tc>
          <w:tcPr>
            <w:tcW w:type="dxa" w:w="11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Req ID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9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45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28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1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FR-001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Functional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The system shall analyze imported transaction logs to identify recurring billing patterns and project total monthly subscription expenditure.</w:t>
            </w:r>
          </w:p>
        </w:tc>
        <w:tc>
          <w:tcPr>
            <w:tcW w:type="dxa" w:w="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45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Pass:</w:t>
            </w:r>
            <w:r>
              <w:rPr>
                <w:b w:val="false"/>
                <w:bCs w:val="false"/>
                <w:sz w:val="22"/>
                <w:szCs w:val="22"/>
              </w:rPr>
              <w:t xml:space="preserve"> recurring service identified and renewal date logged. </w:t>
            </w:r>
            <w:r>
              <w:rPr>
                <w:b/>
                <w:bCs/>
                <w:sz w:val="22"/>
                <w:szCs w:val="22"/>
              </w:rPr>
              <w:t xml:space="preserve">Fail:</w:t>
            </w:r>
            <w:r>
              <w:rPr>
                <w:b w:val="false"/>
                <w:bCs w:val="false"/>
                <w:sz w:val="22"/>
                <w:szCs w:val="22"/>
              </w:rPr>
              <w:t xml:space="preserve"> a one-time payment gets misclassified as a subscription.</w:t>
            </w:r>
          </w:p>
        </w:tc>
        <w:tc>
          <w:tcPr>
            <w:tcW w:type="dxa" w:w="28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This is the base requirement from the problem statement, and pretty much every other feature depends on this working correctly first.</w:t>
            </w:r>
          </w:p>
        </w:tc>
      </w:tr>
      <w:tr>
        <w:tc>
          <w:tcPr>
            <w:tcW w:type="dxa" w:w="1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FR-002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Functional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The system shall notify the Individual User at least 3 days before a detected subscription's renewal date.</w:t>
            </w:r>
          </w:p>
        </w:tc>
        <w:tc>
          <w:tcPr>
            <w:tcW w:type="dxa" w:w="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45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Pass:</w:t>
            </w:r>
            <w:r>
              <w:rPr>
                <w:b w:val="false"/>
                <w:bCs w:val="false"/>
                <w:sz w:val="22"/>
                <w:szCs w:val="22"/>
              </w:rPr>
              <w:t xml:space="preserve"> user gets a notification with service name, amount, and renewal date at least 3 days out. </w:t>
            </w:r>
            <w:r>
              <w:rPr>
                <w:b/>
                <w:bCs/>
                <w:sz w:val="22"/>
                <w:szCs w:val="22"/>
              </w:rPr>
              <w:t xml:space="preserve">Fail:</w:t>
            </w:r>
            <w:r>
              <w:rPr>
                <w:b w:val="false"/>
                <w:bCs w:val="false"/>
                <w:sz w:val="22"/>
                <w:szCs w:val="22"/>
              </w:rPr>
              <w:t xml:space="preserve"> no notification, or it shows up on/after the renewal date.</w:t>
            </w:r>
          </w:p>
        </w:tc>
        <w:tc>
          <w:tcPr>
            <w:tcW w:type="dxa" w:w="28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This is basically the whole point of the app, giving people a heads up before they get charged again.</w:t>
            </w:r>
          </w:p>
        </w:tc>
      </w:tr>
      <w:tr>
        <w:tc>
          <w:tcPr>
            <w:tcW w:type="dxa" w:w="1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FR-003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Functional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The system shall calculate and display the user's total monthly recurring expenditure ("burn rate") based on all currently active identified subscriptions.</w:t>
            </w:r>
          </w:p>
        </w:tc>
        <w:tc>
          <w:tcPr>
            <w:tcW w:type="dxa" w:w="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45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Pass:</w:t>
            </w:r>
            <w:r>
              <w:rPr>
                <w:b w:val="false"/>
                <w:bCs w:val="false"/>
                <w:sz w:val="22"/>
                <w:szCs w:val="22"/>
              </w:rPr>
              <w:t xml:space="preserve"> the displayed total matches the sum of all active subscriptions normalized to a month. </w:t>
            </w:r>
            <w:r>
              <w:rPr>
                <w:b/>
                <w:bCs/>
                <w:sz w:val="22"/>
                <w:szCs w:val="22"/>
              </w:rPr>
              <w:t xml:space="preserve">Fail:</w:t>
            </w:r>
            <w:r>
              <w:rPr>
                <w:b w:val="false"/>
                <w:bCs w:val="false"/>
                <w:sz w:val="22"/>
                <w:szCs w:val="22"/>
              </w:rPr>
              <w:t xml:space="preserve"> an active subscription is missing from the total, or a cancelled one is still counted.</w:t>
            </w:r>
          </w:p>
        </w:tc>
        <w:tc>
          <w:tcPr>
            <w:tcW w:type="dxa" w:w="28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Without this the app is just a list of subscriptions with no real insight, this is the main dashboard number people will actually look at.</w:t>
            </w:r>
          </w:p>
        </w:tc>
      </w:tr>
      <w:tr>
        <w:tc>
          <w:tcPr>
            <w:tcW w:type="dxa" w:w="1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FR-004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Functional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The system shall provide a one-click cancellation guide (step-by-step instructions or a direct link) for each identified subscription service.</w:t>
            </w:r>
          </w:p>
        </w:tc>
        <w:tc>
          <w:tcPr>
            <w:tcW w:type="dxa" w:w="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45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Pass:</w:t>
            </w:r>
            <w:r>
              <w:rPr>
                <w:b w:val="false"/>
                <w:bCs w:val="false"/>
                <w:sz w:val="22"/>
                <w:szCs w:val="22"/>
              </w:rPr>
              <w:t xml:space="preserve"> tapping "Cancel" on a subscription opens a guide or link for that specific merchant in under 2 seconds. </w:t>
            </w:r>
            <w:r>
              <w:rPr>
                <w:b/>
                <w:bCs/>
                <w:sz w:val="22"/>
                <w:szCs w:val="22"/>
              </w:rPr>
              <w:t xml:space="preserve">Fail:</w:t>
            </w:r>
            <w:r>
              <w:rPr>
                <w:b w:val="false"/>
                <w:bCs w:val="false"/>
                <w:sz w:val="22"/>
                <w:szCs w:val="22"/>
              </w:rPr>
              <w:t xml:space="preserve"> a generic/broken guide shows up, or nothing happens.</w:t>
            </w:r>
          </w:p>
        </w:tc>
        <w:tc>
          <w:tcPr>
            <w:tcW w:type="dxa" w:w="28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Knowing you're overspending doesn't help much if cancelling is still a hassle, this turns that awareness into something you can act on.</w:t>
            </w:r>
          </w:p>
        </w:tc>
      </w:tr>
      <w:tr>
        <w:tc>
          <w:tcPr>
            <w:tcW w:type="dxa" w:w="1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FR-005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Functional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The system shall allow the Finance Auditor role to generate and export a read-only audit report of all identified subscriptions and the monthly burn rate for a specified date range.</w:t>
            </w:r>
          </w:p>
        </w:tc>
        <w:tc>
          <w:tcPr>
            <w:tcW w:type="dxa" w:w="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45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Pass:</w:t>
            </w:r>
            <w:r>
              <w:rPr>
                <w:b w:val="false"/>
                <w:bCs w:val="false"/>
                <w:sz w:val="22"/>
                <w:szCs w:val="22"/>
              </w:rPr>
              <w:t xml:space="preserve"> the exported CSV/PDF lists every subscription in the chosen range with amount, renewal date, and status, matching what's shown in-app. </w:t>
            </w:r>
            <w:r>
              <w:rPr>
                <w:b/>
                <w:bCs/>
                <w:sz w:val="22"/>
                <w:szCs w:val="22"/>
              </w:rPr>
              <w:t xml:space="preserve">Fail:</w:t>
            </w:r>
            <w:r>
              <w:rPr>
                <w:b w:val="false"/>
                <w:bCs w:val="false"/>
                <w:sz w:val="22"/>
                <w:szCs w:val="22"/>
              </w:rPr>
              <w:t xml:space="preserve"> exported numbers don't match the app, or the Auditor can edit records.</w:t>
            </w:r>
          </w:p>
        </w:tc>
        <w:tc>
          <w:tcPr>
            <w:tcW w:type="dxa" w:w="28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The problem statement calls out Finance Auditor as a separate stakeholder, so there had to be some way for them to actually pull data out.</w:t>
            </w:r>
          </w:p>
        </w:tc>
      </w:tr>
      <w:tr>
        <w:tc>
          <w:tcPr>
            <w:tcW w:type="dxa" w:w="1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FR-006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Functional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The system shall allow the Individual User to manually reclassify any detected subscription as "not a subscription" (or a dismissed charge back into a subscription), overriding the system's automatic classification at any time.</w:t>
            </w:r>
          </w:p>
        </w:tc>
        <w:tc>
          <w:tcPr>
            <w:tcW w:type="dxa" w:w="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45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Pass:</w:t>
            </w:r>
            <w:r>
              <w:rPr>
                <w:b w:val="false"/>
                <w:bCs w:val="false"/>
                <w:sz w:val="22"/>
                <w:szCs w:val="22"/>
              </w:rPr>
              <w:t xml:space="preserve"> the change is applied right away, survives an app restart, and the burn rate recalculates. </w:t>
            </w:r>
            <w:r>
              <w:rPr>
                <w:b/>
                <w:bCs/>
                <w:sz w:val="22"/>
                <w:szCs w:val="22"/>
              </w:rPr>
              <w:t xml:space="preserve">Fail:</w:t>
            </w:r>
            <w:r>
              <w:rPr>
                <w:b w:val="false"/>
                <w:bCs w:val="false"/>
                <w:sz w:val="22"/>
                <w:szCs w:val="22"/>
              </w:rPr>
              <w:t xml:space="preserve"> the change doesn't stick, or the burn rate doesn't update.</w:t>
            </w:r>
          </w:p>
        </w:tc>
        <w:tc>
          <w:tcPr>
            <w:tcW w:type="dxa" w:w="28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The detection logic in FR-001 is never going to be 100% accurate, so users need a way to correct it themselves instead of living with a wrong list.</w:t>
            </w:r>
          </w:p>
        </w:tc>
      </w:tr>
      <w:tr>
        <w:tc>
          <w:tcPr>
            <w:tcW w:type="dxa" w:w="1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Nonfunctional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Financial transaction imports (CSV/OFX) must parse securely without storing raw banking credentials in cleartext.</w:t>
            </w:r>
          </w:p>
        </w:tc>
        <w:tc>
          <w:tcPr>
            <w:tcW w:type="dxa" w:w="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45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Pass:</w:t>
            </w:r>
            <w:r>
              <w:rPr>
                <w:b w:val="false"/>
                <w:bCs w:val="false"/>
                <w:sz w:val="22"/>
                <w:szCs w:val="22"/>
              </w:rPr>
              <w:t xml:space="preserve"> benchmarking confirms the target latency and security standards hold up under simulated peak load.</w:t>
            </w:r>
          </w:p>
        </w:tc>
        <w:tc>
          <w:tcPr>
            <w:tcW w:type="dxa" w:w="28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Given in the problem statement. Makes sense given this is handling actual bank data.</w:t>
            </w:r>
          </w:p>
        </w:tc>
      </w:tr>
      <w:tr>
        <w:tc>
          <w:tcPr>
            <w:tcW w:type="dxa" w:w="1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Nonfunctional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The system shall reliably deliver renewal-reminder notifications, with at least 99% of scheduled alerts delivered within 24 hours of their trigger time.</w:t>
            </w:r>
          </w:p>
        </w:tc>
        <w:tc>
          <w:tcPr>
            <w:tcW w:type="dxa" w:w="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45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Pass:</w:t>
            </w:r>
            <w:r>
              <w:rPr>
                <w:b w:val="false"/>
                <w:bCs w:val="false"/>
                <w:sz w:val="22"/>
                <w:szCs w:val="22"/>
              </w:rPr>
              <w:t xml:space="preserve"> delivery logs over a 30-day window show 99% or more of alerts delivered within 24 hours of trigger time. </w:t>
            </w:r>
            <w:r>
              <w:rPr>
                <w:b/>
                <w:bCs/>
                <w:sz w:val="22"/>
                <w:szCs w:val="22"/>
              </w:rPr>
              <w:t xml:space="preserve">Fail:</w:t>
            </w:r>
            <w:r>
              <w:rPr>
                <w:b w:val="false"/>
                <w:bCs w:val="false"/>
                <w:sz w:val="22"/>
                <w:szCs w:val="22"/>
              </w:rPr>
              <w:t xml:space="preserve"> delivery rate drops below that, or an alert goes out more than 24 hours late.</w:t>
            </w:r>
          </w:p>
        </w:tc>
        <w:tc>
          <w:tcPr>
            <w:tcW w:type="dxa" w:w="28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A late or missing alert kind of defeats the point of the whole app, so this needed to be its own requirement, separate from NFR-001's import security.</w:t>
            </w:r>
          </w:p>
        </w:tc>
      </w:tr>
      <w:tr>
        <w:tc>
          <w:tcPr>
            <w:tcW w:type="dxa" w:w="1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Nonfunctional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The system shall encrypt all stored financial transaction and subscription data at rest (e.g. AES-256), and shall not share identifiable transaction data with third parties without explicit user consent.</w:t>
            </w:r>
          </w:p>
        </w:tc>
        <w:tc>
          <w:tcPr>
            <w:tcW w:type="dxa" w:w="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45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Pass:</w:t>
            </w:r>
            <w:r>
              <w:rPr>
                <w:b w:val="false"/>
                <w:bCs w:val="false"/>
                <w:sz w:val="22"/>
                <w:szCs w:val="22"/>
              </w:rPr>
              <w:t xml:space="preserve"> a storage audit confirms every transaction record is encrypted at rest, and any third-party data share has a logged consent action. </w:t>
            </w:r>
            <w:r>
              <w:rPr>
                <w:b/>
                <w:bCs/>
                <w:sz w:val="22"/>
                <w:szCs w:val="22"/>
              </w:rPr>
              <w:t xml:space="preserve">Fail:</w:t>
            </w:r>
            <w:r>
              <w:rPr>
                <w:b w:val="false"/>
                <w:bCs w:val="false"/>
                <w:sz w:val="22"/>
                <w:szCs w:val="22"/>
              </w:rPr>
              <w:t xml:space="preserve"> a record turns up stored in plaintext, or data gets shared without consent being logged.</w:t>
            </w:r>
          </w:p>
        </w:tc>
        <w:tc>
          <w:tcPr>
            <w:tcW w:type="dxa" w:w="28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sz w:val="22"/>
                <w:szCs w:val="22"/>
              </w:rPr>
              <w:t xml:space="preserve">NFR-001 only covers securing the import itself. This one's about protecting the data once it's actually sitting in storage, which felt like a separate concern worth calling out.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2026-08-27T04:03:20.486Z</dcterms:created>
  <dcterms:modified xsi:type="dcterms:W3CDTF">2026-08-27T04:03:20.498Z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