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D71" w:rsidRDefault="00CA2F00">
      <w:pPr>
        <w:pStyle w:val="Heading1"/>
        <w:spacing w:after="120" w:line="300" w:lineRule="auto"/>
        <w:jc w:val="center"/>
      </w:pPr>
      <w:bookmarkStart w:id="0" w:name="具身智能从大模型到物理世界"/>
      <w:r>
        <w:rPr>
          <w:rFonts w:hint="eastAsia"/>
        </w:rPr>
        <w:t>具身智能：从大模型到物理世界</w:t>
      </w:r>
    </w:p>
    <w:p w:rsidR="005F6D71" w:rsidRDefault="00CA2F00">
      <w:pPr>
        <w:pStyle w:val="Heading2"/>
        <w:spacing w:after="120" w:line="300" w:lineRule="auto"/>
        <w:jc w:val="center"/>
      </w:pPr>
      <w:bookmarkStart w:id="1" w:name="评xbotics-具身智能二十一讲第一讲"/>
      <w:r>
        <w:rPr>
          <w:rFonts w:hint="eastAsia"/>
          <w:b w:val="0"/>
          <w:color w:val="595959"/>
        </w:rPr>
        <w:t>——评《</w:t>
      </w:r>
      <w:r>
        <w:rPr>
          <w:rFonts w:hint="eastAsia"/>
          <w:b w:val="0"/>
          <w:color w:val="595959"/>
        </w:rPr>
        <w:t>Xbotics</w:t>
      </w:r>
      <w:r>
        <w:rPr>
          <w:b w:val="0"/>
          <w:color w:val="595959"/>
        </w:rPr>
        <w:t xml:space="preserve"> </w:t>
      </w:r>
      <w:r>
        <w:rPr>
          <w:rFonts w:hint="eastAsia"/>
          <w:b w:val="0"/>
          <w:color w:val="595959"/>
        </w:rPr>
        <w:t>具身智能二十一讲》第一讲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  <w:b/>
          <w:bCs/>
        </w:rPr>
        <w:t>摘要</w:t>
      </w:r>
      <w:r>
        <w:t xml:space="preserve">　</w:t>
      </w:r>
      <w:r>
        <w:rPr>
          <w:rFonts w:hint="eastAsia"/>
        </w:rPr>
        <w:t>王乐《具身智能导论：从大模型到物理世界智能体》一讲提出，具身智能的困难不在于模型能否给出正确答案，而在于模型所处的感知—行动闭环能否在真实环境中稳定运转。本文梳理该讲的论证结构，讨论其系统观与技术路线观，并对其中尚未展开的评测、数据与安全议题作简要评述。</w:t>
      </w:r>
    </w:p>
    <w:p w:rsidR="005F6D71" w:rsidRDefault="00CA2F00">
      <w:pPr>
        <w:pStyle w:val="BodyText"/>
        <w:spacing w:after="120" w:line="300" w:lineRule="auto"/>
      </w:pPr>
      <w:r>
        <w:rPr>
          <w:rFonts w:hint="eastAsia"/>
          <w:b/>
          <w:bCs/>
        </w:rPr>
        <w:t>关键词</w:t>
      </w:r>
      <w:r>
        <w:t xml:space="preserve">　</w:t>
      </w:r>
      <w:r>
        <w:rPr>
          <w:rFonts w:hint="eastAsia"/>
        </w:rPr>
        <w:t>具身智能；视觉—语言—动作模型；闭环控制；仿真到现实迁移</w:t>
      </w:r>
    </w:p>
    <w:p w:rsidR="005F6D71" w:rsidRDefault="00CA2F00">
      <w:pPr>
        <w:pStyle w:val="Heading2"/>
        <w:spacing w:after="120" w:line="300" w:lineRule="auto"/>
      </w:pPr>
      <w:bookmarkStart w:id="2" w:name="一问题的提出"/>
      <w:bookmarkEnd w:id="1"/>
      <w:r>
        <w:rPr>
          <w:rFonts w:hint="eastAsia"/>
        </w:rPr>
        <w:t>一、问题的提出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</w:rPr>
        <w:t>大语言模型可以准确复述</w:t>
      </w:r>
      <w:r>
        <w:rPr>
          <w:rFonts w:hint="eastAsia"/>
        </w:rPr>
        <w:t>"</w:t>
      </w:r>
      <w:r>
        <w:rPr>
          <w:rFonts w:hint="eastAsia"/>
        </w:rPr>
        <w:t>如何抓杯子</w:t>
      </w:r>
      <w:r>
        <w:rPr>
          <w:rFonts w:hint="eastAsia"/>
        </w:rPr>
        <w:t>"</w:t>
      </w:r>
      <w:r>
        <w:rPr>
          <w:rFonts w:hint="eastAsia"/>
        </w:rPr>
        <w:t>的步骤，却不能使机械臂完成一次抓取。这一落差常被归因于模型能力，原文的判断则更为具体：数字任务处理信息之间的关系，输出错误至多导致信息错误；机器人输出的是动作，动作改变世界，而改变后的世界又成为下一轮决策的输入。原文据此区分</w:t>
      </w:r>
      <w:r>
        <w:rPr>
          <w:rFonts w:hint="eastAsia"/>
        </w:rPr>
        <w:t>"</w:t>
      </w:r>
      <w:r>
        <w:rPr>
          <w:rFonts w:hint="eastAsia"/>
        </w:rPr>
        <w:t>说得对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做得成</w:t>
      </w:r>
      <w:r>
        <w:rPr>
          <w:rFonts w:hint="eastAsia"/>
        </w:rPr>
        <w:t>"</w:t>
      </w:r>
      <w:r>
        <w:rPr>
          <w:rFonts w:hint="eastAsia"/>
        </w:rPr>
        <w:t>，前者属于知识表达，后者属于系统能力。</w:t>
      </w:r>
    </w:p>
    <w:p w:rsidR="005F6D71" w:rsidRDefault="00CA2F00">
      <w:pPr>
        <w:pStyle w:val="BodyText"/>
        <w:spacing w:after="120" w:line="300" w:lineRule="auto"/>
      </w:pPr>
      <w:r>
        <w:rPr>
          <w:rFonts w:hint="eastAsia"/>
        </w:rPr>
        <w:t>这一区分与控制论中</w:t>
      </w:r>
      <w:r>
        <w:rPr>
          <w:rFonts w:hint="eastAsia"/>
        </w:rPr>
        <w:t>"</w:t>
      </w:r>
      <w:r>
        <w:rPr>
          <w:rFonts w:hint="eastAsia"/>
        </w:rPr>
        <w:t>感知—规划—行动</w:t>
      </w:r>
      <w:r>
        <w:rPr>
          <w:rFonts w:hint="eastAsia"/>
        </w:rPr>
        <w:t>"</w:t>
      </w:r>
      <w:r>
        <w:rPr>
          <w:rFonts w:hint="eastAsia"/>
        </w:rPr>
        <w:t>的传统一脉相承。区别在于，大模型进入物理世界后，原有闭环被加上了三重硬约束：控制频率决定的实时性，动能与接触带来的安全性，以及关节限位、平衡条件等物理可行性。三者都不属于语言理解的范畴，这正是</w:t>
      </w:r>
      <w:r>
        <w:rPr>
          <w:rFonts w:hint="eastAsia"/>
        </w:rPr>
        <w:t>"</w:t>
      </w:r>
      <w:r>
        <w:rPr>
          <w:rFonts w:hint="eastAsia"/>
        </w:rPr>
        <w:t>模型答得对、机器人做不成</w:t>
      </w:r>
      <w:r>
        <w:rPr>
          <w:rFonts w:hint="eastAsia"/>
        </w:rPr>
        <w:t>"</w:t>
      </w:r>
      <w:r>
        <w:rPr>
          <w:rFonts w:hint="eastAsia"/>
        </w:rPr>
        <w:t>的结构性原因，也解释了为何不能把模型输出直接下发给电机。</w:t>
      </w:r>
    </w:p>
    <w:p w:rsidR="005F6D71" w:rsidRDefault="00CA2F00">
      <w:pPr>
        <w:pStyle w:val="Heading2"/>
        <w:spacing w:after="120" w:line="300" w:lineRule="auto"/>
      </w:pPr>
      <w:bookmarkStart w:id="3" w:name="二系统构成与闭环"/>
      <w:bookmarkEnd w:id="2"/>
      <w:r>
        <w:rPr>
          <w:rFonts w:hint="eastAsia"/>
        </w:rPr>
        <w:t>二、系统构成与闭环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</w:rPr>
        <w:t>原文将具身智能体分解为身体、感知、状态、任务、策略、控制与数据七部分，并强调它们相互约束。该分解包含两个要点。其一，身体被界定为能力边界而非模型外壳：本体形态决定动作空间与可获取的信息，因此算法是否有效，必须放回具体硬件与任务中判断。其二，感知被限定为可支持行动的信息，包括目标位置、姿态、可抓取区域与接触状态，而不仅是识别结果。</w:t>
      </w:r>
    </w:p>
    <w:p w:rsidR="005F6D71" w:rsidRDefault="00CA2F00">
      <w:pPr>
        <w:pStyle w:val="BodyText"/>
        <w:spacing w:after="120" w:line="300" w:lineRule="auto"/>
      </w:pPr>
      <w:r>
        <w:rPr>
          <w:rFonts w:hint="eastAsia"/>
        </w:rPr>
        <w:t>七要素经由一个闭环组织起来：任务输入、环境感知、状态估计、策略与规划、控制执行、反馈检测、数据记录。以</w:t>
      </w:r>
      <w:r>
        <w:rPr>
          <w:rFonts w:hint="eastAsia"/>
        </w:rPr>
        <w:t>"</w:t>
      </w:r>
      <w:r>
        <w:rPr>
          <w:rFonts w:hint="eastAsia"/>
        </w:rPr>
        <w:t>把红色杯子放进托盘</w:t>
      </w:r>
      <w:r>
        <w:rPr>
          <w:rFonts w:hint="eastAsia"/>
        </w:rPr>
        <w:t>"</w:t>
      </w:r>
      <w:r>
        <w:rPr>
          <w:rFonts w:hint="eastAsia"/>
        </w:rPr>
        <w:t>为例，任一环节的输出都是下一环节的输入，任一环节失效都导致任务失败。原文特别强调反馈检测的地位：缺少它，系统只能确认指令已发出，无法确认目标是否达成。数据记录则把任务闭环延伸为学习闭环，成功与失败样本共同构成后续训练与评测的原材料。</w:t>
      </w:r>
    </w:p>
    <w:p w:rsidR="005F6D71" w:rsidRDefault="00CA2F00">
      <w:pPr>
        <w:pStyle w:val="Heading2"/>
        <w:spacing w:after="120" w:line="300" w:lineRule="auto"/>
      </w:pPr>
      <w:bookmarkStart w:id="4" w:name="三技术路线的分工"/>
      <w:bookmarkEnd w:id="3"/>
      <w:r>
        <w:rPr>
          <w:rFonts w:hint="eastAsia"/>
        </w:rPr>
        <w:lastRenderedPageBreak/>
        <w:t>三、技术路线的分工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</w:rPr>
        <w:t>原文比较了五种方法。传统流水线（</w:t>
      </w:r>
      <w:r>
        <w:rPr>
          <w:rFonts w:hint="eastAsia"/>
        </w:rPr>
        <w:t>Pipeline</w:t>
      </w:r>
      <w:r>
        <w:rPr>
          <w:rFonts w:hint="eastAsia"/>
        </w:rPr>
        <w:t>）以模块化为特征，可解释、易调试，代价是开放场景下的规则膨胀；模仿学习直接从示教数据中学习行为，其瓶颈同样来自数据，示范未覆盖的状态最易失败；强化学习借助仿真获取运动与接触技能，依赖奖励设计与仿真到现实的迁移；</w:t>
      </w:r>
      <w:r>
        <w:rPr>
          <w:rFonts w:hint="eastAsia"/>
        </w:rPr>
        <w:t>VLA</w:t>
      </w:r>
      <w:r>
        <w:t xml:space="preserve"> </w:t>
      </w:r>
      <w:r>
        <w:rPr>
          <w:rFonts w:hint="eastAsia"/>
        </w:rPr>
        <w:t>将视觉、语言与动作联合建模，降低任务定义成本并提供跨任务泛化；世界模型进一步预测动作后果，用于行动前的候选方案比较。</w:t>
      </w:r>
    </w:p>
    <w:p w:rsidR="005F6D71" w:rsidRDefault="00CA2F00">
      <w:pPr>
        <w:pStyle w:val="BodyText"/>
        <w:spacing w:after="120" w:line="300" w:lineRule="auto"/>
      </w:pPr>
      <w:r>
        <w:rPr>
          <w:rFonts w:hint="eastAsia"/>
        </w:rPr>
        <w:t>原文的关键判断是，这些路线并非替代关系。真实系统多采用分层混合结构：高层模型负责理解，规划器校验可行性，控制器保证执行稳定，安全模块兜底。本文认为，五条路线大体对应闭环的不同环节，因此选型问题不是</w:t>
      </w:r>
      <w:r>
        <w:rPr>
          <w:rFonts w:hint="eastAsia"/>
        </w:rPr>
        <w:t>"</w:t>
      </w:r>
      <w:r>
        <w:rPr>
          <w:rFonts w:hint="eastAsia"/>
        </w:rPr>
        <w:t>哪种方法更先进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何种能力置于哪一层、由什么机制兜底</w:t>
      </w:r>
      <w:r>
        <w:rPr>
          <w:rFonts w:hint="eastAsia"/>
        </w:rPr>
        <w:t>"</w:t>
      </w:r>
      <w:r>
        <w:rPr>
          <w:rFonts w:hint="eastAsia"/>
        </w:rPr>
        <w:t>。这一判断比单点方法的优劣比较更贴近工程现实，也解释了端到端模型与模块化系统为何长期并存。</w:t>
      </w:r>
    </w:p>
    <w:p w:rsidR="005F6D71" w:rsidRDefault="00CA2F00">
      <w:pPr>
        <w:pStyle w:val="Heading2"/>
        <w:spacing w:after="120" w:line="300" w:lineRule="auto"/>
      </w:pPr>
      <w:bookmarkStart w:id="5" w:name="四评述与未决问题"/>
      <w:bookmarkEnd w:id="4"/>
      <w:r>
        <w:rPr>
          <w:rFonts w:hint="eastAsia"/>
        </w:rPr>
        <w:t>四、评述与未决问题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</w:rPr>
        <w:t>作为导论，该讲省略了若干关键议题，这构成本文的评述重点。</w:t>
      </w:r>
    </w:p>
    <w:p w:rsidR="005F6D71" w:rsidRDefault="00CA2F00">
      <w:pPr>
        <w:pStyle w:val="BodyText"/>
        <w:spacing w:after="120" w:line="300" w:lineRule="auto"/>
      </w:pPr>
      <w:r>
        <w:rPr>
          <w:rFonts w:hint="eastAsia"/>
        </w:rPr>
        <w:t>首先是评测。原文反复强调</w:t>
      </w:r>
      <w:r>
        <w:rPr>
          <w:rFonts w:hint="eastAsia"/>
        </w:rPr>
        <w:t>"</w:t>
      </w:r>
      <w:r>
        <w:rPr>
          <w:rFonts w:hint="eastAsia"/>
        </w:rPr>
        <w:t>可靠地做成</w:t>
      </w:r>
      <w:r>
        <w:rPr>
          <w:rFonts w:hint="eastAsia"/>
        </w:rPr>
        <w:t>"</w:t>
      </w:r>
      <w:r>
        <w:rPr>
          <w:rFonts w:hint="eastAsia"/>
        </w:rPr>
        <w:t>，却未给出度量方式：成功率的统计分布为何，长时序任务如何评估，均未涉及，而这是领域当前最薄弱之处。</w:t>
      </w:r>
    </w:p>
    <w:p w:rsidR="005F6D71" w:rsidRDefault="00CA2F00" w:rsidP="00CA2F00">
      <w:pPr>
        <w:pStyle w:val="BodyText"/>
        <w:spacing w:after="120" w:line="300" w:lineRule="auto"/>
      </w:pPr>
      <w:r>
        <w:rPr>
          <w:rFonts w:hint="eastAsia"/>
        </w:rPr>
        <w:t>其次是数据。数据飞轮依赖规模化部署，没有足够机器人在真实场景中运行，便难以积累失败样本，系统也就难以改进。这一循环的先决条件未被讨论。</w:t>
      </w:r>
    </w:p>
    <w:p w:rsidR="005F6D71" w:rsidRDefault="00CA2F00">
      <w:pPr>
        <w:pStyle w:val="Heading2"/>
        <w:spacing w:after="120" w:line="300" w:lineRule="auto"/>
      </w:pPr>
      <w:bookmarkStart w:id="6" w:name="五结语"/>
      <w:bookmarkEnd w:id="5"/>
      <w:r>
        <w:rPr>
          <w:rFonts w:hint="eastAsia"/>
        </w:rPr>
        <w:t>五、结语</w:t>
      </w:r>
    </w:p>
    <w:p w:rsidR="005F6D71" w:rsidRDefault="00CA2F00">
      <w:pPr>
        <w:pStyle w:val="FirstParagraph"/>
        <w:spacing w:after="120" w:line="300" w:lineRule="auto"/>
      </w:pPr>
      <w:r>
        <w:rPr>
          <w:rFonts w:hint="eastAsia"/>
        </w:rPr>
        <w:t>该讲提供的是一张地图而非一套算法，它给出三个坐标：本体决定能力边界，技术路线决定能力来源，闭环决定系统能否持续运转。对后续学习而言，这三者构成了判断具体方法位置与风险的基本框架。其核心论断可以概括为：具身智能的检验标准，不是机器人能否把任务说清楚，而是能否在真实环境中稳定地完成任务。</w:t>
      </w:r>
    </w:p>
    <w:p w:rsidR="00B56D25" w:rsidRPr="00B56D25" w:rsidRDefault="00B56D25" w:rsidP="00B56D25">
      <w:pPr>
        <w:pStyle w:val="BodyText"/>
        <w:rPr>
          <w:rFonts w:hint="eastAsia"/>
        </w:rPr>
      </w:pPr>
      <w:r>
        <w:t>本文由</w:t>
      </w:r>
      <w:proofErr w:type="spellStart"/>
      <w:r>
        <w:rPr>
          <w:rFonts w:hint="eastAsia"/>
        </w:rPr>
        <w:t>D</w:t>
      </w:r>
      <w:r>
        <w:t>eepseek</w:t>
      </w:r>
      <w:proofErr w:type="spellEnd"/>
      <w:r>
        <w:t xml:space="preserve"> AI</w:t>
      </w:r>
      <w:r>
        <w:t>润色并区分结构，为了让整体看起来更有逻辑，分为</w:t>
      </w:r>
      <w:r>
        <w:rPr>
          <w:rFonts w:hint="eastAsia"/>
        </w:rPr>
        <w:t>5</w:t>
      </w:r>
      <w:r>
        <w:rPr>
          <w:rFonts w:hint="eastAsia"/>
        </w:rPr>
        <w:t>个板块叙述。</w:t>
      </w:r>
      <w:bookmarkStart w:id="7" w:name="_GoBack"/>
      <w:bookmarkEnd w:id="7"/>
    </w:p>
    <w:p w:rsidR="005F6D71" w:rsidRDefault="00CA2F00">
      <w:pPr>
        <w:pStyle w:val="Heading2"/>
        <w:spacing w:after="120" w:line="300" w:lineRule="auto"/>
      </w:pPr>
      <w:bookmarkStart w:id="8" w:name="参考文献"/>
      <w:bookmarkEnd w:id="6"/>
      <w:r>
        <w:rPr>
          <w:rFonts w:hint="eastAsia"/>
        </w:rPr>
        <w:t>参考文献</w:t>
      </w:r>
    </w:p>
    <w:p w:rsidR="005F6D71" w:rsidRDefault="00CA2F00">
      <w:pPr>
        <w:pStyle w:val="FirstParagraph"/>
        <w:spacing w:after="120" w:line="300" w:lineRule="auto"/>
      </w:pPr>
      <w:r>
        <w:t xml:space="preserve">[1] </w:t>
      </w:r>
      <w:r>
        <w:rPr>
          <w:rFonts w:hint="eastAsia"/>
        </w:rPr>
        <w:t>王乐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二十一讲</w:t>
      </w:r>
      <w:r>
        <w:t xml:space="preserve"> |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讲：具身智能导论：从大模型到物理世界智能体</w:t>
      </w:r>
      <w:r>
        <w:rPr>
          <w:rFonts w:hint="eastAsia"/>
        </w:rPr>
        <w:t>[EB/OL].</w:t>
      </w:r>
      <w:r>
        <w:t xml:space="preserve"> Xbotics </w:t>
      </w:r>
      <w:r>
        <w:rPr>
          <w:rFonts w:hint="eastAsia"/>
        </w:rPr>
        <w:t>具身智能实验室</w:t>
      </w:r>
      <w:r>
        <w:rPr>
          <w:rFonts w:hint="eastAsia"/>
        </w:rPr>
        <w:t>,</w:t>
      </w:r>
      <w:r>
        <w:t xml:space="preserve"> 2026-09-14. </w:t>
      </w:r>
      <w:hyperlink r:id="rId5">
        <w:r>
          <w:rPr>
            <w:rStyle w:val="Hyperlink"/>
          </w:rPr>
          <w:t>https://mp.weixin.qq.com/s/l08ro3x2P1J3-2OkfBTB8A</w:t>
        </w:r>
      </w:hyperlink>
      <w:r>
        <w:t>.</w:t>
      </w:r>
    </w:p>
    <w:p w:rsidR="005F6D71" w:rsidRDefault="00CA2F00">
      <w:pPr>
        <w:pStyle w:val="BodyText"/>
        <w:spacing w:after="120" w:line="300" w:lineRule="auto"/>
      </w:pPr>
      <w:r>
        <w:lastRenderedPageBreak/>
        <w:t>[2] Brooks R A. Intelligence without representation[J]. Artificial Intelligence, 1991, 47(1-3): 139-159.</w:t>
      </w:r>
    </w:p>
    <w:p w:rsidR="005F6D71" w:rsidRDefault="00CA2F00">
      <w:pPr>
        <w:pStyle w:val="BodyText"/>
        <w:spacing w:after="120" w:line="300" w:lineRule="auto"/>
      </w:pPr>
      <w:r>
        <w:t>[3] Kober J, Bagnell J A, Peters J. Reinforcement learning in robotics: A survey[J]. The International Journal of Robotics Research, 2013, 32(11): 1238-1274.</w:t>
      </w:r>
    </w:p>
    <w:p w:rsidR="005F6D71" w:rsidRDefault="00CA2F00">
      <w:pPr>
        <w:pStyle w:val="BodyText"/>
        <w:spacing w:after="120" w:line="300" w:lineRule="auto"/>
      </w:pPr>
      <w:r>
        <w:t>[4] Levine S, Finn C, Darrell T, Abbeel P. End-to-end training of deep visuomotor policies[EB/OL]. arXiv:1504.00702, 2015.</w:t>
      </w:r>
    </w:p>
    <w:p w:rsidR="005F6D71" w:rsidRDefault="00CA2F00">
      <w:pPr>
        <w:pStyle w:val="BodyText"/>
        <w:spacing w:after="120" w:line="300" w:lineRule="auto"/>
      </w:pPr>
      <w:r>
        <w:t>[5] Brohan A, Brown N, Carbajal J, et al. RT-1: Robotics Transformer for real-world control at scale[EB/OL]. arXiv:2212.06817, 2022.</w:t>
      </w:r>
    </w:p>
    <w:bookmarkEnd w:id="0"/>
    <w:bookmarkEnd w:id="8"/>
    <w:p w:rsidR="005F6D71" w:rsidRDefault="005F6D71">
      <w:pPr>
        <w:pStyle w:val="BodyText"/>
        <w:spacing w:after="120" w:line="300" w:lineRule="auto"/>
      </w:pPr>
    </w:p>
    <w:sectPr w:rsidR="005F6D71">
      <w:footnotePr>
        <w:numRestart w:val="eachSect"/>
      </w:footnotePr>
      <w:pgSz w:w="12240" w:h="15840"/>
      <w:pgMar w:top="1247" w:right="1361" w:bottom="1247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AA61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F6D71"/>
    <w:rsid w:val="005F6D71"/>
    <w:rsid w:val="00B56D25"/>
    <w:rsid w:val="00CA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547877-C41A-4767-83AC-2F505C0C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微软雅黑" w:hAnsi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F4E79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F4E7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1F4E79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595959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微软雅黑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eastAsia="微软雅黑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eastAsia="微软雅黑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eastAsia="微软雅黑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eastAsia="微软雅黑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eastAsia="微软雅黑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eastAsia="微软雅黑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eastAsia="微软雅黑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eastAsia="微软雅黑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eastAsia="微软雅黑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eastAsia="微软雅黑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eastAsia="微软雅黑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eastAsia="微软雅黑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eastAsia="微软雅黑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eastAsia="微软雅黑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eastAsia="微软雅黑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eastAsia="微软雅黑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eastAsia="微软雅黑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eastAsia="微软雅黑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eastAsia="微软雅黑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eastAsia="微软雅黑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eastAsia="微软雅黑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eastAsia="微软雅黑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eastAsia="微软雅黑" w:hAnsi="Consolas"/>
      <w:sz w:val="18"/>
    </w:rPr>
  </w:style>
  <w:style w:type="character" w:customStyle="1" w:styleId="PreprocessorTok">
    <w:name w:val="PreprocessorTok"/>
    <w:basedOn w:val="VerbatimChar"/>
    <w:rPr>
      <w:rFonts w:ascii="Consolas" w:eastAsia="微软雅黑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eastAsia="微软雅黑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eastAsia="微软雅黑" w:hAnsi="Consolas"/>
      <w:sz w:val="18"/>
    </w:rPr>
  </w:style>
  <w:style w:type="character" w:customStyle="1" w:styleId="InformationTok">
    <w:name w:val="InformationTok"/>
    <w:basedOn w:val="VerbatimChar"/>
    <w:rPr>
      <w:rFonts w:ascii="Consolas" w:eastAsia="微软雅黑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eastAsia="微软雅黑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eastAsia="微软雅黑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eastAsia="微软雅黑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eastAsia="微软雅黑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p.weixin.qq.com/s/l08ro3x2P1J3-2OkfBTB8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3</cp:revision>
  <dcterms:created xsi:type="dcterms:W3CDTF">2026-09-17T06:05:00Z</dcterms:created>
  <dcterms:modified xsi:type="dcterms:W3CDTF">2026-09-17T06:12:00Z</dcterms:modified>
</cp:coreProperties>
</file>