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52"/>
          <w:szCs w:val="52"/>
          <w:rtl w:val="0"/>
        </w:rPr>
        <w:t xml:space="preserve">Számítógépes </w:t>
      </w:r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52"/>
          <w:szCs w:val="52"/>
          <w:rtl w:val="0"/>
        </w:rPr>
        <w:t xml:space="preserve">rafika </w:t>
      </w:r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Utóvizsga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2019. 05. 30.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 zárthelyi során a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 cg.elte.hu</w:t>
        </w:r>
      </w:hyperlink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oldal anyagai használhatóak, illetve a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használt rendszerek dokumentációi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(lásd a linkeket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 dokumentum alján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). Kézzel írott, papíron levő anyagok használhatók.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Ezen kívül semmilyen más segédanyag sem használható. Amennyiben valakinél mégis észrevesszük ezektől különböző forrás (tutorial, facebook, mail, kívülről behozott kódok stb.) használatát, a ZH azonnal elégtelennel ér véget számára!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 zárthelyi teljesítéséhez egy OpenGL (OGL) program megírására van szükség.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80" w:before="36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Pontozás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 géptermin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pont szerezhető,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legalább 45 pontot el kell érni, különben a géptermi mindenképpen sikertelen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! UV-ra a géptermi végén előálló pontszám harmada megy tovább (pontosabban a (géptermin elért pontszám + a félév során szerzett pontok)/3 felső egészrész)!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(Félév során szerzett pontok: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lekérdező</w:t>
        </w:r>
      </w:hyperlink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85-...:   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70-84:   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50-69:   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45-59:   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…-44:   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n6qrtdklcv4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Geometria (összesen 45 pont)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ynlxasxqqb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Színtér (össz 11 pont)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ly33y45czo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Textúra-koordinák és normálvektorok (össz 19 pont):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rpb3t1pi2p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Átlátszóság (össz 15 pont)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l198qodivc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Szimuláció (összesen 50 pont)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vjn2iqhz26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Egyedi alakzatok (össz 10 pont)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84qq20ysg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Alakzatok interakciói (össz 20 pont)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i4ultpqfnf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Fények (össz 20 pont)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after="80"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4am5i4gal43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Interakció (összesen 15 pont)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Antibiotikum-szimuláció súlytalanságban</w:t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24313" cy="35771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3577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Egy orvosi alkalmazás keretein belül szeretnénk egy grafikus szimulációt készíteni, amelyben csúnya gennyes baktériumok reakcióját szimuláljuk egy új antibiotikumra, egy gravitáció nélküli fadobozban. Because of reasons. A kamerát úgy helyezzük el, hogy a színtérben minden tisztán látszódjon!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n6qrtdklcv4j" w:id="1"/>
      <w:bookmarkEnd w:id="1"/>
      <w:r w:rsidDel="00000000" w:rsidR="00000000" w:rsidRPr="00000000">
        <w:rPr>
          <w:rtl w:val="0"/>
        </w:rPr>
        <w:t xml:space="preserve">Geometria (összesen 45 pont)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vynlxasxqqbx" w:id="2"/>
      <w:bookmarkEnd w:id="2"/>
      <w:r w:rsidDel="00000000" w:rsidR="00000000" w:rsidRPr="00000000">
        <w:rPr>
          <w:rtl w:val="0"/>
        </w:rPr>
        <w:t xml:space="preserve">Színtér (össz 11 pont)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 színtér origójában legyen egy 0.25 sugarú, 2 magasságú henger </w:t>
      </w:r>
      <w:r w:rsidDel="00000000" w:rsidR="00000000" w:rsidRPr="00000000">
        <w:rPr>
          <w:b w:val="1"/>
          <w:rtl w:val="0"/>
        </w:rPr>
        <w:t xml:space="preserve">(2 pont)</w:t>
      </w:r>
      <w:r w:rsidDel="00000000" w:rsidR="00000000" w:rsidRPr="00000000">
        <w:rPr>
          <w:rtl w:val="0"/>
        </w:rPr>
        <w:t xml:space="preserve">, a két végén pedig egy-egy 0.25 sugarú félgömb </w:t>
      </w:r>
      <w:r w:rsidDel="00000000" w:rsidR="00000000" w:rsidRPr="00000000">
        <w:rPr>
          <w:b w:val="1"/>
          <w:rtl w:val="0"/>
        </w:rPr>
        <w:t xml:space="preserve">(3 pont)</w:t>
      </w:r>
      <w:r w:rsidDel="00000000" w:rsidR="00000000" w:rsidRPr="00000000">
        <w:rPr>
          <w:rtl w:val="0"/>
        </w:rPr>
        <w:t xml:space="preserve">. Az így kapott alakzat egy 3 egység magas kapszula lesz, ami az antibiotikumokat jelképezi.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 kapszulát vegyük körbe egy origó középpontú, 20x20x20 méretű </w:t>
      </w:r>
      <w:r w:rsidDel="00000000" w:rsidR="00000000" w:rsidRPr="00000000">
        <w:rPr>
          <w:i w:val="1"/>
          <w:rtl w:val="0"/>
        </w:rPr>
        <w:t xml:space="preserve">kifordított</w:t>
      </w:r>
      <w:r w:rsidDel="00000000" w:rsidR="00000000" w:rsidRPr="00000000">
        <w:rPr>
          <w:rtl w:val="0"/>
        </w:rPr>
        <w:t xml:space="preserve"> kockával </w:t>
      </w:r>
      <w:r w:rsidDel="00000000" w:rsidR="00000000" w:rsidRPr="00000000">
        <w:rPr>
          <w:b w:val="1"/>
          <w:rtl w:val="0"/>
        </w:rPr>
        <w:t xml:space="preserve">(3 pont)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 baktériumok jelképezésére a színtérben véletlenszerűen, de </w:t>
      </w:r>
      <w:r w:rsidDel="00000000" w:rsidR="00000000" w:rsidRPr="00000000">
        <w:rPr>
          <w:i w:val="1"/>
          <w:rtl w:val="0"/>
        </w:rPr>
        <w:t xml:space="preserve">szigorúan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kockán belül</w:t>
      </w:r>
      <w:r w:rsidDel="00000000" w:rsidR="00000000" w:rsidRPr="00000000">
        <w:rPr>
          <w:rtl w:val="0"/>
        </w:rPr>
        <w:t xml:space="preserve"> helyezzünk el 6 darab 1.5 sugarú gömböt is </w:t>
      </w:r>
      <w:r w:rsidDel="00000000" w:rsidR="00000000" w:rsidRPr="00000000">
        <w:rPr>
          <w:b w:val="1"/>
          <w:rtl w:val="0"/>
        </w:rPr>
        <w:t xml:space="preserve">(3 pont)</w:t>
      </w:r>
      <w:r w:rsidDel="00000000" w:rsidR="00000000" w:rsidRPr="00000000">
        <w:rPr>
          <w:rtl w:val="0"/>
        </w:rPr>
        <w:t xml:space="preserve">. (Tehát egy gömb sem érintheti a kocka falait). A további feladatokat jelentősen megkönnyíti, ha a gömbök pozícióit egy vektorban tároljuk, de ez nem kötelező.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ily33y45czo7" w:id="3"/>
      <w:bookmarkEnd w:id="3"/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extúra-koordinák és normálvektorok (össz 19 pont):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kapszulát alkotó alakzatoknak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 + 3 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kifordított kockának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 + 3 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színtérben lerakott gömböknek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 fenti alakzatokra az alábbi textúrákat húzzuk: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Kapszula: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crystal-diffuse.jpg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Gömbök: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slime.jpg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Kocka: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wood-floor.png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pont)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hrpb3t1pi2pk" w:id="4"/>
      <w:bookmarkEnd w:id="4"/>
      <w:r w:rsidDel="00000000" w:rsidR="00000000" w:rsidRPr="00000000">
        <w:rPr>
          <w:rtl w:val="0"/>
        </w:rPr>
        <w:t xml:space="preserve">Átlátszóság (össz 15 pont)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 kapszula shaderét írjuk úgy át, hogy legyen áttetsző </w:t>
      </w:r>
      <w:r w:rsidDel="00000000" w:rsidR="00000000" w:rsidRPr="00000000">
        <w:rPr>
          <w:b w:val="1"/>
          <w:rtl w:val="0"/>
        </w:rPr>
        <w:t xml:space="preserve">(2 pont)</w:t>
      </w:r>
      <w:r w:rsidDel="00000000" w:rsidR="00000000" w:rsidRPr="00000000">
        <w:rPr>
          <w:rtl w:val="0"/>
        </w:rPr>
        <w:t xml:space="preserve">, és a színteret is úgy rajzoljuk ki, hogy a kapszula mögött minden látszódjon </w:t>
      </w:r>
      <w:r w:rsidDel="00000000" w:rsidR="00000000" w:rsidRPr="00000000">
        <w:rPr>
          <w:b w:val="1"/>
          <w:rtl w:val="0"/>
        </w:rPr>
        <w:t xml:space="preserve">(3 pont)</w:t>
      </w:r>
      <w:r w:rsidDel="00000000" w:rsidR="00000000" w:rsidRPr="00000000">
        <w:rPr>
          <w:rtl w:val="0"/>
        </w:rPr>
        <w:t xml:space="preserve">! Az átlátszatlanság engedélyezéséhez ne felejtsük el az init függvényben meghívni a megfelelő glEnable és glBlendFunc függvényeket (ld. Transparency.zip)!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 xml:space="preserve">A gömbök is legyenek kissé áttetszőek. </w:t>
      </w:r>
      <w:r w:rsidDel="00000000" w:rsidR="00000000" w:rsidRPr="00000000">
        <w:rPr>
          <w:b w:val="1"/>
          <w:rtl w:val="0"/>
        </w:rPr>
        <w:t xml:space="preserve">(1 pont)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Az alakzatokat (ügyesen) rendezett sorrendben rajzoljuk ki</w:t>
      </w:r>
      <w:r w:rsidDel="00000000" w:rsidR="00000000" w:rsidRPr="00000000">
        <w:rPr>
          <w:rtl w:val="0"/>
        </w:rPr>
        <w:t xml:space="preserve">, hogy az átlátszóság megfelelően jelenjen meg. Használható az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std::sort</w:t>
        </w:r>
      </w:hyperlink>
      <w:r w:rsidDel="00000000" w:rsidR="00000000" w:rsidRPr="00000000">
        <w:rPr>
          <w:rtl w:val="0"/>
        </w:rPr>
        <w:t xml:space="preserve"> függvény. </w:t>
      </w:r>
      <w:r w:rsidDel="00000000" w:rsidR="00000000" w:rsidRPr="00000000">
        <w:rPr>
          <w:b w:val="1"/>
          <w:rtl w:val="0"/>
        </w:rPr>
        <w:t xml:space="preserve">(9 pont)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8l198qodivci" w:id="5"/>
      <w:bookmarkEnd w:id="5"/>
      <w:r w:rsidDel="00000000" w:rsidR="00000000" w:rsidRPr="00000000">
        <w:rPr>
          <w:rtl w:val="0"/>
        </w:rPr>
        <w:t xml:space="preserve">Szimuláció (összesen 50 pont)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pvjn2iqhz262" w:id="6"/>
      <w:bookmarkEnd w:id="6"/>
      <w:r w:rsidDel="00000000" w:rsidR="00000000" w:rsidRPr="00000000">
        <w:rPr>
          <w:rtl w:val="0"/>
        </w:rPr>
        <w:t xml:space="preserve">Egyedi alakzatok (össz 10 pont)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Az egyedi alakzatokat az alábbiak szerint animáljuk: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 kapszula forogjon a saját z-tengelye körül, egy másodperc alatt két fordulatot megtéve </w:t>
      </w:r>
      <w:r w:rsidDel="00000000" w:rsidR="00000000" w:rsidRPr="00000000">
        <w:rPr>
          <w:b w:val="1"/>
          <w:rtl w:val="0"/>
        </w:rPr>
        <w:t xml:space="preserve">(2 pont)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 gömbök vertexei mozogjanak oda-vissza ciklikus módon az x tengely mentén (pl. sin/cos), a vertex modell-térbeli (MVP mátrix transzformáció előtti) y-koordinátája és az eltelt idő függvényében. Ezt a mozgást a vertex-shaderben programozzuk le </w:t>
      </w:r>
      <w:r w:rsidDel="00000000" w:rsidR="00000000" w:rsidRPr="00000000">
        <w:rPr>
          <w:b w:val="1"/>
          <w:rtl w:val="0"/>
        </w:rPr>
        <w:t xml:space="preserve">(8 pont)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k84qq20ysgu" w:id="7"/>
      <w:bookmarkEnd w:id="7"/>
      <w:r w:rsidDel="00000000" w:rsidR="00000000" w:rsidRPr="00000000">
        <w:rPr>
          <w:rtl w:val="0"/>
        </w:rPr>
        <w:t xml:space="preserve">Alakzatok interakciói (össz 20 pont)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Az alakzatok az alábbiak szerint mozogjanak egymáshoz képest: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 kapszulának és a gömböknek is legyen véletlen (de értelmesre behatárolt) sebességvektora, amely mentén mozognak </w:t>
      </w:r>
      <w:r w:rsidDel="00000000" w:rsidR="00000000" w:rsidRPr="00000000">
        <w:rPr>
          <w:b w:val="1"/>
          <w:rtl w:val="0"/>
        </w:rPr>
        <w:t xml:space="preserve">(3 pont)</w:t>
      </w:r>
      <w:r w:rsidDel="00000000" w:rsidR="00000000" w:rsidRPr="00000000">
        <w:rPr>
          <w:rtl w:val="0"/>
        </w:rPr>
        <w:t xml:space="preserve">, és az őket tartalmazó doboz falairól pattanjanak vissza </w:t>
      </w:r>
      <w:r w:rsidDel="00000000" w:rsidR="00000000" w:rsidRPr="00000000">
        <w:rPr>
          <w:b w:val="1"/>
          <w:rtl w:val="0"/>
        </w:rPr>
        <w:t xml:space="preserve">(4 pont)!</w:t>
        <w:br w:type="textWrapping"/>
      </w:r>
      <w:r w:rsidDel="00000000" w:rsidR="00000000" w:rsidRPr="00000000">
        <w:rPr>
          <w:rtl w:val="0"/>
        </w:rPr>
        <w:t xml:space="preserve">A kapszula ütközése egy 1.5 egység sugarú gömbéhez legyen hasonló (tehát olyan, mint a  gömböké).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 gömbök ütközzenek egymással is </w:t>
      </w:r>
      <w:r w:rsidDel="00000000" w:rsidR="00000000" w:rsidRPr="00000000">
        <w:rPr>
          <w:b w:val="1"/>
          <w:rtl w:val="0"/>
        </w:rPr>
        <w:t xml:space="preserve">(5 pont)</w:t>
      </w:r>
      <w:r w:rsidDel="00000000" w:rsidR="00000000" w:rsidRPr="00000000">
        <w:rPr>
          <w:rtl w:val="0"/>
        </w:rPr>
        <w:t xml:space="preserve">! (A kapszulával nem kell, hogy ütközzenek)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 gömbök sebességére az alábbi hatást gyakoroljuk: A gömböket taszítsa a kapszula, a távolságának függvényében fordítottan  arányos erővel </w:t>
      </w:r>
      <w:r w:rsidDel="00000000" w:rsidR="00000000" w:rsidRPr="00000000">
        <w:rPr>
          <w:b w:val="1"/>
          <w:rtl w:val="0"/>
        </w:rPr>
        <w:t xml:space="preserve">(8 pont)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yi4ultpqfnfs" w:id="8"/>
      <w:bookmarkEnd w:id="8"/>
      <w:r w:rsidDel="00000000" w:rsidR="00000000" w:rsidRPr="00000000">
        <w:rPr>
          <w:rtl w:val="0"/>
        </w:rPr>
        <w:t xml:space="preserve">Fények (össz 20 pont)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 színtér minden elemére hasson fényforrás </w:t>
      </w:r>
      <w:r w:rsidDel="00000000" w:rsidR="00000000" w:rsidRPr="00000000">
        <w:rPr>
          <w:b w:val="1"/>
          <w:rtl w:val="0"/>
        </w:rPr>
        <w:t xml:space="preserve">(5 pont)</w:t>
      </w:r>
      <w:r w:rsidDel="00000000" w:rsidR="00000000" w:rsidRPr="00000000">
        <w:rPr>
          <w:rtl w:val="0"/>
        </w:rPr>
        <w:t xml:space="preserve">.  Számoljunk spekuláris csillanást a Phong vagy a Blinn-Phong modell alapján </w:t>
      </w:r>
      <w:r w:rsidDel="00000000" w:rsidR="00000000" w:rsidRPr="00000000">
        <w:rPr>
          <w:b w:val="1"/>
          <w:rtl w:val="0"/>
        </w:rPr>
        <w:t xml:space="preserve">(2 pont)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 színtérben legyen egy kék pontfényforrás </w:t>
      </w:r>
      <w:r w:rsidDel="00000000" w:rsidR="00000000" w:rsidRPr="00000000">
        <w:rPr>
          <w:b w:val="1"/>
          <w:rtl w:val="0"/>
        </w:rPr>
        <w:t xml:space="preserve">(3 pont)</w:t>
      </w:r>
      <w:r w:rsidDel="00000000" w:rsidR="00000000" w:rsidRPr="00000000">
        <w:rPr>
          <w:rtl w:val="0"/>
        </w:rPr>
        <w:t xml:space="preserve"> és egy fehér irányfényforrás </w:t>
      </w:r>
      <w:r w:rsidDel="00000000" w:rsidR="00000000" w:rsidRPr="00000000">
        <w:rPr>
          <w:b w:val="1"/>
          <w:rtl w:val="0"/>
        </w:rPr>
        <w:t xml:space="preserve">(6 pont)</w:t>
      </w:r>
      <w:r w:rsidDel="00000000" w:rsidR="00000000" w:rsidRPr="00000000">
        <w:rPr>
          <w:rtl w:val="0"/>
        </w:rPr>
        <w:t xml:space="preserve">! A kék fényforrás kövesse a kapszula mozgását, azaz a pontfényforrás pozíciója legyen a kapszula pozíciója </w:t>
      </w:r>
      <w:r w:rsidDel="00000000" w:rsidR="00000000" w:rsidRPr="00000000">
        <w:rPr>
          <w:b w:val="1"/>
          <w:rtl w:val="0"/>
        </w:rPr>
        <w:t xml:space="preserve">(4 pont)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C">
      <w:pPr>
        <w:pStyle w:val="Heading1"/>
        <w:rPr>
          <w:sz w:val="48"/>
          <w:szCs w:val="48"/>
        </w:rPr>
      </w:pPr>
      <w:bookmarkStart w:colFirst="0" w:colLast="0" w:name="_4am5i4gal43f" w:id="9"/>
      <w:bookmarkEnd w:id="9"/>
      <w:r w:rsidDel="00000000" w:rsidR="00000000" w:rsidRPr="00000000">
        <w:rPr>
          <w:sz w:val="48"/>
          <w:szCs w:val="48"/>
          <w:rtl w:val="0"/>
        </w:rPr>
        <w:t xml:space="preserve">Interakció (összesen 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sz w:val="48"/>
          <w:szCs w:val="48"/>
          <w:rtl w:val="0"/>
        </w:rPr>
        <w:t xml:space="preserve"> pont)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ImGui-val valósítsuk meg a következőket: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Lehessen változtatni a kapszula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pont)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színét</w:t>
      </w:r>
      <w:r w:rsidDel="00000000" w:rsidR="00000000" w:rsidRPr="00000000">
        <w:rPr>
          <w:rtl w:val="0"/>
        </w:rPr>
        <w:t xml:space="preserve">, valamint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általa kibocsájtott fény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pont)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színét!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szimulációt lehessen újraindítani! Csináljunk egy gombot, mellyet megnyomva a kapszula pozícióját visszaállítjuk nullára és adunk neki egy új véletlen sebességet, a gömböknek pedig újraosztunk véletlen pozíciókat és sebességeket, természetesen az első részben tárgyalt korlátok betartásával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pont)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Legyen egy csúszka, amivel az antibiotikum hatáserejét tudjuk változtatni. </w:t>
      </w:r>
      <w:r w:rsidDel="00000000" w:rsidR="00000000" w:rsidRPr="00000000">
        <w:rPr>
          <w:rtl w:val="0"/>
        </w:rPr>
        <w:t xml:space="preserve">Ugyanezzel a csúszkával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lehessen egyszerre a pontfényforrás fényerejét és a kapszula taszítóerejét állítani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pont)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1">
      <w:pPr>
        <w:pStyle w:val="Heading2"/>
        <w:keepNext w:val="1"/>
        <w:keepLines w:val="1"/>
        <w:spacing w:after="120" w:before="360" w:line="276" w:lineRule="auto"/>
        <w:rPr>
          <w:rFonts w:ascii="Arial" w:cs="Arial" w:eastAsia="Arial" w:hAnsi="Arial"/>
        </w:rPr>
      </w:pPr>
      <w:bookmarkStart w:colFirst="0" w:colLast="0" w:name="_bh4uvdhtitvi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Segédanyagok</w:t>
      </w:r>
    </w:p>
    <w:p w:rsidR="00000000" w:rsidDel="00000000" w:rsidP="00000000" w:rsidRDefault="00000000" w:rsidRPr="00000000" w14:paraId="0000004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géptermi során az 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http://www.opengl.org/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a </w:t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glm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hyperlink r:id="rId1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glew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hyperlink r:id="rId1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GLSL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hyperlink r:id="rId1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hyperlink r:id="rId1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Wolfram Mathworld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hyperlink r:id="rId1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c++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oldalai, valamint a </w:t>
      </w:r>
      <w:hyperlink r:id="rId2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cg.elte.hu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bármely aloldala és bármely oktató oldala használható. Az utóbbiak a következők:</w:t>
      </w:r>
    </w:p>
    <w:p w:rsidR="00000000" w:rsidDel="00000000" w:rsidP="00000000" w:rsidRDefault="00000000" w:rsidRPr="00000000" w14:paraId="00000044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Előadás:</w:t>
      </w:r>
    </w:p>
    <w:p w:rsidR="00000000" w:rsidDel="00000000" w:rsidP="00000000" w:rsidRDefault="00000000" w:rsidRPr="00000000" w14:paraId="00000046">
      <w:pPr>
        <w:spacing w:after="0" w:line="276" w:lineRule="auto"/>
        <w:jc w:val="both"/>
        <w:rPr>
          <w:rFonts w:ascii="Arial" w:cs="Arial" w:eastAsia="Arial" w:hAnsi="Arial"/>
        </w:rPr>
      </w:pPr>
      <w:hyperlink r:id="rId2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http://cg.elte.hu/index.php/grafika-bsc-eloadas-anyagok/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76" w:lineRule="auto"/>
        <w:jc w:val="both"/>
        <w:rPr>
          <w:rFonts w:ascii="Arial" w:cs="Arial" w:eastAsia="Arial" w:hAnsi="Arial"/>
        </w:rPr>
      </w:pPr>
      <w:hyperlink r:id="rId2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http://cg.elte.hu/~hajder/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Gyakorlat:</w:t>
      </w:r>
    </w:p>
    <w:p w:rsidR="00000000" w:rsidDel="00000000" w:rsidP="00000000" w:rsidRDefault="00000000" w:rsidRPr="00000000" w14:paraId="0000004A">
      <w:pPr>
        <w:spacing w:after="0" w:line="276" w:lineRule="auto"/>
        <w:jc w:val="both"/>
        <w:rPr>
          <w:rFonts w:ascii="Arial" w:cs="Arial" w:eastAsia="Arial" w:hAnsi="Arial"/>
        </w:rPr>
      </w:pPr>
      <w:hyperlink r:id="rId2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http://cg.elte.hu/index.php/grafika-bsc-gyakorlat-anyagok/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76" w:lineRule="auto"/>
        <w:jc w:val="both"/>
        <w:rPr>
          <w:rFonts w:ascii="Arial" w:cs="Arial" w:eastAsia="Arial" w:hAnsi="Arial"/>
        </w:rPr>
      </w:pPr>
      <w:hyperlink r:id="rId2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http://cg.elte.hu/~bsc_cg/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76" w:lineRule="auto"/>
        <w:jc w:val="both"/>
        <w:rPr>
          <w:rFonts w:ascii="Arial" w:cs="Arial" w:eastAsia="Arial" w:hAnsi="Arial"/>
        </w:rPr>
      </w:pPr>
      <w:hyperlink r:id="rId2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http://irudolf.web.elte.hu/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76" w:lineRule="auto"/>
        <w:jc w:val="both"/>
        <w:rPr>
          <w:rFonts w:ascii="Arial" w:cs="Arial" w:eastAsia="Arial" w:hAnsi="Arial"/>
        </w:rPr>
      </w:pPr>
      <w:hyperlink r:id="rId2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http://iffan.web.elte.hu/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76" w:lineRule="auto"/>
        <w:jc w:val="both"/>
        <w:rPr>
          <w:rFonts w:ascii="Arial" w:cs="Arial" w:eastAsia="Arial" w:hAnsi="Arial"/>
        </w:rPr>
      </w:pPr>
      <w:hyperlink r:id="rId2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https://people.inf.elte.hu/puzsaai/graf/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76" w:lineRule="auto"/>
        <w:jc w:val="both"/>
        <w:rPr>
          <w:rFonts w:ascii="Arial" w:cs="Arial" w:eastAsia="Arial" w:hAnsi="Arial"/>
        </w:rPr>
      </w:pPr>
      <w:hyperlink r:id="rId2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http://cg.elte.hu/~dekanyp/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76" w:lineRule="auto"/>
        <w:jc w:val="both"/>
        <w:rPr>
          <w:rFonts w:ascii="Arial" w:cs="Arial" w:eastAsia="Arial" w:hAnsi="Arial"/>
        </w:rPr>
      </w:pPr>
      <w:hyperlink r:id="rId2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http://cg.elte.hu/~agostons/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76" w:lineRule="auto"/>
        <w:jc w:val="both"/>
        <w:rPr>
          <w:rFonts w:ascii="Arial" w:cs="Arial" w:eastAsia="Arial" w:hAnsi="Arial"/>
        </w:rPr>
      </w:pPr>
      <w:hyperlink r:id="rId3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http://cg.elte.hu/~sasasoft/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76" w:lineRule="auto"/>
        <w:jc w:val="both"/>
        <w:rPr>
          <w:rFonts w:ascii="Arial" w:cs="Arial" w:eastAsia="Arial" w:hAnsi="Arial"/>
        </w:rPr>
      </w:pPr>
      <w:hyperlink r:id="rId3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http://cg.elte.hu/~robi/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76" w:lineRule="auto"/>
        <w:jc w:val="both"/>
        <w:rPr>
          <w:rFonts w:ascii="Arial" w:cs="Arial" w:eastAsia="Arial" w:hAnsi="Arial"/>
        </w:rPr>
      </w:pPr>
      <w:hyperlink r:id="rId3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http://cg.elte.hu/~imp/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76" w:lineRule="auto"/>
        <w:jc w:val="both"/>
        <w:rPr>
          <w:rFonts w:ascii="Arial" w:cs="Arial" w:eastAsia="Arial" w:hAnsi="Arial"/>
        </w:rPr>
      </w:pPr>
      <w:hyperlink r:id="rId3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http://cg.elte.hu/~izaingrid/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76" w:lineRule="auto"/>
        <w:jc w:val="both"/>
        <w:rPr>
          <w:rFonts w:ascii="Arial" w:cs="Arial" w:eastAsia="Arial" w:hAnsi="Arial"/>
        </w:rPr>
      </w:pPr>
      <w:hyperlink r:id="rId3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http://cg.elte.hu/~smilo/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76" w:lineRule="auto"/>
        <w:jc w:val="both"/>
        <w:rPr>
          <w:rFonts w:ascii="Arial" w:cs="Arial" w:eastAsia="Arial" w:hAnsi="Arial"/>
        </w:rPr>
      </w:pPr>
      <w:hyperlink r:id="rId3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http://cg.elte.hu/~geri1245/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76" w:lineRule="auto"/>
        <w:jc w:val="both"/>
        <w:rPr>
          <w:rFonts w:ascii="Arial" w:cs="Arial" w:eastAsia="Arial" w:hAnsi="Arial"/>
        </w:rPr>
      </w:pPr>
      <w:hyperlink r:id="rId3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http://cg.elte.hu/~magyari/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76" w:lineRule="auto"/>
        <w:jc w:val="both"/>
        <w:rPr>
          <w:rFonts w:ascii="Arial" w:cs="Arial" w:eastAsia="Arial" w:hAnsi="Arial"/>
        </w:rPr>
      </w:pPr>
      <w:hyperlink r:id="rId3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gyakorlati feladatok megoldásai - Léránt Mátyás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76" w:lineRule="auto"/>
        <w:jc w:val="both"/>
        <w:rPr>
          <w:rFonts w:ascii="Arial" w:cs="Arial" w:eastAsia="Arial" w:hAnsi="Arial"/>
        </w:rPr>
      </w:pPr>
      <w:hyperlink r:id="rId3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http://cg.elte.hu/~tekla/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cg.elte.hu/" TargetMode="External"/><Relationship Id="rId22" Type="http://schemas.openxmlformats.org/officeDocument/2006/relationships/hyperlink" Target="http://cg.elte.hu/~hajder/" TargetMode="External"/><Relationship Id="rId21" Type="http://schemas.openxmlformats.org/officeDocument/2006/relationships/hyperlink" Target="http://cg.elte.hu/index.php/grafika-bsc-eloadas-anyagok/" TargetMode="External"/><Relationship Id="rId24" Type="http://schemas.openxmlformats.org/officeDocument/2006/relationships/hyperlink" Target="http://cg.elte.hu/~bsc_cg/" TargetMode="External"/><Relationship Id="rId23" Type="http://schemas.openxmlformats.org/officeDocument/2006/relationships/hyperlink" Target="http://cg.elte.hu/index.php/grafika-bsc-gyakorlat-anyagok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3.bp.blogspot.com/-XADNfYEuL5s/T6VS1F3rX0I/AAAAAAAABPU/yFJhM7QpzsE/s1600/Crystal-diffuse.jpg" TargetMode="External"/><Relationship Id="rId26" Type="http://schemas.openxmlformats.org/officeDocument/2006/relationships/hyperlink" Target="http://iffan.web.elte.hu/" TargetMode="External"/><Relationship Id="rId25" Type="http://schemas.openxmlformats.org/officeDocument/2006/relationships/hyperlink" Target="http://irudolf.web.elte.hu/" TargetMode="External"/><Relationship Id="rId28" Type="http://schemas.openxmlformats.org/officeDocument/2006/relationships/hyperlink" Target="http://cg.elte.hu/~dekanyp/" TargetMode="External"/><Relationship Id="rId27" Type="http://schemas.openxmlformats.org/officeDocument/2006/relationships/hyperlink" Target="https://people.inf.elte.hu/puzsaai/graf/" TargetMode="External"/><Relationship Id="rId5" Type="http://schemas.openxmlformats.org/officeDocument/2006/relationships/styles" Target="styles.xml"/><Relationship Id="rId6" Type="http://schemas.openxmlformats.org/officeDocument/2006/relationships/hyperlink" Target="http://cg.elte.hu/" TargetMode="External"/><Relationship Id="rId29" Type="http://schemas.openxmlformats.org/officeDocument/2006/relationships/hyperlink" Target="http://cg.elte.hu/~agostons/" TargetMode="External"/><Relationship Id="rId7" Type="http://schemas.openxmlformats.org/officeDocument/2006/relationships/hyperlink" Target="https://script.google.com/macros/s/AKfycbyQLrQwSZF4x039OxXwZWI3dengnyxeFwlER4OPLxTEzjNpBw/exec" TargetMode="External"/><Relationship Id="rId8" Type="http://schemas.openxmlformats.org/officeDocument/2006/relationships/image" Target="media/image1.png"/><Relationship Id="rId31" Type="http://schemas.openxmlformats.org/officeDocument/2006/relationships/hyperlink" Target="http://cg.elte.hu/~robi/" TargetMode="External"/><Relationship Id="rId30" Type="http://schemas.openxmlformats.org/officeDocument/2006/relationships/hyperlink" Target="http://cg.elte.hu/~sasasoft/" TargetMode="External"/><Relationship Id="rId11" Type="http://schemas.openxmlformats.org/officeDocument/2006/relationships/hyperlink" Target="https://s14-eu5.startpage.com/cgi-bin/serveimage?url=https:%2F%2Fcdn.shopify.com%2Fs%2Ffiles%2F1%2F1490%2F7146%2Fproducts%2FProductreclaimed_1024x1024.png%3Fv%3D1518494662&amp;sp=d1b9165256b00a1c5d6fca1849d7a6fa" TargetMode="External"/><Relationship Id="rId33" Type="http://schemas.openxmlformats.org/officeDocument/2006/relationships/hyperlink" Target="http://cg.elte.hu/~izaingrid/" TargetMode="External"/><Relationship Id="rId10" Type="http://schemas.openxmlformats.org/officeDocument/2006/relationships/hyperlink" Target="https://www.textures.com/system/gallery/photos/Substance/130227/Substance0136_1_download600.jpg" TargetMode="External"/><Relationship Id="rId32" Type="http://schemas.openxmlformats.org/officeDocument/2006/relationships/hyperlink" Target="http://cg.elte.hu/~imp/" TargetMode="External"/><Relationship Id="rId13" Type="http://schemas.openxmlformats.org/officeDocument/2006/relationships/hyperlink" Target="http://www.opengl.org/" TargetMode="External"/><Relationship Id="rId35" Type="http://schemas.openxmlformats.org/officeDocument/2006/relationships/hyperlink" Target="http://cg.elte.hu/~geri1245/" TargetMode="External"/><Relationship Id="rId12" Type="http://schemas.openxmlformats.org/officeDocument/2006/relationships/hyperlink" Target="http://www.cplusplus.com/reference/algorithm/sort/" TargetMode="External"/><Relationship Id="rId34" Type="http://schemas.openxmlformats.org/officeDocument/2006/relationships/hyperlink" Target="http://cg.elte.hu/~smilo/" TargetMode="External"/><Relationship Id="rId15" Type="http://schemas.openxmlformats.org/officeDocument/2006/relationships/hyperlink" Target="http://glew.sourceforge.net/" TargetMode="External"/><Relationship Id="rId37" Type="http://schemas.openxmlformats.org/officeDocument/2006/relationships/hyperlink" Target="https://drive.google.com/drive/folders/1GgmoVADtVCG2Sdxz4sQ225BSQ1ghv5T4?usp=sharing" TargetMode="External"/><Relationship Id="rId14" Type="http://schemas.openxmlformats.org/officeDocument/2006/relationships/hyperlink" Target="http://glm.g-truc.net/0.9.5/index.html" TargetMode="External"/><Relationship Id="rId36" Type="http://schemas.openxmlformats.org/officeDocument/2006/relationships/hyperlink" Target="http://cg.elte.hu/~magyari/" TargetMode="External"/><Relationship Id="rId17" Type="http://schemas.openxmlformats.org/officeDocument/2006/relationships/hyperlink" Target="https://hu.wikipedia.org/wiki/Kezd%C5%91lap" TargetMode="External"/><Relationship Id="rId16" Type="http://schemas.openxmlformats.org/officeDocument/2006/relationships/hyperlink" Target="https://www.khronos.org/opengl/wiki/Core_Language_(GLSL)" TargetMode="External"/><Relationship Id="rId38" Type="http://schemas.openxmlformats.org/officeDocument/2006/relationships/hyperlink" Target="http://cg.elte.hu/~tekla/" TargetMode="External"/><Relationship Id="rId19" Type="http://schemas.openxmlformats.org/officeDocument/2006/relationships/hyperlink" Target="http://www.cplusplus.com/" TargetMode="External"/><Relationship Id="rId18" Type="http://schemas.openxmlformats.org/officeDocument/2006/relationships/hyperlink" Target="http://mathworld.wolfra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