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120"/>
        <w:rPr/>
      </w:pPr>
      <w:r>
        <w:rPr/>
        <w:t>. Расширенное управление камерой видимого диапазона (Sony)</w:t>
      </w:r>
    </w:p>
    <w:p>
      <w:pPr>
        <w:pStyle w:val="BodyText"/>
        <w:rPr/>
      </w:pPr>
      <w:r>
        <w:rPr>
          <w:rStyle w:val="Strong"/>
        </w:rPr>
        <w:t>Цель:</w:t>
      </w:r>
      <w:r>
        <w:rPr/>
        <w:t xml:space="preserve"> Обеспечить полный доступ к функциям камеры через бортовой вычислитель.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/>
      </w:pPr>
      <w:r>
        <w:rPr/>
        <w:t>Управление автоматической и ручной фокусировкой, переключение между ними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/>
      </w:pPr>
      <w:r>
        <w:rPr/>
        <w:t>Управление подавлением шумов изображения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/>
      </w:pPr>
      <w:r>
        <w:rPr/>
        <w:t>Автоматическое определение параметров камеры при первом подключении (модель, разрешение, доступные режимы)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rPr/>
      </w:pPr>
      <w:r>
        <w:rPr/>
        <w:t>Автоматическое переключение формата и частоты кадров в зависимости от условий съёмки и пропускной способности канала передачи</w:t>
      </w:r>
    </w:p>
    <w:p>
      <w:pPr>
        <w:pStyle w:val="Style16"/>
        <w:rPr/>
      </w:pPr>
      <w:r>
        <w:rPr/>
      </w:r>
    </w:p>
    <w:p>
      <w:pPr>
        <w:pStyle w:val="Heading2"/>
        <w:rPr/>
      </w:pPr>
      <w:r>
        <w:rPr/>
        <w:t>2. Автоматическая фокусировка тепловизионного канала</w:t>
      </w:r>
    </w:p>
    <w:p>
      <w:pPr>
        <w:pStyle w:val="BodyText"/>
        <w:rPr/>
      </w:pPr>
      <w:r>
        <w:rPr>
          <w:rStyle w:val="Strong"/>
        </w:rPr>
        <w:t>Цель:</w:t>
      </w:r>
      <w:r>
        <w:rPr/>
        <w:t xml:space="preserve"> Реализовать автофокус для ИК-объектива, который в настоящее время не имеет такой функции.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before="0" w:after="0"/>
        <w:rPr/>
      </w:pPr>
      <w:r>
        <w:rPr/>
        <w:t>Использование встроенного программного интерфейса процессора (RKAIQ) для обработки изображения и оценки резкости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spacing w:before="0" w:after="0"/>
        <w:rPr/>
      </w:pPr>
      <w:r>
        <w:rPr/>
        <w:t>Управление приводом фокусировки по результатам оценки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rPr/>
      </w:pPr>
      <w:r>
        <w:rPr/>
        <w:t>Калибровка под конкретный объектив</w:t>
      </w:r>
    </w:p>
    <w:p>
      <w:pPr>
        <w:pStyle w:val="BodyText"/>
        <w:ind w:left="567" w:right="567"/>
        <w:rPr/>
      </w:pPr>
      <w:r>
        <w:rPr>
          <w:rStyle w:val="Strong"/>
        </w:rPr>
        <w:t>Примечание:</w:t>
      </w:r>
      <w:r>
        <w:rPr/>
        <w:t xml:space="preserve"> Выбор метода оценки резкости и алгоритма поиска фокуса — предмет отдельного исследовательского этапа.</w:t>
      </w:r>
    </w:p>
    <w:p>
      <w:pPr>
        <w:pStyle w:val="Style16"/>
        <w:rPr/>
      </w:pPr>
      <w:r>
        <w:rPr/>
      </w:r>
    </w:p>
    <w:p>
      <w:pPr>
        <w:pStyle w:val="Heading2"/>
        <w:rPr/>
      </w:pPr>
      <w:r>
        <w:rPr/>
        <w:t>3. Включение нейросетевого сопровождения цели</w:t>
      </w:r>
    </w:p>
    <w:p>
      <w:pPr>
        <w:pStyle w:val="BodyText"/>
        <w:rPr/>
      </w:pPr>
      <w:r>
        <w:rPr>
          <w:rStyle w:val="Strong"/>
        </w:rPr>
        <w:t>Цель:</w:t>
      </w:r>
      <w:r>
        <w:rPr/>
        <w:t xml:space="preserve"> Активировать режим сопровождения по изображению с использованием нейронной сети.</w:t>
      </w:r>
    </w:p>
    <w:p>
      <w:pPr>
        <w:pStyle w:val="BodyText"/>
        <w:rPr/>
      </w:pPr>
      <w:r>
        <w:rPr/>
        <w:t>В настоящее время в системе реализовано только сопровождение по геометрическому шаблону. Модуль нейросетевого сопровождения присутствует в библиотеке, но не активирован.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spacing w:before="0" w:after="0"/>
        <w:rPr/>
      </w:pPr>
      <w:r>
        <w:rPr/>
        <w:t>Активация и настройка модуля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spacing w:before="0" w:after="0"/>
        <w:rPr/>
      </w:pPr>
      <w:r>
        <w:rPr/>
        <w:t>Интеграция с системой управления приводами шара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rPr/>
      </w:pPr>
      <w:r>
        <w:rPr/>
        <w:t>Проверка работы при переключении между видимым и тепловизионным каналами</w:t>
      </w:r>
    </w:p>
    <w:p>
      <w:pPr>
        <w:pStyle w:val="Style16"/>
        <w:rPr/>
      </w:pPr>
      <w:r>
        <w:rPr/>
      </w:r>
    </w:p>
    <w:p>
      <w:pPr>
        <w:pStyle w:val="Heading2"/>
        <w:rPr/>
      </w:pPr>
      <w:r>
        <w:rPr/>
        <w:t>4. Подготовка программного обеспечения к серийному производству</w:t>
      </w:r>
    </w:p>
    <w:p>
      <w:pPr>
        <w:pStyle w:val="BodyText"/>
        <w:rPr/>
      </w:pPr>
      <w:r>
        <w:rPr>
          <w:rStyle w:val="Strong"/>
        </w:rPr>
        <w:t>Цель:</w:t>
      </w:r>
      <w:r>
        <w:rPr/>
        <w:t xml:space="preserve"> Подготовить законченный, защищённый комплект программного обеспечения для установки на серию изделий.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spacing w:before="0" w:after="0"/>
        <w:rPr/>
      </w:pPr>
      <w:r>
        <w:rPr/>
        <w:t>Формирование финального образа операционной системы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spacing w:before="0" w:after="0"/>
        <w:rPr/>
      </w:pPr>
      <w:r>
        <w:rPr/>
        <w:t>Защита системных разделов памяти от изменения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/>
      </w:pPr>
      <w:r>
        <w:rPr/>
        <w:t>Разработка средства для программирования (прошивки) платы вычислителя в серийном производстве</w:t>
      </w:r>
    </w:p>
    <w:p>
      <w:pPr>
        <w:pStyle w:val="Style16"/>
        <w:rPr/>
      </w:pPr>
      <w:r>
        <w:rPr/>
      </w:r>
    </w:p>
    <w:p>
      <w:pPr>
        <w:pStyle w:val="Heading2"/>
        <w:rPr/>
      </w:pPr>
      <w:r>
        <w:rPr/>
        <w:t>5. Гарантированная доставка команд управления от пульта к устройству</w:t>
      </w:r>
    </w:p>
    <w:p>
      <w:pPr>
        <w:pStyle w:val="BodyText"/>
        <w:rPr/>
      </w:pPr>
      <w:r>
        <w:rPr>
          <w:rStyle w:val="Strong"/>
        </w:rPr>
        <w:t>Цель:</w:t>
      </w:r>
      <w:r>
        <w:rPr/>
        <w:t xml:space="preserve"> Обеспечить надёжную передачу команд управления приводами и режимами через радиоканал.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spacing w:before="0" w:after="0"/>
        <w:rPr/>
      </w:pPr>
      <w:r>
        <w:rPr/>
        <w:t>Переход на протокол с подтверждением получения каждой команды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spacing w:before="0" w:after="0"/>
        <w:rPr/>
      </w:pPr>
      <w:r>
        <w:rPr/>
        <w:t>Автоматическая повторная передача при отсутствии подтверждения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/>
      </w:pPr>
      <w:r>
        <w:rPr/>
        <w:t>Контроль целостности переданных команд</w:t>
      </w:r>
    </w:p>
    <w:p>
      <w:pPr>
        <w:pStyle w:val="BodyText"/>
        <w:ind w:left="567" w:right="567"/>
        <w:rPr/>
      </w:pPr>
      <w:r>
        <w:rPr>
          <w:rStyle w:val="Strong"/>
        </w:rPr>
        <w:t>Примечание:</w:t>
      </w:r>
      <w:r>
        <w:rPr/>
        <w:t xml:space="preserve"> Видеопоток и телеметрия передаются по отдельным каналам (см. п.п. 6–8).</w:t>
      </w:r>
    </w:p>
    <w:p>
      <w:pPr>
        <w:pStyle w:val="Style16"/>
        <w:rPr/>
      </w:pPr>
      <w:r>
        <w:rPr/>
      </w:r>
    </w:p>
    <w:p>
      <w:pPr>
        <w:pStyle w:val="Heading2"/>
        <w:rPr/>
      </w:pPr>
      <w:r>
        <w:rPr/>
        <w:t>6. Оптимизация пакета телеметрии</w:t>
      </w:r>
    </w:p>
    <w:p>
      <w:pPr>
        <w:pStyle w:val="BodyText"/>
        <w:rPr/>
      </w:pPr>
      <w:r>
        <w:rPr>
          <w:rStyle w:val="Strong"/>
        </w:rPr>
        <w:t>Цель:</w:t>
      </w:r>
      <w:r>
        <w:rPr/>
        <w:t xml:space="preserve"> Сократить объём передаваемых данных без потери информативности.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spacing w:before="0" w:after="0"/>
        <w:rPr/>
      </w:pPr>
      <w:r>
        <w:rPr/>
        <w:t>Удаление неиспользуемых полей в пакете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spacing w:before="0" w:after="0"/>
        <w:rPr/>
      </w:pPr>
      <w:r>
        <w:rPr/>
        <w:t>Добавление данных с новых датчиков шара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rPr/>
      </w:pPr>
      <w:r>
        <w:rPr/>
        <w:t>Уплотнение формата данных</w:t>
      </w:r>
    </w:p>
    <w:p>
      <w:pPr>
        <w:pStyle w:val="Style16"/>
        <w:rPr/>
      </w:pPr>
      <w:r>
        <w:rPr/>
      </w:r>
    </w:p>
    <w:p>
      <w:pPr>
        <w:pStyle w:val="Heading2"/>
        <w:rPr/>
      </w:pPr>
      <w:r>
        <w:rPr/>
        <w:t>7. Адаптивное сжатие видеопотока</w:t>
      </w:r>
    </w:p>
    <w:p>
      <w:pPr>
        <w:pStyle w:val="BodyText"/>
        <w:rPr/>
      </w:pPr>
      <w:r>
        <w:rPr>
          <w:rStyle w:val="Strong"/>
        </w:rPr>
        <w:t>Цель:</w:t>
      </w:r>
      <w:r>
        <w:rPr/>
        <w:t xml:space="preserve"> Поддерживать устойчивую видеосвязь при изменении качества радиоканала.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spacing w:before="0" w:after="0"/>
        <w:rPr/>
      </w:pPr>
      <w:r>
        <w:rPr/>
        <w:t>Постоянный контроль качества канала (уровень сигнала, помехи, доступная скорость)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spacing w:before="0" w:after="0"/>
        <w:rPr/>
      </w:pPr>
      <w:r>
        <w:rPr/>
        <w:t>Автоматическое изменение параметров сжатия видео в зависимости от состояния канала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rPr/>
      </w:pPr>
      <w:r>
        <w:rPr/>
        <w:t>Плавное снижение и восстановление качества вместо резкого обрыва</w:t>
      </w:r>
    </w:p>
    <w:p>
      <w:pPr>
        <w:pStyle w:val="Style16"/>
        <w:rPr/>
      </w:pPr>
      <w:r>
        <w:rPr/>
      </w:r>
    </w:p>
    <w:p>
      <w:pPr>
        <w:pStyle w:val="Heading2"/>
        <w:rPr/>
      </w:pPr>
      <w:r>
        <w:rPr/>
        <w:t>8. Передача несжатого видеопотока</w:t>
      </w:r>
    </w:p>
    <w:p>
      <w:pPr>
        <w:pStyle w:val="BodyText"/>
        <w:rPr/>
      </w:pPr>
      <w:r>
        <w:rPr>
          <w:rStyle w:val="Strong"/>
        </w:rPr>
        <w:t>Цель:</w:t>
      </w:r>
      <w:r>
        <w:rPr/>
        <w:t xml:space="preserve"> Передача видео максимального качества в условиях аппаратного ограничения скорости передачи 100 Мбит/с.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before="0" w:after="0"/>
        <w:rPr/>
      </w:pPr>
      <w:r>
        <w:rPr/>
        <w:t>Расчёт максимально допустимой частоты кадров для заданного разрешения и глубины цвета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before="0" w:after="0"/>
        <w:rPr/>
      </w:pPr>
      <w:r>
        <w:rPr/>
        <w:t>Ограничение частоты кадров на стороне источника</w:t>
      </w:r>
    </w:p>
    <w:p>
      <w:pPr>
        <w:pStyle w:val="Style16"/>
        <w:rPr/>
      </w:pPr>
      <w:r>
        <w:rPr/>
      </w:r>
    </w:p>
    <w:p>
      <w:pPr>
        <w:pStyle w:val="Heading2"/>
        <w:rPr/>
      </w:pPr>
      <w:r>
        <w:rPr/>
        <w:t>9. Реализация плагина под новую версию программы терминала.</w:t>
      </w:r>
    </w:p>
    <w:p>
      <w:pPr>
        <w:pStyle w:val="BodyText"/>
        <w:rPr/>
      </w:pPr>
      <w:r>
        <w:rPr>
          <w:rStyle w:val="Strong"/>
        </w:rPr>
        <w:t>Цель:</w:t>
      </w:r>
      <w:r>
        <w:rPr/>
        <w:t xml:space="preserve"> Обеспечить разработку плагина под новую версию ПО терминала в той же группе разработки, что и разработка встраиваемого ПО ГОЭН-220.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before="0" w:after="0"/>
        <w:rPr/>
      </w:pPr>
      <w:r>
        <w:rPr/>
        <w:t>Модификация, отладка протоколов управления и передачи видео непосредственно на месте.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before="0" w:after="0"/>
        <w:rPr/>
      </w:pPr>
      <w:r>
        <w:rPr/>
        <w:t>Сокращение времени интеграции поддержки устройства ГОЭН-220 в новое ПО терминала.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before="0" w:after="0"/>
        <w:rPr/>
      </w:pPr>
      <w:r>
        <w:rPr/>
        <w:t>Прямое взаимодействие с разработчиком ПО терминала в случае возникновения несовместимости особенностей работы ГОЭН-220 и терминала.</w:t>
      </w:r>
    </w:p>
    <w:p>
      <w:pPr>
        <w:pStyle w:val="BodyText"/>
        <w:spacing w:before="0" w:after="0"/>
        <w:rPr/>
      </w:pPr>
      <w:r>
        <w:rPr/>
      </w:r>
    </w:p>
    <w:p>
      <w:pPr>
        <w:pStyle w:val="Heading2"/>
        <w:rPr/>
      </w:pPr>
      <w:r>
        <w:rPr/>
        <w:t>1</w:t>
      </w:r>
      <w:r>
        <w:rPr/>
        <w:t>0</w:t>
      </w:r>
      <w:r>
        <w:rPr/>
        <w:t>.  Предложение по аппаратной части (плата вычислителя)</w:t>
      </w:r>
    </w:p>
    <w:p>
      <w:pPr>
        <w:pStyle w:val="BodyText"/>
        <w:rPr/>
      </w:pPr>
      <w:r>
        <w:rPr>
          <w:rStyle w:val="Strong"/>
        </w:rPr>
        <w:t>Цель:</w:t>
      </w:r>
      <w:r>
        <w:rPr/>
        <w:t xml:space="preserve"> Обеспечить высокую надёжность электронного модуля, корректировка по результатам сборки, стыковки и эксплуатации.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lineRule="auto" w:line="360" w:before="0" w:after="0"/>
        <w:rPr/>
      </w:pPr>
      <w:r>
        <w:rPr/>
        <w:t>Произвести разукрупнение платы вычислителя на базе SOM модуля Firefly iCore-3588Q путём исключения его и переносом соответствующих компонентов на плату. Корректировка схемы электрической, печатной платы. Исключение модуля обеспечит максимальную надёжность т.к. будут отсутствовать микроразъёмы модуля и его крепление к основной плате, существующая конструкция – потенциальный источник отказов как при сборке так и при мехвоздействиях во время эксплуатации. Существующее решение оправдано только при макетировании и первичных образцов, кроме того есть риски прекращение поставок SOM модуля Firefly iCore-3588Q в любой момент (снимут с производства/обновят).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lineRule="auto" w:line="360" w:before="0" w:after="0"/>
        <w:rPr/>
      </w:pPr>
      <w:r>
        <w:rPr/>
        <w:t>Изменить схему "Rockchip Boot". Поставить n-полевик, у которого штатный IntPullUp в стоке. Параллельно полевику - джампер для ручного захода в режим "Maskrom mode". Затвор притянут к земле и полевик управляется с MCU.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lineRule="auto" w:line="360" w:before="0" w:after="0"/>
        <w:rPr/>
      </w:pPr>
      <w:r>
        <w:rPr/>
        <w:t>Схему USB type-C в целом и управление СС в частности доработать в соответствии со стандартом. Добавить ключ по питанию.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lineRule="auto" w:line="360" w:before="0" w:after="0"/>
        <w:rPr/>
      </w:pPr>
      <w:r>
        <w:rPr/>
        <w:t xml:space="preserve">Заложить ключ для сброса питания (Вкл/Откл) камеры Sony, т.к. она иногда зависает и не отвечает по UART (и не реагирует на ресет).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spacing w:lineRule="auto" w:line="360" w:before="0" w:after="0"/>
        <w:rPr/>
      </w:pPr>
      <w:r>
        <w:rPr/>
        <w:t xml:space="preserve">Разработка платы датчика </w:t>
      </w:r>
      <w:r>
        <w:rPr>
          <w:lang w:val="en-US"/>
        </w:rPr>
        <w:t>MEMS</w:t>
      </w:r>
      <w:r>
        <w:rPr/>
        <w:t xml:space="preserve"> гироскопа и ПО для него в целях </w:t>
      </w:r>
      <w:bookmarkStart w:id="0" w:name="_GoBack"/>
      <w:bookmarkEnd w:id="0"/>
      <w:r>
        <w:rPr/>
        <w:t>устранения дрейфа платформы.</w:t>
      </w:r>
    </w:p>
    <w:sectPr>
      <w:type w:val="nextPage"/>
      <w:pgSz w:w="11906" w:h="16838"/>
      <w:pgMar w:left="1134" w:right="707" w:gutter="0" w:header="0" w:top="567" w:footer="0" w:bottom="70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msg-body-block" w:customStyle="1">
    <w:name w:val="msg-body-block"/>
    <w:basedOn w:val="DefaultParagraphFont"/>
    <w:qFormat/>
    <w:rsid w:val="00097381"/>
    <w:rPr/>
  </w:style>
  <w:style w:type="character" w:styleId="time" w:customStyle="1">
    <w:name w:val="time"/>
    <w:basedOn w:val="DefaultParagraphFont"/>
    <w:qFormat/>
    <w:rsid w:val="00097381"/>
    <w:rPr/>
  </w:style>
  <w:style w:type="character" w:styleId="apple-converted-space" w:customStyle="1">
    <w:name w:val="apple-converted-space"/>
    <w:basedOn w:val="DefaultParagraphFont"/>
    <w:qFormat/>
    <w:rsid w:val="00097381"/>
    <w:rPr/>
  </w:style>
  <w:style w:type="character" w:styleId="nick-block" w:customStyle="1">
    <w:name w:val="nick-block"/>
    <w:basedOn w:val="DefaultParagraphFont"/>
    <w:qFormat/>
    <w:rsid w:val="00097381"/>
    <w:rPr/>
  </w:style>
  <w:style w:type="character" w:styleId="Hyperlink">
    <w:name w:val="Hyperlink"/>
    <w:basedOn w:val="DefaultParagraphFont"/>
    <w:uiPriority w:val="99"/>
    <w:semiHidden/>
    <w:unhideWhenUsed/>
    <w:rsid w:val="00097381"/>
    <w:rPr>
      <w:color w:val="0000FF"/>
      <w:u w:val="single"/>
    </w:rPr>
  </w:style>
  <w:style w:type="character" w:styleId="apple-style-span" w:customStyle="1">
    <w:name w:val="apple-style-span"/>
    <w:basedOn w:val="DefaultParagraphFont"/>
    <w:qFormat/>
    <w:rsid w:val="0009738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IndexHeading">
    <w:name w:val="index heading"/>
    <w:basedOn w:val="Normal"/>
    <w:pPr>
      <w:suppressLineNumbers/>
    </w:pPr>
    <w:rPr/>
  </w:style>
  <w:style w:type="paragraph" w:styleId="Style15" w:customStyle="1">
    <w:name w:val="Указатель"/>
    <w:basedOn w:val="Normal"/>
    <w:qFormat/>
    <w:pPr>
      <w:suppressLineNumbers/>
    </w:pPr>
    <w:rPr/>
  </w:style>
  <w:style w:type="paragraph" w:styleId="Style16" w:customStyle="1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 w:customStyle="1">
    <w:name w:val="Блочная цитата"/>
    <w:basedOn w:val="Normal"/>
    <w:qFormat/>
    <w:pPr>
      <w:spacing w:before="0" w:after="283"/>
      <w:ind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  <Pages>3</Pages>
  <Words>634</Words>
  <Characters>4318</Characters>
  <CharactersWithSpaces>4868</CharactersWithSpaces>
  <Paragraphs>55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2026-10-23T08:08:00Z</dcterms:created>
  <dc:creator>Serge</dc:creator>
  <dc:description/>
  <dc:language>ru-RU</dc:language>
  <cp:lastModifiedBy/>
  <dcterms:modified xsi:type="dcterms:W3CDTF">2026-10-23T11:24:27Z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