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FULLY AUTONOMOUS AGENT SYSTEMS</w:t>
      </w:r>
    </w:p>
    <w:p>
      <w:pPr>
        <w:spacing w:after="120" w:before="0"/>
        <w:jc w:val="center"/>
      </w:pPr>
      <w:r>
        <w:rPr>
          <w:rFonts w:ascii="Arial" w:cs="Arial" w:eastAsia="Arial" w:hAnsi="Arial"/>
          <w:b/>
          <w:bCs/>
          <w:color w:val="2E75B6"/>
          <w:sz w:val="36"/>
          <w:szCs w:val="36"/>
        </w:rPr>
        <w:t xml:space="preserve">for Pharmaceutical Chemical &amp; Analytical Development</w:t>
      </w:r>
    </w:p>
    <w:p>
      <w:pPr>
        <w:spacing w:after="60" w:before="240"/>
        <w:jc w:val="center"/>
      </w:pPr>
      <w:r>
        <w:rPr>
          <w:rFonts w:ascii="Arial" w:cs="Arial" w:eastAsia="Arial" w:hAnsi="Arial"/>
          <w:i/>
          <w:iCs/>
          <w:color w:val="666666"/>
          <w:sz w:val="24"/>
          <w:szCs w:val="24"/>
        </w:rPr>
        <w:t xml:space="preserve">Comprehensive Research, Architecture &amp; Business Case White Paper</w:t>
      </w:r>
    </w:p>
    <w:p>
      <w:pPr>
        <w:spacing w:after="600" w:before="60"/>
        <w:jc w:val="center"/>
      </w:pPr>
      <w:r>
        <w:rPr>
          <w:rFonts w:ascii="Arial" w:cs="Arial" w:eastAsia="Arial" w:hAnsi="Arial"/>
          <w:color w:val="888888"/>
          <w:sz w:val="18"/>
          <w:szCs w:val="18"/>
        </w:rPr>
        <w:t xml:space="preserve">April 2026  |  Big Pharma Chemical Development &amp; Analytical Development  |  CONFIDENTIAL</w:t>
      </w:r>
    </w:p>
    <w:p>
      <w:pPr>
        <w:pBdr>
          <w:bottom w:val="single" w:color="2E75B6" w:sz="4" w:space="1"/>
        </w:pBdr>
        <w:spacing w:after="160" w:before="160"/>
      </w:pPr>
    </w:p>
    <w:p>
      <w:r>
        <w:br w:type="page"/>
      </w:r>
    </w:p>
    <w:p>
      <w:pPr>
        <w:pStyle w:val="Heading1"/>
        <w:spacing w:after="160" w:before="480"/>
      </w:pPr>
      <w:r>
        <w:rPr>
          <w:rFonts w:ascii="Arial" w:cs="Arial" w:eastAsia="Arial" w:hAnsi="Arial"/>
          <w:b/>
          <w:bCs/>
          <w:color w:val="1F3864"/>
          <w:sz w:val="32"/>
          <w:szCs w:val="32"/>
        </w:rPr>
        <w:t xml:space="preserve">Executive Summary</w:t>
      </w:r>
    </w:p>
    <w:p>
      <w:pPr>
        <w:spacing w:after="100" w:before="60"/>
      </w:pPr>
      <w:r>
        <w:rPr>
          <w:rFonts w:ascii="Arial" w:cs="Arial" w:eastAsia="Arial" w:hAnsi="Arial"/>
          <w:color w:val="1A1A2E"/>
          <w:sz w:val="20"/>
          <w:szCs w:val="20"/>
        </w:rPr>
        <w:t xml:space="preserve">Chemical and Analytical Development sits at the critical bottleneck between discovery and manufacturing. Every week saved in CD/AD is a week saved on the development timeline — with direct revenue impact at launch. The core FTE bottleneck is not creativity; it is the immense volume of repetitive, rule-governed analytical and documentation work that currently requires trained scientist time.</w:t>
      </w:r>
    </w:p>
    <w:p>
      <w:pPr>
        <w:spacing w:after="80" w:before="80"/>
      </w:pPr>
    </w:p>
    <w:p>
      <w:pPr>
        <w:spacing w:after="100" w:before="60"/>
      </w:pPr>
      <w:r>
        <w:rPr>
          <w:rFonts w:ascii="Arial" w:cs="Arial" w:eastAsia="Arial" w:hAnsi="Arial"/>
          <w:b/>
          <w:bCs/>
          <w:color w:val="1A1A2E"/>
          <w:sz w:val="20"/>
          <w:szCs w:val="20"/>
        </w:rPr>
        <w:t xml:space="preserve">The Business Proposition</w:t>
      </w:r>
    </w:p>
    <w:p>
      <w:pPr>
        <w:spacing w:after="100" w:before="60"/>
      </w:pPr>
      <w:r>
        <w:rPr>
          <w:rFonts w:ascii="Arial" w:cs="Arial" w:eastAsia="Arial" w:hAnsi="Arial"/>
          <w:color w:val="1A1A2E"/>
          <w:sz w:val="20"/>
          <w:szCs w:val="20"/>
        </w:rPr>
        <w:t xml:space="preserve">Autonomous agents do not replace chemists and analysts. They eliminate the work that prevents chemists and analysts from doing chemistry and analysis. The highest-value deployments in CD/AD fall into three categories:</w:t>
      </w:r>
    </w:p>
    <w:p>
      <w:pPr>
        <w:pStyle w:val="ListParagraph"/>
        <w:numPr>
          <w:ilvl w:val="0"/>
          <w:numId w:val="2"/>
        </w:numPr>
        <w:spacing w:after="40" w:before="40"/>
      </w:pPr>
      <w:r>
        <w:rPr>
          <w:rFonts w:ascii="Arial" w:cs="Arial" w:eastAsia="Arial" w:hAnsi="Arial"/>
          <w:color w:val="1A1A2E"/>
          <w:sz w:val="20"/>
          <w:szCs w:val="20"/>
        </w:rPr>
        <w:t xml:space="preserve">Cycle acceleration — agents that run experiments, process data, and generate the next experimental proposal overnight, compressing iteration cycles from days to hours</w:t>
      </w:r>
    </w:p>
    <w:p>
      <w:pPr>
        <w:pStyle w:val="ListParagraph"/>
        <w:numPr>
          <w:ilvl w:val="0"/>
          <w:numId w:val="2"/>
        </w:numPr>
        <w:spacing w:after="40" w:before="40"/>
      </w:pPr>
      <w:r>
        <w:rPr>
          <w:rFonts w:ascii="Arial" w:cs="Arial" w:eastAsia="Arial" w:hAnsi="Arial"/>
          <w:color w:val="1A1A2E"/>
          <w:sz w:val="20"/>
          <w:szCs w:val="20"/>
        </w:rPr>
        <w:t xml:space="preserve">Documentation automation — agents that transform raw experimental data into compliant CMC documentation drafts, freeing 30–40% of scientist time currently spent on writing</w:t>
      </w:r>
    </w:p>
    <w:p>
      <w:pPr>
        <w:pStyle w:val="ListParagraph"/>
        <w:numPr>
          <w:ilvl w:val="0"/>
          <w:numId w:val="2"/>
        </w:numPr>
        <w:spacing w:after="40" w:before="40"/>
      </w:pPr>
      <w:r>
        <w:rPr>
          <w:rFonts w:ascii="Arial" w:cs="Arial" w:eastAsia="Arial" w:hAnsi="Arial"/>
          <w:color w:val="1A1A2E"/>
          <w:sz w:val="20"/>
          <w:szCs w:val="20"/>
        </w:rPr>
        <w:t xml:space="preserve">Knowledge capture — agents that make institutional knowledge from past development programs immediately queryable and applicable to current projects</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KEY FINDING</w:t>
            </w:r>
          </w:p>
        </w:tc>
        <w:tc>
          <w:tcPr>
            <w:tcW w:type="dxa" w:w="9880"/>
            <w:tcBorders>
              <w:top w:val="none" w:color="FFFFFF" w:sz="0"/>
              <w:left w:val="single" w:color="2E75B6"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Current conservative industry estimate: 25–40% of CD/AD workflow capacity is consumable by autonomous agents at acceptable risk levels, with human review gates at all regulatory decision points. Aggregate FTE recovery of 15–25 FTE-weeks per project translates to €1.5–3.5M annual value for a medium-size department at 12 projects/year — before accounting for timeline compression value at launch.</w:t>
            </w:r>
          </w:p>
        </w:tc>
      </w:tr>
    </w:tbl>
    <w:p>
      <w:pPr>
        <w:spacing w:after="80" w:before="80"/>
      </w:pPr>
    </w:p>
    <w:p>
      <w:pPr>
        <w:spacing w:after="100" w:before="60"/>
      </w:pPr>
      <w:r>
        <w:rPr>
          <w:rFonts w:ascii="Arial" w:cs="Arial" w:eastAsia="Arial" w:hAnsi="Arial"/>
          <w:b/>
          <w:bCs/>
          <w:color w:val="1A1A2E"/>
          <w:sz w:val="20"/>
          <w:szCs w:val="20"/>
        </w:rPr>
        <w:t xml:space="preserve">What is Architecturally New in 2026</w:t>
      </w:r>
    </w:p>
    <w:p>
      <w:pPr>
        <w:spacing w:after="100" w:before="60"/>
      </w:pPr>
      <w:r>
        <w:rPr>
          <w:rFonts w:ascii="Arial" w:cs="Arial" w:eastAsia="Arial" w:hAnsi="Arial"/>
          <w:color w:val="1A1A2E"/>
          <w:sz w:val="20"/>
          <w:szCs w:val="20"/>
        </w:rPr>
        <w:t xml:space="preserve">Fully autonomous agent runtimes have emerged as a distinct software category, separate from orchestration libraries such as LangGraph, CrewAI, or AutoGen. These systems pursue goals independently — they self-initiate on schedules or events, decompose multi-step tasks, recover from tool failures, maintain persistent memory, and deliver finished outputs without continuous human prompting. The defining reference systems are OpenFang (Rust, audit-chain native), Hermes Agent (Nous Research, trajectory-based self-improvement), and NemoClaw (NVIDIA, OpenShell-sandboxed OpenClaw wrapper).</w:t>
      </w:r>
    </w:p>
    <w:p>
      <w:pPr>
        <w:spacing w:after="80" w:before="80"/>
      </w:pPr>
    </w:p>
    <w:p>
      <w:pPr>
        <w:spacing w:after="100" w:before="60"/>
      </w:pPr>
      <w:r>
        <w:rPr>
          <w:rFonts w:ascii="Arial" w:cs="Arial" w:eastAsia="Arial" w:hAnsi="Arial"/>
          <w:color w:val="1A1A2E"/>
          <w:sz w:val="20"/>
          <w:szCs w:val="20"/>
        </w:rPr>
        <w:t xml:space="preserve">For Big Pharma CD/AD specifically: documentation drafting, literature intelligence, retrosynthesis triage, and method-development memory are production-grade today. Closed-loop instrument control and OOS decisioning remain one architectural generation away, primarily because prompt injection is architecturally unsolved under adaptive attack and because major CDS/LIMS platforms expose polling surfaces rather than event buses with idempotent command semantics.</w:t>
      </w:r>
    </w:p>
    <w:p>
      <w:r>
        <w:br w:type="page"/>
      </w:r>
    </w:p>
    <w:p>
      <w:pPr>
        <w:pStyle w:val="Heading1"/>
        <w:spacing w:after="160" w:before="480"/>
      </w:pPr>
      <w:r>
        <w:rPr>
          <w:rFonts w:ascii="Arial" w:cs="Arial" w:eastAsia="Arial" w:hAnsi="Arial"/>
          <w:b/>
          <w:bCs/>
          <w:color w:val="1F3864"/>
          <w:sz w:val="32"/>
          <w:szCs w:val="32"/>
        </w:rPr>
        <w:t xml:space="preserve">1. What Distinguishes a Fully Autonomous Agent</w:t>
      </w:r>
    </w:p>
    <w:p>
      <w:pPr>
        <w:spacing w:after="100" w:before="60"/>
      </w:pPr>
      <w:r>
        <w:rPr>
          <w:rFonts w:ascii="Arial" w:cs="Arial" w:eastAsia="Arial" w:hAnsi="Arial"/>
          <w:color w:val="1A1A2E"/>
          <w:sz w:val="20"/>
          <w:szCs w:val="20"/>
        </w:rPr>
        <w:t xml:space="preserve">A fully autonomous agent is not a chatbot and not an orchestration framework. Orchestration frameworks (LangGraph, CrewAI, AutoGen) are libraries a developer uses to build agent behaviour in code. Autonomous agent runtimes are standalone systems that boot, maintain state, and pursue goals — tools are wrapped inside them, not the other way around.</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9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Copilot / Assistant</w:t>
            </w:r>
          </w:p>
        </w:tc>
        <w:tc>
          <w:tcPr>
            <w:tcW w:type="dxa" w:w="39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Fully Autonomous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Initiation</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Human prompt required</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Self-initiating; runs on schedules or triggers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Task scope</w:t>
            </w:r>
          </w:p>
        </w:tc>
        <w:tc>
          <w:tcPr>
            <w:tcW w:type="dxa" w:w="3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Single-turn or guided</w:t>
            </w:r>
          </w:p>
        </w:tc>
        <w:tc>
          <w:tcPr>
            <w:tcW w:type="dxa" w:w="3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Multi-step, self-decomposing goals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Failure handling</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 must intervene</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Self-healing and retry loops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Memory</w:t>
            </w:r>
          </w:p>
        </w:tc>
        <w:tc>
          <w:tcPr>
            <w:tcW w:type="dxa" w:w="3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Session-only</w:t>
            </w:r>
          </w:p>
        </w:tc>
        <w:tc>
          <w:tcPr>
            <w:tcW w:type="dxa" w:w="3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Persistent across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System access</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Read-only suggestions</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Write access to files, APIs, services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Learning</w:t>
            </w:r>
          </w:p>
        </w:tc>
        <w:tc>
          <w:tcPr>
            <w:tcW w:type="dxa" w:w="3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None</w:t>
            </w:r>
          </w:p>
        </w:tc>
        <w:tc>
          <w:tcPr>
            <w:tcW w:type="dxa" w:w="3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Trajectory-based skill refinement (emerging)</w:t>
            </w:r>
          </w:p>
        </w:tc>
      </w:tr>
    </w:tbl>
    <w:p>
      <w:pPr>
        <w:spacing w:after="80" w:before="80"/>
      </w:pPr>
    </w:p>
    <w:p>
      <w:pPr>
        <w:spacing w:after="100" w:before="60"/>
      </w:pPr>
      <w:r>
        <w:rPr>
          <w:rFonts w:ascii="Arial" w:cs="Arial" w:eastAsia="Arial" w:hAnsi="Arial"/>
          <w:color w:val="1A1A2E"/>
          <w:sz w:val="20"/>
          <w:szCs w:val="20"/>
        </w:rPr>
        <w:t xml:space="preserve">The key architectural distinction for pharma chemistry: these systems can be given a goal such as "optimize this synthesis route for PMI and yield" and will autonomously plan, execute tool calls, interpret results, replan on failure, and deliver a finished output — with no further human input unless a defined approval gate is reached.</w:t>
      </w:r>
    </w:p>
    <w:p>
      <w:pPr>
        <w:pStyle w:val="Heading2"/>
        <w:spacing w:after="120" w:before="360"/>
      </w:pPr>
      <w:r>
        <w:rPr>
          <w:rFonts w:ascii="Arial" w:cs="Arial" w:eastAsia="Arial" w:hAnsi="Arial"/>
          <w:b/>
          <w:bCs/>
          <w:color w:val="2E75B6"/>
          <w:sz w:val="26"/>
          <w:szCs w:val="26"/>
        </w:rPr>
        <w:t xml:space="preserve">Three Archetypes in 2026</w:t>
      </w:r>
    </w:p>
    <w:p>
      <w:pPr>
        <w:spacing w:after="100" w:before="60"/>
      </w:pPr>
      <w:r>
        <w:rPr>
          <w:rFonts w:ascii="Arial" w:cs="Arial" w:eastAsia="Arial" w:hAnsi="Arial"/>
          <w:b/>
          <w:bCs/>
          <w:color w:val="1A1A2E"/>
          <w:sz w:val="20"/>
          <w:szCs w:val="20"/>
        </w:rPr>
        <w:t xml:space="preserve">1. Personal Runtime Agents</w:t>
      </w:r>
    </w:p>
    <w:p>
      <w:pPr>
        <w:spacing w:after="100" w:before="60"/>
      </w:pPr>
      <w:r>
        <w:rPr>
          <w:rFonts w:ascii="Arial" w:cs="Arial" w:eastAsia="Arial" w:hAnsi="Arial"/>
          <w:color w:val="1A1A2E"/>
          <w:sz w:val="20"/>
          <w:szCs w:val="20"/>
        </w:rPr>
        <w:t xml:space="preserve">OpenClaw-family, OpenFang, Hermes, Nanobot, Manus — standalone binaries or services that boot, persist state, listen on channels (Telegram/Slack/WhatsApp/Email/MCP), and pursue goals on cron or event triggers.</w:t>
      </w:r>
    </w:p>
    <w:p>
      <w:pPr>
        <w:spacing w:after="100" w:before="60"/>
      </w:pPr>
      <w:r>
        <w:rPr>
          <w:rFonts w:ascii="Arial" w:cs="Arial" w:eastAsia="Arial" w:hAnsi="Arial"/>
          <w:b/>
          <w:bCs/>
          <w:color w:val="1A1A2E"/>
          <w:sz w:val="20"/>
          <w:szCs w:val="20"/>
        </w:rPr>
        <w:t xml:space="preserve">2. Enterprise Operations-Agent Platforms</w:t>
      </w:r>
    </w:p>
    <w:p>
      <w:pPr>
        <w:spacing w:after="100" w:before="60"/>
      </w:pPr>
      <w:r>
        <w:rPr>
          <w:rFonts w:ascii="Arial" w:cs="Arial" w:eastAsia="Arial" w:hAnsi="Arial"/>
          <w:color w:val="1A1A2E"/>
          <w:sz w:val="20"/>
          <w:szCs w:val="20"/>
        </w:rPr>
        <w:t xml:space="preserve">Celanese JO.AI, Bayer MyGenAssist, BASF QKnows + AI Reactor, Syensqo.ai — multi-agent systems sitting on industrial knowledge graphs (Cognite Data Fusion for Celanese, ~2.5 trillion sensor records) with natural-language interfaces. These are agentic business-intelligence layers rather than scientific-reasoning systems.</w:t>
      </w:r>
    </w:p>
    <w:p>
      <w:pPr>
        <w:spacing w:after="100" w:before="60"/>
      </w:pPr>
      <w:r>
        <w:rPr>
          <w:rFonts w:ascii="Arial" w:cs="Arial" w:eastAsia="Arial" w:hAnsi="Arial"/>
          <w:b/>
          <w:bCs/>
          <w:color w:val="1A1A2E"/>
          <w:sz w:val="20"/>
          <w:szCs w:val="20"/>
        </w:rPr>
        <w:t xml:space="preserve">3. Physical Self-Driving Labs + LLM Agent Orchestration</w:t>
      </w:r>
    </w:p>
    <w:p>
      <w:pPr>
        <w:spacing w:after="100" w:before="60"/>
      </w:pPr>
      <w:r>
        <w:rPr>
          <w:rFonts w:ascii="Arial" w:cs="Arial" w:eastAsia="Arial" w:hAnsi="Arial"/>
          <w:color w:val="1A1A2E"/>
          <w:sz w:val="20"/>
          <w:szCs w:val="20"/>
        </w:rPr>
        <w:t xml:space="preserve">ChemAgents (JACS 2025), Yaghi-COF agent, RoboChem-Flex, Matlantis Agent, ChemLex, NVIDIA-Lilly — hierarchical agents driving robotic or simulation stations. ChemAgents (Luo/Jiang group, USTC) is the most technically detailed published reference and explicitly chose on-prem Llama-3.1-70B to keep proprietary chemistry out of third-party APIs.</w:t>
      </w:r>
    </w:p>
    <w:p>
      <w:r>
        <w:br w:type="page"/>
      </w:r>
    </w:p>
    <w:p>
      <w:pPr>
        <w:pStyle w:val="Heading1"/>
        <w:spacing w:after="160" w:before="480"/>
      </w:pPr>
      <w:r>
        <w:rPr>
          <w:rFonts w:ascii="Arial" w:cs="Arial" w:eastAsia="Arial" w:hAnsi="Arial"/>
          <w:b/>
          <w:bCs/>
          <w:color w:val="1F3864"/>
          <w:sz w:val="32"/>
          <w:szCs w:val="32"/>
        </w:rPr>
        <w:t xml:space="preserve">2. The Autonomous Agent Landscape — System-by-System</w:t>
      </w:r>
    </w:p>
    <w:p>
      <w:pPr>
        <w:pStyle w:val="Heading2"/>
        <w:spacing w:after="120" w:before="360"/>
      </w:pPr>
      <w:r>
        <w:rPr>
          <w:rFonts w:ascii="Arial" w:cs="Arial" w:eastAsia="Arial" w:hAnsi="Arial"/>
          <w:b/>
          <w:bCs/>
          <w:color w:val="2E75B6"/>
          <w:sz w:val="26"/>
          <w:szCs w:val="26"/>
        </w:rPr>
        <w:t xml:space="preserve">2.1 OpenClaw</w:t>
      </w:r>
    </w:p>
    <w:p>
      <w:pPr>
        <w:spacing w:after="100" w:before="60"/>
      </w:pPr>
      <w:r>
        <w:rPr>
          <w:rFonts w:ascii="Arial" w:cs="Arial" w:eastAsia="Arial" w:hAnsi="Arial"/>
          <w:color w:val="1A1A2E"/>
          <w:sz w:val="20"/>
          <w:szCs w:val="20"/>
        </w:rPr>
        <w:t xml:space="preserve">OpenClaw (github.com/openclaw/openclaw, November 2025, Peter Steinberger) is the dominant open-source personal AI agent and defines the ecosystem vocabulary. Key facts: Node.js/TypeScript, ~434K LOC, 345,000+ GitHub stars by April 2026 (fastest-growing GitHub repository in history), 5,200–5,700+ ClawHub community skills, 50+ messaging channel gateways. OpenAI acquired Steinberger in February 2026; the project moved to an open-source foundation.</w:t>
      </w:r>
    </w:p>
    <w:p>
      <w:pPr>
        <w:spacing w:after="80" w:before="80"/>
      </w:pPr>
    </w:p>
    <w:p>
      <w:pPr>
        <w:spacing w:after="100" w:before="60"/>
      </w:pPr>
      <w:r>
        <w:rPr>
          <w:rFonts w:ascii="Arial" w:cs="Arial" w:eastAsia="Arial" w:hAnsi="Arial"/>
          <w:color w:val="1A1A2E"/>
          <w:sz w:val="20"/>
          <w:szCs w:val="20"/>
        </w:rPr>
        <w:t xml:space="preserve">Architecture: workspace at ~/.openclaw/workspace/ with three injected prompt files — AGENTS.md, SOUL.md, TOOLS.md — plus skill folders under skills/&lt;n&gt;/SKILL.md following the open AgentSkills spec. Memory is session-based with no first-party vector store. MCP host support is native.</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 SECURITY</w:t>
            </w:r>
          </w:p>
        </w:tc>
        <w:tc>
          <w:tcPr>
            <w:tcW w:type="dxa" w:w="9880"/>
            <w:tcBorders>
              <w:top w:val="none" w:color="FFFFFF" w:sz="0"/>
              <w:left w:val="single" w:color="C55A11"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OpenClaw has 676+ open security issues and 137 CVE advisories logged in a 62-day window (February–April 2026) — roughly one every 15 hours. Cisco Talos confirmed 135,000+ exposed instances. Multiple pharma CISO advisories and CrowdStrike/Sophos reports recommend blocking. Credentials are stored in plaintext Markdown/JSON under ~/.openclaw/. NOT suitable for deployment in a regulated pharma environment without complete architectural isolation.</w:t>
            </w:r>
          </w:p>
        </w:tc>
      </w:tr>
    </w:tbl>
    <w:p>
      <w:pPr>
        <w:pStyle w:val="Heading2"/>
        <w:spacing w:after="120" w:before="360"/>
      </w:pPr>
      <w:r>
        <w:rPr>
          <w:rFonts w:ascii="Arial" w:cs="Arial" w:eastAsia="Arial" w:hAnsi="Arial"/>
          <w:b/>
          <w:bCs/>
          <w:color w:val="2E75B6"/>
          <w:sz w:val="26"/>
          <w:szCs w:val="26"/>
        </w:rPr>
        <w:t xml:space="preserve">2.2 The Claw Family (OpenClaw Derivatives)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400"/>
        <w:gridCol w:w="3480"/>
      </w:tblGrid>
      <w:tr>
        <w:trPr>
          <w:tblHeader/>
        </w:trPr>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Creator</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Architecture</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Key Differentiator</w:t>
            </w:r>
          </w:p>
        </w:tc>
        <w:tc>
          <w:tcPr>
            <w:tcW w:type="dxa" w:w="34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Pharma Fit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NemoClaw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NVIDIA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TypeScript plugin + Python blueprint on OpenShell (Landlock + seccomp + netns + K3s)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Kernel-level sandbox, YAML policy engine, privacy router for local/cloud hybrid inference; wraps OpenClaw entirely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Good for NVIDIA infrastructure; routes inference through NVIDIA NIM cloud by default — configure Ollama for air-gap. Alpha/tech-preview.</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IronClaw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NEAR AI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Rust, Postgres + pgvector memory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WASM sandbox, AES-encrypted credential vault, 6-step execution chain with pre/post leak scans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Strong security model; limited HA integration; weaker tool ecosystem than OpenClaw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NanoClaw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 files, single process, Docker/Apple container isolation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Radical simplicity; container isolation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Best security-per-complexity ratio; minimal footprint suits regulated isolated deployments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KiloClaw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Kilo.ai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Managed cloud hosting of OpenClaw; Firecracker VMs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5-layer tenant isolation, AES-256 credential vault, 2-min setup</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No self-hosting; still a cloud service — data residency concern for IP-sensitive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ZeroClaw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OSS/Rust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Ultra-lightweight Rust runtime, &lt;5 MB 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Bare-metal deployable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Edge/embedded lab instrument agents; too minimal for complex workflows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RightNow AI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Rust, 137K LOC, 14 crates, 1,767+ tests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Full Agent OS; WASM sandbox; Merkle audit trail; 16 security controls; 7 autonomous Hands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Most security-mature open-source option; best fit for pharma (see Section 2.3)</w:t>
            </w:r>
          </w:p>
        </w:tc>
      </w:tr>
    </w:tbl>
    <w:p>
      <w:pPr>
        <w:pStyle w:val="Heading2"/>
        <w:spacing w:after="120" w:before="360"/>
      </w:pPr>
      <w:r>
        <w:rPr>
          <w:rFonts w:ascii="Arial" w:cs="Arial" w:eastAsia="Arial" w:hAnsi="Arial"/>
          <w:b/>
          <w:bCs/>
          <w:color w:val="2E75B6"/>
          <w:sz w:val="26"/>
          <w:szCs w:val="26"/>
        </w:rPr>
        <w:t xml:space="preserve">2.3 OpenFang (Recommended Open-Source Foundation)</w:t>
      </w:r>
    </w:p>
    <w:p>
      <w:pPr>
        <w:spacing w:after="100" w:before="60"/>
      </w:pPr>
      <w:r>
        <w:rPr>
          <w:rFonts w:ascii="Arial" w:cs="Arial" w:eastAsia="Arial" w:hAnsi="Arial"/>
          <w:color w:val="1A1A2E"/>
          <w:sz w:val="20"/>
          <w:szCs w:val="20"/>
        </w:rPr>
        <w:t xml:space="preserve">OpenFang (github.com/RightNow-AI/openfang, MIT license, RightNow AI / Jaber) is the most architecturally differentiated open-source autonomous agent runtime. Written in Rust, it compiles to a single ~32 MB binary with 180 ms cold start and 40 MB idle RAM — a fraction of OpenClaw's Node.js footprint.</w:t>
      </w:r>
    </w:p>
    <w:p>
      <w:pPr>
        <w:spacing w:after="80" w:before="80"/>
      </w:pPr>
    </w:p>
    <w:p>
      <w:pPr>
        <w:spacing w:after="100" w:before="60"/>
      </w:pPr>
      <w:r>
        <w:rPr>
          <w:rFonts w:ascii="Arial" w:cs="Arial" w:eastAsia="Arial" w:hAnsi="Arial"/>
          <w:b/>
          <w:bCs/>
          <w:color w:val="1A1A2E"/>
          <w:sz w:val="20"/>
          <w:szCs w:val="20"/>
        </w:rPr>
        <w:t xml:space="preserve">Crate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Crate</w:t>
            </w:r>
          </w:p>
        </w:tc>
        <w:tc>
          <w:tcPr>
            <w:tcW w:type="dxa" w:w="72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openfang-kernel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Orchestration, RBAC, scheduler, budget/metering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openfang-runtime</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Agent loop, 3 LLM drivers, 53 tools, WASM sandbox, MCP, A2A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openfang-api</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140+ REST/WS/SSE endpoints, OpenAI-compatible API, dashboard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openfang-channels</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40 messaging adapters with rate limiting, DM/group policies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openfang-memory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SQLite persistence, vector embeddings, canonical sessions, compaction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openfang-types</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Core types, taint tracking, Ed25519 manifest signing, model catalog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openfang-skills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60 bundled skills, SKILL.md parser, FangHub marketplace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openfang-hands</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7 autonomous Hands, HAND.toml parser, lifecycle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openfang-extensions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MCP templates, AES-256-GCM credential vault, OAuth2 PKCE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openfang-wire</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OFP P2P protocol with HMAC-SHA256 mutual authentication</w:t>
            </w:r>
          </w:p>
        </w:tc>
      </w:tr>
    </w:tbl>
    <w:p>
      <w:pPr>
        <w:spacing w:after="80" w:before="80"/>
      </w:pPr>
    </w:p>
    <w:p>
      <w:pPr>
        <w:spacing w:after="100" w:before="60"/>
      </w:pPr>
      <w:r>
        <w:rPr>
          <w:rFonts w:ascii="Arial" w:cs="Arial" w:eastAsia="Arial" w:hAnsi="Arial"/>
          <w:b/>
          <w:bCs/>
          <w:color w:val="1A1A2E"/>
          <w:sz w:val="20"/>
          <w:szCs w:val="20"/>
        </w:rPr>
        <w:t xml:space="preserve">The HAND.toml Pattern — Core Autonomy Unit</w:t>
      </w:r>
    </w:p>
    <w:p>
      <w:pPr>
        <w:spacing w:after="100" w:before="60"/>
      </w:pPr>
      <w:r>
        <w:rPr>
          <w:rFonts w:ascii="Arial" w:cs="Arial" w:eastAsia="Arial" w:hAnsi="Arial"/>
          <w:color w:val="1A1A2E"/>
          <w:sz w:val="20"/>
          <w:szCs w:val="20"/>
        </w:rPr>
        <w:t xml:space="preserve">A HAND.toml manifest defines a fully autonomous, schedule-driven capability. A single folder holds: HAND.toml (tools, schedule, settings), SKILL.md (domain expertise), prompts/system.md, and optional tools/custom.toml. A cron expression inside the TOML gives fire-and-forget scheduling, e.g., schedule = "0 9,13,18 * * *". Seven built-in Hands: Clip, Lead, Collector, Predictor, Researcher, Twitter, Browser — each runs independently, without prompting.</w:t>
      </w:r>
    </w:p>
    <w:p>
      <w:pPr>
        <w:spacing w:after="80" w:before="80"/>
      </w:pPr>
    </w:p>
    <w:p>
      <w:pPr>
        <w:spacing w:after="100" w:before="60"/>
      </w:pPr>
      <w:r>
        <w:rPr>
          <w:rFonts w:ascii="Arial" w:cs="Arial" w:eastAsia="Arial" w:hAnsi="Arial"/>
          <w:b/>
          <w:bCs/>
          <w:color w:val="1A1A2E"/>
          <w:sz w:val="20"/>
          <w:szCs w:val="20"/>
        </w:rPr>
        <w:t xml:space="preserve">Security Controls</w:t>
      </w:r>
    </w:p>
    <w:p>
      <w:pPr>
        <w:spacing w:after="100" w:before="60"/>
      </w:pPr>
      <w:r>
        <w:rPr>
          <w:rFonts w:ascii="Arial" w:cs="Arial" w:eastAsia="Arial" w:hAnsi="Arial"/>
          <w:color w:val="1A1A2E"/>
          <w:sz w:val="20"/>
          <w:szCs w:val="20"/>
        </w:rPr>
        <w:t xml:space="preserve">OpenFang documents 16 security controls: dual-metered WASM sandbox, Ed25519 manifest signing, Merkle-style hash chain, taint tracking, SSRF filter, secret zeroization, AES-256-GCM credential vault, OAuth2 PKCE, HMAC-SHA256 mutual wire authentication, endpoint allowlist, pre/post execution leak scan, rate limits, resource limits, RBAC, manifest validation, and policy approval gate. No third-party audit has been published; treat as defense-in-depth, not independently certified security.</w:t>
      </w:r>
    </w:p>
    <w:p>
      <w:pPr>
        <w:pStyle w:val="Heading2"/>
        <w:spacing w:after="120" w:before="360"/>
      </w:pPr>
      <w:r>
        <w:rPr>
          <w:rFonts w:ascii="Arial" w:cs="Arial" w:eastAsia="Arial" w:hAnsi="Arial"/>
          <w:b/>
          <w:bCs/>
          <w:color w:val="2E75B6"/>
          <w:sz w:val="26"/>
          <w:szCs w:val="26"/>
        </w:rPr>
        <w:t xml:space="preserve">2.4 Hermes Agent (Best for Self-Improvement)</w:t>
      </w:r>
    </w:p>
    <w:p>
      <w:pPr>
        <w:spacing w:after="100" w:before="60"/>
      </w:pPr>
      <w:r>
        <w:rPr>
          <w:rFonts w:ascii="Arial" w:cs="Arial" w:eastAsia="Arial" w:hAnsi="Arial"/>
          <w:color w:val="1A1A2E"/>
          <w:sz w:val="20"/>
          <w:szCs w:val="20"/>
        </w:rPr>
        <w:t xml:space="preserve">Hermes Agent (github.com/NousResearch/hermes-agent, MIT, Python, 23,000+ stars, Nous Research, February 2026) is the clearest open-source realization of trajectory-based self-improvement — the capability most relevant to long-running pharma development programs.</w:t>
      </w:r>
    </w:p>
    <w:p>
      <w:pPr>
        <w:spacing w:after="80" w:before="80"/>
      </w:pPr>
    </w:p>
    <w:p>
      <w:pPr>
        <w:spacing w:after="100" w:before="60"/>
      </w:pPr>
      <w:r>
        <w:rPr>
          <w:rFonts w:ascii="Arial" w:cs="Arial" w:eastAsia="Arial" w:hAnsi="Arial"/>
          <w:b/>
          <w:bCs/>
          <w:color w:val="1A1A2E"/>
          <w:sz w:val="20"/>
          <w:szCs w:val="20"/>
        </w:rPr>
        <w:t xml:space="preserve">Core Technical Architecture</w:t>
      </w:r>
    </w:p>
    <w:p>
      <w:pPr>
        <w:spacing w:after="100" w:before="60"/>
      </w:pPr>
      <w:r>
        <w:rPr>
          <w:rFonts w:ascii="Arial" w:cs="Arial" w:eastAsia="Arial" w:hAnsi="Arial"/>
          <w:color w:val="1A1A2E"/>
          <w:sz w:val="20"/>
          <w:szCs w:val="20"/>
        </w:rPr>
        <w:t xml:space="preserve">The AIAgent class in run_agent.py runs a refined ReAct loop with three-layer memory: (1) session context, (2) persistent MEMORY.md and USER.md files, (3) procedural skills in ~/.hermes/skills/. After complex tasks (5+ tool calls), the agent autonomously synthesizes a SKILL.md file (AgentSkills-spec Markdown capturing approach, edge cases, tool selection rationale) and can rewrite its own skills when a better approach emerges — without any weight fine-tuning.</w:t>
      </w:r>
    </w:p>
    <w:p>
      <w:pPr>
        <w:spacing w:after="80" w:before="80"/>
      </w:pPr>
    </w:p>
    <w:p>
      <w:pPr>
        <w:spacing w:after="100" w:before="60"/>
      </w:pPr>
      <w:r>
        <w:rPr>
          <w:rFonts w:ascii="Arial" w:cs="Arial" w:eastAsia="Arial" w:hAnsi="Arial"/>
          <w:b/>
          <w:bCs/>
          <w:color w:val="1A1A2E"/>
          <w:sz w:val="20"/>
          <w:szCs w:val="20"/>
        </w:rPr>
        <w:t xml:space="preserve">Progressive Skill Disclosure (three levels)</w:t>
      </w:r>
    </w:p>
    <w:p>
      <w:pPr>
        <w:pStyle w:val="ListParagraph"/>
        <w:numPr>
          <w:ilvl w:val="0"/>
          <w:numId w:val="2"/>
        </w:numPr>
        <w:spacing w:after="40" w:before="40"/>
      </w:pPr>
      <w:r>
        <w:rPr>
          <w:rFonts w:ascii="Arial" w:cs="Arial" w:eastAsia="Arial" w:hAnsi="Arial"/>
          <w:color w:val="1A1A2E"/>
          <w:sz w:val="20"/>
          <w:szCs w:val="20"/>
        </w:rPr>
        <w:t xml:space="preserve">Level 0: skills_list() — ~3k tokens, all skill names and summaries</w:t>
      </w:r>
    </w:p>
    <w:p>
      <w:pPr>
        <w:pStyle w:val="ListParagraph"/>
        <w:numPr>
          <w:ilvl w:val="0"/>
          <w:numId w:val="2"/>
        </w:numPr>
        <w:spacing w:after="40" w:before="40"/>
      </w:pPr>
      <w:r>
        <w:rPr>
          <w:rFonts w:ascii="Arial" w:cs="Arial" w:eastAsia="Arial" w:hAnsi="Arial"/>
          <w:color w:val="1A1A2E"/>
          <w:sz w:val="20"/>
          <w:szCs w:val="20"/>
        </w:rPr>
        <w:t xml:space="preserve">Level 1: skill_view(name) — full skill document loaded on demand</w:t>
      </w:r>
    </w:p>
    <w:p>
      <w:pPr>
        <w:pStyle w:val="ListParagraph"/>
        <w:numPr>
          <w:ilvl w:val="0"/>
          <w:numId w:val="2"/>
        </w:numPr>
        <w:spacing w:after="40" w:before="40"/>
      </w:pPr>
      <w:r>
        <w:rPr>
          <w:rFonts w:ascii="Arial" w:cs="Arial" w:eastAsia="Arial" w:hAnsi="Arial"/>
          <w:color w:val="1A1A2E"/>
          <w:sz w:val="20"/>
          <w:szCs w:val="20"/>
        </w:rPr>
        <w:t xml:space="preserve">Level 2: per-file reference — specific code or data within a skill</w:t>
      </w:r>
    </w:p>
    <w:p>
      <w:pPr>
        <w:spacing w:after="80" w:before="80"/>
      </w:pPr>
    </w:p>
    <w:p>
      <w:pPr>
        <w:spacing w:after="100" w:before="60"/>
      </w:pPr>
      <w:r>
        <w:rPr>
          <w:rFonts w:ascii="Arial" w:cs="Arial" w:eastAsia="Arial" w:hAnsi="Arial"/>
          <w:b/>
          <w:bCs/>
          <w:color w:val="1A1A2E"/>
          <w:sz w:val="20"/>
          <w:szCs w:val="20"/>
        </w:rPr>
        <w:t xml:space="preserve">Reflective Phase and Atropos RL Loop</w:t>
      </w:r>
    </w:p>
    <w:p>
      <w:pPr>
        <w:spacing w:after="100" w:before="60"/>
      </w:pPr>
      <w:r>
        <w:rPr>
          <w:rFonts w:ascii="Arial" w:cs="Arial" w:eastAsia="Arial" w:hAnsi="Arial"/>
          <w:color w:val="1A1A2E"/>
          <w:sz w:val="20"/>
          <w:szCs w:val="20"/>
        </w:rPr>
        <w:t xml:space="preserve">A hindsight_reflect function synthesizes across memory providers after complex tasks. Every trajectory is exportable in ShareGPT format and pluggable into Atropos, Nous's RL framework — closing a loop from production lab trajectories to next-generation tool-calling model training. This means a pharma organisation running Hermes for method development accumulates not just skills (reusable chemistry heuristics) but training data that can improve its base model for chemistry reasoning.</w:t>
      </w:r>
    </w:p>
    <w:p>
      <w:pPr>
        <w:spacing w:after="80" w:before="80"/>
      </w:pPr>
    </w:p>
    <w:p>
      <w:pPr>
        <w:spacing w:after="100" w:before="60"/>
      </w:pPr>
      <w:r>
        <w:rPr>
          <w:rFonts w:ascii="Arial" w:cs="Arial" w:eastAsia="Arial" w:hAnsi="Arial"/>
          <w:b/>
          <w:bCs/>
          <w:color w:val="1A1A2E"/>
          <w:sz w:val="20"/>
          <w:szCs w:val="20"/>
        </w:rPr>
        <w:t xml:space="preserve">Terminal Backends</w:t>
      </w:r>
    </w:p>
    <w:p>
      <w:pPr>
        <w:spacing w:after="100" w:before="60"/>
      </w:pPr>
      <w:r>
        <w:rPr>
          <w:rFonts w:ascii="Arial" w:cs="Arial" w:eastAsia="Arial" w:hAnsi="Arial"/>
          <w:color w:val="1A1A2E"/>
          <w:sz w:val="20"/>
          <w:szCs w:val="20"/>
        </w:rPr>
        <w:t xml:space="preserve">Local, Docker, SSH, Singularity, Modal — Hermes runs against whatever compute is available. A hermes claw migrate command ingests OpenClaw skills directly. Local LLM support: Ollama, OpenRouter, NIM, and HF endpoints are all first-class.</w:t>
      </w:r>
    </w:p>
    <w:p>
      <w:pPr>
        <w:pStyle w:val="Heading2"/>
        <w:spacing w:after="120" w:before="360"/>
      </w:pPr>
      <w:r>
        <w:rPr>
          <w:rFonts w:ascii="Arial" w:cs="Arial" w:eastAsia="Arial" w:hAnsi="Arial"/>
          <w:b/>
          <w:bCs/>
          <w:color w:val="2E75B6"/>
          <w:sz w:val="26"/>
          <w:szCs w:val="26"/>
        </w:rPr>
        <w:t xml:space="preserve">2.5 Manus AI (Cloud Research Intelligence Only)</w:t>
      </w:r>
    </w:p>
    <w:p>
      <w:pPr>
        <w:spacing w:after="100" w:before="60"/>
      </w:pPr>
      <w:r>
        <w:rPr>
          <w:rFonts w:ascii="Arial" w:cs="Arial" w:eastAsia="Arial" w:hAnsi="Arial"/>
          <w:color w:val="1A1A2E"/>
          <w:sz w:val="20"/>
          <w:szCs w:val="20"/>
        </w:rPr>
        <w:t xml:space="preserve">Manus AI (Butterfly Effect, acquired by Meta for ~$2–3B in December 2025) is the closest to a general-purpose autonomous agent but is cloud-only and Meta-owned — disqualifying it for any deployment involving proprietary synthesis data, development compounds, or CMC information.</w:t>
      </w:r>
    </w:p>
    <w:p>
      <w:pPr>
        <w:spacing w:after="80" w:before="80"/>
      </w:pPr>
    </w:p>
    <w:p>
      <w:pPr>
        <w:spacing w:after="100" w:before="60"/>
      </w:pPr>
      <w:r>
        <w:rPr>
          <w:rFonts w:ascii="Arial" w:cs="Arial" w:eastAsia="Arial" w:hAnsi="Arial"/>
          <w:b/>
          <w:bCs/>
          <w:color w:val="1A1A2E"/>
          <w:sz w:val="20"/>
          <w:szCs w:val="20"/>
        </w:rPr>
        <w:t xml:space="preserve">Technical Architecture (Peak Ji disclosures)</w:t>
      </w:r>
    </w:p>
    <w:p>
      <w:pPr>
        <w:pStyle w:val="ListParagraph"/>
        <w:numPr>
          <w:ilvl w:val="0"/>
          <w:numId w:val="2"/>
        </w:numPr>
        <w:spacing w:after="40" w:before="40"/>
      </w:pPr>
      <w:r>
        <w:rPr>
          <w:rFonts w:ascii="Arial" w:cs="Arial" w:eastAsia="Arial" w:hAnsi="Arial"/>
          <w:color w:val="1A1A2E"/>
          <w:sz w:val="20"/>
          <w:szCs w:val="20"/>
        </w:rPr>
        <w:t xml:space="preserve">Primary LLM: Anthropic Claude; secondary: Alibaba Qwen fine-tuned subagents</w:t>
      </w:r>
    </w:p>
    <w:p>
      <w:pPr>
        <w:pStyle w:val="ListParagraph"/>
        <w:numPr>
          <w:ilvl w:val="0"/>
          <w:numId w:val="2"/>
        </w:numPr>
        <w:spacing w:after="40" w:before="40"/>
      </w:pPr>
      <w:r>
        <w:rPr>
          <w:rFonts w:ascii="Arial" w:cs="Arial" w:eastAsia="Arial" w:hAnsi="Arial"/>
          <w:color w:val="1A1A2E"/>
          <w:sz w:val="20"/>
          <w:szCs w:val="20"/>
        </w:rPr>
        <w:t xml:space="preserve">Execution pattern: Analyze → Plan → Execute → Observe, one tool action per iteration (hard constraint)</w:t>
      </w:r>
    </w:p>
    <w:p>
      <w:pPr>
        <w:pStyle w:val="ListParagraph"/>
        <w:numPr>
          <w:ilvl w:val="0"/>
          <w:numId w:val="2"/>
        </w:numPr>
        <w:spacing w:after="40" w:before="40"/>
      </w:pPr>
      <w:r>
        <w:rPr>
          <w:rFonts w:ascii="Arial" w:cs="Arial" w:eastAsia="Arial" w:hAnsi="Arial"/>
          <w:color w:val="1A1A2E"/>
          <w:sz w:val="20"/>
          <w:szCs w:val="20"/>
        </w:rPr>
        <w:t xml:space="preserve">29 prefix-grouped tools: browser_*, shell_* — logit-masked action-space restriction</w:t>
      </w:r>
    </w:p>
    <w:p>
      <w:pPr>
        <w:pStyle w:val="ListParagraph"/>
        <w:numPr>
          <w:ilvl w:val="0"/>
          <w:numId w:val="2"/>
        </w:numPr>
        <w:spacing w:after="40" w:before="40"/>
      </w:pPr>
      <w:r>
        <w:rPr>
          <w:rFonts w:ascii="Arial" w:cs="Arial" w:eastAsia="Arial" w:hAnsi="Arial"/>
          <w:color w:val="1A1A2E"/>
          <w:sz w:val="20"/>
          <w:szCs w:val="20"/>
        </w:rPr>
        <w:t xml:space="preserve">Agent-as-a-Tool subagent pattern (Planner/Executor/Knowledge/Verification invoked as structured tool calls to avoid context pollution)</w:t>
      </w:r>
    </w:p>
    <w:p>
      <w:pPr>
        <w:pStyle w:val="ListParagraph"/>
        <w:numPr>
          <w:ilvl w:val="0"/>
          <w:numId w:val="2"/>
        </w:numPr>
        <w:spacing w:after="40" w:before="40"/>
      </w:pPr>
      <w:r>
        <w:rPr>
          <w:rFonts w:ascii="Arial" w:cs="Arial" w:eastAsia="Arial" w:hAnsi="Arial"/>
          <w:color w:val="1A1A2E"/>
          <w:sz w:val="20"/>
          <w:szCs w:val="20"/>
        </w:rPr>
        <w:t xml:space="preserve">todo.md recitation trick near end of context combats lost-in-the-middle problem</w:t>
      </w:r>
    </w:p>
    <w:p>
      <w:pPr>
        <w:pStyle w:val="ListParagraph"/>
        <w:numPr>
          <w:ilvl w:val="0"/>
          <w:numId w:val="2"/>
        </w:numPr>
        <w:spacing w:after="40" w:before="40"/>
      </w:pPr>
      <w:r>
        <w:rPr>
          <w:rFonts w:ascii="Arial" w:cs="Arial" w:eastAsia="Arial" w:hAnsi="Arial"/>
          <w:color w:val="1A1A2E"/>
          <w:sz w:val="20"/>
          <w:szCs w:val="20"/>
        </w:rPr>
        <w:t xml:space="preserve">Sessions fully replayable; KV-cache hit rate is the top production metric</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USE CASE</w:t>
            </w:r>
          </w:p>
        </w:tc>
        <w:tc>
          <w:tcPr>
            <w:tcW w:type="dxa" w:w="9880"/>
            <w:tcBorders>
              <w:top w:val="none" w:color="FFFFFF" w:sz="0"/>
              <w:left w:val="single" w:color="C55A11"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Manus is appropriate only for non-sensitive research intelligence tasks — prior art searches on published compounds, competitor landscape monitoring, regulatory document digests from public sources. It must never process proprietary structure data, unpublished synthesis routes, or CMC information.</w:t>
            </w:r>
          </w:p>
        </w:tc>
      </w:tr>
    </w:tbl>
    <w:p>
      <w:pPr>
        <w:pStyle w:val="Heading2"/>
        <w:spacing w:after="120" w:before="360"/>
      </w:pPr>
      <w:r>
        <w:rPr>
          <w:rFonts w:ascii="Arial" w:cs="Arial" w:eastAsia="Arial" w:hAnsi="Arial"/>
          <w:b/>
          <w:bCs/>
          <w:color w:val="2E75B6"/>
          <w:sz w:val="26"/>
          <w:szCs w:val="26"/>
        </w:rPr>
        <w:t xml:space="preserve">2.6 Adopt AI (Best Enterprise Compliance Posture)</w:t>
      </w:r>
    </w:p>
    <w:p>
      <w:pPr>
        <w:spacing w:after="100" w:before="60"/>
      </w:pPr>
      <w:r>
        <w:rPr>
          <w:rFonts w:ascii="Arial" w:cs="Arial" w:eastAsia="Arial" w:hAnsi="Arial"/>
          <w:color w:val="1A1A2E"/>
          <w:sz w:val="20"/>
          <w:szCs w:val="20"/>
        </w:rPr>
        <w:t xml:space="preserve">Adopt AI is the only system in this review with SOC 2 Type II + ISO/IEC 27001 + HIPAA + GDPR + CCPA certifications, plus on-premises Helm deployment support. It is not open-source in the agent sense but an enterprise platform with three patented components:</w:t>
      </w:r>
    </w:p>
    <w:p>
      <w:pPr>
        <w:pStyle w:val="ListParagraph"/>
        <w:numPr>
          <w:ilvl w:val="0"/>
          <w:numId w:val="2"/>
        </w:numPr>
        <w:spacing w:after="40" w:before="40"/>
      </w:pPr>
      <w:r>
        <w:rPr>
          <w:rFonts w:ascii="Arial" w:cs="Arial" w:eastAsia="Arial" w:hAnsi="Arial"/>
          <w:color w:val="1A1A2E"/>
          <w:sz w:val="20"/>
          <w:szCs w:val="20"/>
        </w:rPr>
        <w:t xml:space="preserve">ZAPI — browser-crawl zero-shot API discovery; completes in 24–48 hours for enterprise applications</w:t>
      </w:r>
    </w:p>
    <w:p>
      <w:pPr>
        <w:pStyle w:val="ListParagraph"/>
        <w:numPr>
          <w:ilvl w:val="0"/>
          <w:numId w:val="2"/>
        </w:numPr>
        <w:spacing w:after="40" w:before="40"/>
      </w:pPr>
      <w:r>
        <w:rPr>
          <w:rFonts w:ascii="Arial" w:cs="Arial" w:eastAsia="Arial" w:hAnsi="Arial"/>
          <w:color w:val="1A1A2E"/>
          <w:sz w:val="20"/>
          <w:szCs w:val="20"/>
        </w:rPr>
        <w:t xml:space="preserve">ZACTION — API to validated composable actions</w:t>
      </w:r>
    </w:p>
    <w:p>
      <w:pPr>
        <w:pStyle w:val="ListParagraph"/>
        <w:numPr>
          <w:ilvl w:val="0"/>
          <w:numId w:val="2"/>
        </w:numPr>
        <w:spacing w:after="40" w:before="40"/>
      </w:pPr>
      <w:r>
        <w:rPr>
          <w:rFonts w:ascii="Arial" w:cs="Arial" w:eastAsia="Arial" w:hAnsi="Arial"/>
          <w:color w:val="1A1A2E"/>
          <w:sz w:val="20"/>
          <w:szCs w:val="20"/>
        </w:rPr>
        <w:t xml:space="preserve">WDL — workflow DSL for autonomous multi-step execution</w:t>
      </w:r>
    </w:p>
    <w:p>
      <w:pPr>
        <w:spacing w:after="80" w:before="80"/>
      </w:pPr>
    </w:p>
    <w:p>
      <w:pPr>
        <w:spacing w:after="100" w:before="60"/>
      </w:pPr>
      <w:r>
        <w:rPr>
          <w:rFonts w:ascii="Arial" w:cs="Arial" w:eastAsia="Arial" w:hAnsi="Arial"/>
          <w:color w:val="1A1A2E"/>
          <w:sz w:val="20"/>
          <w:szCs w:val="20"/>
        </w:rPr>
        <w:t xml:space="preserve">Best fit for CD/AD use cases: CMC documentation drafting (BC-06), OOS investigation initiation (BC-09), and tech transfer package assembly (BC-10), where the compliance posture is a procurement gate and deep LIMS/ELN integration is required without custom engineering.</w:t>
      </w:r>
    </w:p>
    <w:p>
      <w:pPr>
        <w:pStyle w:val="Heading2"/>
        <w:spacing w:after="120" w:before="360"/>
      </w:pPr>
      <w:r>
        <w:rPr>
          <w:rFonts w:ascii="Arial" w:cs="Arial" w:eastAsia="Arial" w:hAnsi="Arial"/>
          <w:b/>
          <w:bCs/>
          <w:color w:val="2E75B6"/>
          <w:sz w:val="26"/>
          <w:szCs w:val="26"/>
        </w:rPr>
        <w:t xml:space="preserve">2.7 Nanobot (For Internal Auditable Deployments)</w:t>
      </w:r>
    </w:p>
    <w:p>
      <w:pPr>
        <w:spacing w:after="100" w:before="60"/>
      </w:pPr>
      <w:r>
        <w:rPr>
          <w:rFonts w:ascii="Arial" w:cs="Arial" w:eastAsia="Arial" w:hAnsi="Arial"/>
          <w:color w:val="1A1A2E"/>
          <w:sz w:val="20"/>
          <w:szCs w:val="20"/>
        </w:rPr>
        <w:t xml:space="preserve">Three distinct projects share the Nanobot name. For pharma: the HKUDS Python version (~4,000 lines, ~1% of OpenClaw's codebase) is the relevant system. It is OpenClaw-inspired with cron scheduling, multi-channel support, and pre-bundled skills. Its single most important property for regulated environments: the entire codebase is readable and auditable by an internal security team in a single day. MCP-native from v0.1.4 (February 2026). Persistent memory and web search built-in.</w:t>
      </w:r>
    </w:p>
    <w:p>
      <w:pPr>
        <w:pStyle w:val="Heading2"/>
        <w:spacing w:after="120" w:before="360"/>
      </w:pPr>
      <w:r>
        <w:rPr>
          <w:rFonts w:ascii="Arial" w:cs="Arial" w:eastAsia="Arial" w:hAnsi="Arial"/>
          <w:b/>
          <w:bCs/>
          <w:color w:val="2E75B6"/>
          <w:sz w:val="26"/>
          <w:szCs w:val="26"/>
        </w:rPr>
        <w:t xml:space="preserve">2.8 SuperAGI (Not Recommended for Production)</w:t>
      </w:r>
    </w:p>
    <w:p>
      <w:pPr>
        <w:spacing w:after="100" w:before="60"/>
      </w:pPr>
      <w:r>
        <w:rPr>
          <w:rFonts w:ascii="Arial" w:cs="Arial" w:eastAsia="Arial" w:hAnsi="Arial"/>
          <w:color w:val="1A1A2E"/>
          <w:sz w:val="20"/>
          <w:szCs w:val="20"/>
        </w:rPr>
        <w:t xml:space="preserve">SuperAGI (github.com/TransformerOptimus/SuperAGI) began as a developer-first autonomous agent framework with distinctive STM + LTS Agent Summary memory and pluggable vector backends (Pinecone, Qdrant, Weaviate, Chroma, Milvus, Redis). However, the open-source repository has seen minimal activity since 2024; the company pivoted to commercial SaaS sales tooling. Production pharma adoption should factor this in — the framework is effectively unmaintained.</w:t>
      </w:r>
    </w:p>
    <w:p>
      <w:pPr>
        <w:pStyle w:val="Heading2"/>
        <w:spacing w:after="120" w:before="360"/>
      </w:pPr>
      <w:r>
        <w:rPr>
          <w:rFonts w:ascii="Arial" w:cs="Arial" w:eastAsia="Arial" w:hAnsi="Arial"/>
          <w:b/>
          <w:bCs/>
          <w:color w:val="2E75B6"/>
          <w:sz w:val="26"/>
          <w:szCs w:val="26"/>
        </w:rPr>
        <w:t xml:space="preserve">2.9 Agent Communication Protocols</w:t>
      </w:r>
    </w:p>
    <w:p>
      <w:pPr>
        <w:spacing w:after="100" w:before="60"/>
      </w:pPr>
      <w:r>
        <w:rPr>
          <w:rFonts w:ascii="Arial" w:cs="Arial" w:eastAsia="Arial" w:hAnsi="Arial"/>
          <w:color w:val="1A1A2E"/>
          <w:sz w:val="20"/>
          <w:szCs w:val="20"/>
        </w:rPr>
        <w:t xml:space="preserve">Two protocols have consolidated into the 2026 standard. MCP (Model Context Protocol, Anthropic November 2024, donated to Linux Foundation AAIF December 2025) is the LLM-to-tool standard: JSON-RPC over stdio or Streamable HTTP, OAuth 2.1 mandatory for remote. A2A (Agent2Agent, Google April 2025, v0.3, donated to Linux Foundation June 2025) is the agent-to-agent standard: Agent Cards at /.well-known/agent-card.json, typed Tasks/Artifacts/Parts, gRPC/JSON-RPC/REST bindings. ACP (IBM, March 2025) merged into A2A in August 2025 — new builds should target A2A. Mental model: MCP for tools, A2A for agents.</w:t>
      </w:r>
    </w:p>
    <w:p>
      <w:r>
        <w:br w:type="page"/>
      </w:r>
    </w:p>
    <w:p>
      <w:pPr>
        <w:pStyle w:val="Heading1"/>
        <w:spacing w:after="160" w:before="480"/>
      </w:pPr>
      <w:r>
        <w:rPr>
          <w:rFonts w:ascii="Arial" w:cs="Arial" w:eastAsia="Arial" w:hAnsi="Arial"/>
          <w:b/>
          <w:bCs/>
          <w:color w:val="1F3864"/>
          <w:sz w:val="32"/>
          <w:szCs w:val="32"/>
        </w:rPr>
        <w:t xml:space="preserve">3. Security Architecture Deep Dive</w:t>
      </w:r>
    </w:p>
    <w:p>
      <w:pPr>
        <w:pStyle w:val="Heading2"/>
        <w:spacing w:after="120" w:before="360"/>
      </w:pPr>
      <w:r>
        <w:rPr>
          <w:rFonts w:ascii="Arial" w:cs="Arial" w:eastAsia="Arial" w:hAnsi="Arial"/>
          <w:b/>
          <w:bCs/>
          <w:color w:val="2E75B6"/>
          <w:sz w:val="26"/>
          <w:szCs w:val="26"/>
        </w:rPr>
        <w:t xml:space="preserve">3.1 OpenClaw CVE Landscape — Why It Matters</w:t>
      </w:r>
    </w:p>
    <w:p>
      <w:pPr>
        <w:spacing w:after="100" w:before="60"/>
      </w:pPr>
      <w:r>
        <w:rPr>
          <w:rFonts w:ascii="Arial" w:cs="Arial" w:eastAsia="Arial" w:hAnsi="Arial"/>
          <w:color w:val="1A1A2E"/>
          <w:sz w:val="20"/>
          <w:szCs w:val="20"/>
        </w:rPr>
        <w:t xml:space="preserve">The independent tracker jgamblin/OpenClawCVEs logged 137 advisories between February 2 and April 4, 2026 — roughly one every 15 hours. Representative critical CVEs: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2120"/>
      </w:tblGrid>
      <w:tr>
        <w:trPr>
          <w:tblHeader/>
        </w:trP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CVE</w:t>
            </w:r>
          </w:p>
        </w:tc>
        <w:tc>
          <w:tcPr>
            <w:tcW w:type="dxa" w:w="5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CVSS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CVE-2026-25253 "ClawBleed"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CSWSH one-click RCE, actively exploited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8.8</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CVE-2026-32922</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Token-rotation scope escalation</w:t>
            </w:r>
          </w:p>
        </w:tc>
        <w:tc>
          <w:tcPr>
            <w:tcW w:type="dxa" w:w="2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CVE-2026-28363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safeBins bypass via sort --compress-prog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9.9</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CVE-2026-28446</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Voice-call extension pre-auth RCE</w:t>
            </w:r>
          </w:p>
        </w:tc>
        <w:tc>
          <w:tcPr>
            <w:tcW w:type="dxa" w:w="2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9.8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CVE-2026-29607 + CVE-2026-28460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Exec-approval bypass via wrapper abuse and shell line-continuation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9.5</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CVE-2026-34511</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OAuth PKCE verifier leak</w:t>
            </w:r>
          </w:p>
        </w:tc>
        <w:tc>
          <w:tcPr>
            <w:tcW w:type="dxa" w:w="2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CVE-2026-41297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SSRF via marketplace plugin redirect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8.2</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CVE-2026-41296</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TOCTOU sandbox escape</w:t>
            </w:r>
          </w:p>
        </w:tc>
        <w:tc>
          <w:tcPr>
            <w:tcW w:type="dxa" w:w="2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8.2</w:t>
            </w:r>
          </w:p>
        </w:tc>
      </w:tr>
    </w:tbl>
    <w:p>
      <w:pPr>
        <w:spacing w:after="80" w:before="80"/>
      </w:pPr>
    </w:p>
    <w:p>
      <w:pPr>
        <w:spacing w:after="100" w:before="60"/>
      </w:pPr>
      <w:r>
        <w:rPr>
          <w:rFonts w:ascii="Arial" w:cs="Arial" w:eastAsia="Arial" w:hAnsi="Arial"/>
          <w:color w:val="1A1A2E"/>
          <w:sz w:val="20"/>
          <w:szCs w:val="20"/>
        </w:rPr>
        <w:t xml:space="preserve">Supply-chain: ClawHavoc hit ClawHub with 341 initial malicious skills (scanners now flag 800–1,184), primary payload Atomic macOS Stealer. Cisco Talos reported 135,000+ exposed instances across 82 countries in January 2026. OpenClaw stores credentials in plaintext Markdown/JSON, directly targeted by AMOS, RedLine, Lumma, and Vidar infostealers.</w:t>
      </w:r>
    </w:p>
    <w:p>
      <w:pPr>
        <w:pStyle w:val="Heading2"/>
        <w:spacing w:after="120" w:before="360"/>
      </w:pPr>
      <w:r>
        <w:rPr>
          <w:rFonts w:ascii="Arial" w:cs="Arial" w:eastAsia="Arial" w:hAnsi="Arial"/>
          <w:b/>
          <w:bCs/>
          <w:color w:val="2E75B6"/>
          <w:sz w:val="26"/>
          <w:szCs w:val="26"/>
        </w:rPr>
        <w:t xml:space="preserve">3.2 Isolation Mechanisms — Technical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428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Isolation level</w:t>
            </w:r>
          </w:p>
        </w:tc>
        <w:tc>
          <w:tcPr>
            <w:tcW w:type="dxa" w:w="42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Pharma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WASM (Wasmtime)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 IronClaw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Memory-safe, sub-10ms cold start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SciPy/RDKit/BioPython don't compile cleanly to WASM — good for deterministic parsing, limited for real chemistry libraries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Docker + seccomp</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OpenClaw default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Shares host kernel; recurring escape CVEs (runc CVE-2019-5736)</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Baseline minimum; use seccomp allowlist + AppArmor; still inferior to microVM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Firecracker microVM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KiloClaw, e2b, Modal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Hardware-enforced separate kernel, ~125ms boot, &lt;5 MiB overhead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Pragmatic choice for multi-tenant pharma agents; no PCIe/GPU passthrough</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gVisor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Google Cloud Run, Modal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Software-defined kernel (ptrace/KVM), GPU support added via Groq partnership</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Good compromise; higher overhead than Firecracker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OpenShell (NemoClaw)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NVIDIA NemoClaw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Landlock + seccomp + netns inside Docker-in-K3s with host-side privacy router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Most architecturally interesting; still alpha; wraps OpenClaw so inherits prompt-injection surface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Process separation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IronClaw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6-step chain: WASM → allowlist → pre-exec leak scan → credential inject → execute → post-exec leak scan</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Cleanest documented execution chain in the surveyed systems</w:t>
            </w:r>
          </w:p>
        </w:tc>
      </w:tr>
    </w:tbl>
    <w:p>
      <w:pPr>
        <w:pStyle w:val="Heading2"/>
        <w:spacing w:after="120" w:before="360"/>
      </w:pPr>
      <w:r>
        <w:rPr>
          <w:rFonts w:ascii="Arial" w:cs="Arial" w:eastAsia="Arial" w:hAnsi="Arial"/>
          <w:b/>
          <w:bCs/>
          <w:color w:val="2E75B6"/>
          <w:sz w:val="26"/>
          <w:szCs w:val="26"/>
        </w:rPr>
        <w:t xml:space="preserve">3.3 Credential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920"/>
      </w:tblGrid>
      <w:tr>
        <w:trPr>
          <w:tblHeader/>
        </w:trP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4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Credential storage</w:t>
            </w:r>
          </w:p>
        </w:tc>
        <w:tc>
          <w:tcPr>
            <w:tcW w:type="dxa" w:w="39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OpenClaw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Plaintext Markdown/JSON under ~/.openclaw/</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CRITICAL — directly targeted by commodity infostealers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Nanobot (HKUDS)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Plaintext ~/.nanobot/config.json</w:t>
            </w:r>
          </w:p>
        </w:tc>
        <w:tc>
          <w:tcPr>
            <w:tcW w:type="dxa" w:w="3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 — same fundamental issue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AES-256-GCM vault + Rust zeroize + Ed25519 signing</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 — no independent audit; zeroize alone does not defend against page swap without mlock/madvise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IronClaw</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Credential injector in execution chain; no plaintext storage</w:t>
            </w:r>
          </w:p>
        </w:tc>
        <w:tc>
          <w:tcPr>
            <w:tcW w:type="dxa" w:w="3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LOW-MEDIUM — best documented open-source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NemoClaw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Keys stay on host side of privacy router; never enter sandbox</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 for key exposure; OpenClaw prompt-injection still applies underneath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Adopt AI</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SOC 2 Type II; on-prem Helm deployment available</w:t>
            </w:r>
          </w:p>
        </w:tc>
        <w:tc>
          <w:tcPr>
            <w:tcW w:type="dxa" w:w="3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LOWEST — only enterprise-audited option</w:t>
            </w:r>
          </w:p>
        </w:tc>
      </w:tr>
    </w:tbl>
    <w:p>
      <w:pPr>
        <w:spacing w:after="80" w:before="80"/>
      </w:pPr>
    </w:p>
    <w:p>
      <w:pPr>
        <w:spacing w:after="100" w:before="60"/>
      </w:pPr>
      <w:r>
        <w:rPr>
          <w:rFonts w:ascii="Arial" w:cs="Arial" w:eastAsia="Arial" w:hAnsi="Arial"/>
          <w:color w:val="1A1A2E"/>
          <w:sz w:val="20"/>
          <w:szCs w:val="20"/>
        </w:rPr>
        <w:t xml:space="preserve">None of the surveyed open-source frameworks natively integrate with enterprise HSMs (Luna, nShield, CloudHSM). The recommended pattern for pharma is a HashiCorp Vault Transit secret broker: Vault injects dynamic short-lived secrets as environment variables at process start, combined with mlock + madvise(MADV_DONTDUMP) on the agent process to prevent swap and core-dump credential leakage.</w:t>
      </w:r>
    </w:p>
    <w:p>
      <w:pPr>
        <w:pStyle w:val="Heading2"/>
        <w:spacing w:after="120" w:before="360"/>
      </w:pPr>
      <w:r>
        <w:rPr>
          <w:rFonts w:ascii="Arial" w:cs="Arial" w:eastAsia="Arial" w:hAnsi="Arial"/>
          <w:b/>
          <w:bCs/>
          <w:color w:val="2E75B6"/>
          <w:sz w:val="26"/>
          <w:szCs w:val="26"/>
        </w:rPr>
        <w:t xml:space="preserve">3.4 Prompt Injection — The Unsolved Problem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CRITICAL</w:t>
            </w:r>
          </w:p>
        </w:tc>
        <w:tc>
          <w:tcPr>
            <w:tcW w:type="dxa" w:w="9880"/>
            <w:tcBorders>
              <w:top w:val="none" w:color="FFFFFF" w:sz="0"/>
              <w:left w:val="single" w:color="C55A11"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The consensus position of Simon Willison, Anthropic, Google DeepMind (CaMeL), Palo Alto Unit 42, and the OWASP Top 10 for Agentic Applications 2026 is blunt: detection-based scanners fail under adaptive attack. The only durable mitigations are capability-based information-flow controls and the dual-LLM pattern.</w:t>
            </w:r>
          </w:p>
        </w:tc>
      </w:tr>
    </w:tbl>
    <w:p>
      <w:pPr>
        <w:spacing w:after="80" w:before="80"/>
      </w:pPr>
    </w:p>
    <w:p>
      <w:pPr>
        <w:spacing w:after="100" w:before="60"/>
      </w:pPr>
      <w:r>
        <w:rPr>
          <w:rFonts w:ascii="Arial" w:cs="Arial" w:eastAsia="Arial" w:hAnsi="Arial"/>
          <w:b/>
          <w:bCs/>
          <w:color w:val="1A1A2E"/>
          <w:sz w:val="20"/>
          <w:szCs w:val="20"/>
        </w:rPr>
        <w:t xml:space="preserve">Willison's Lethal Trifecta</w:t>
      </w:r>
    </w:p>
    <w:p>
      <w:pPr>
        <w:spacing w:after="100" w:before="60"/>
      </w:pPr>
      <w:r>
        <w:rPr>
          <w:rFonts w:ascii="Arial" w:cs="Arial" w:eastAsia="Arial" w:hAnsi="Arial"/>
          <w:color w:val="1A1A2E"/>
          <w:sz w:val="20"/>
          <w:szCs w:val="20"/>
        </w:rPr>
        <w:t xml:space="preserve">If an agent simultaneously has (1) private data access, (2) exposure to untrusted content (instrument outputs, ELN data, literature), and (3) external communication capability — prompt injection is a question of when, not if.</w:t>
      </w:r>
    </w:p>
    <w:p>
      <w:pPr>
        <w:spacing w:after="80" w:before="80"/>
      </w:pPr>
    </w:p>
    <w:p>
      <w:pPr>
        <w:spacing w:after="100" w:before="60"/>
      </w:pPr>
      <w:r>
        <w:rPr>
          <w:rFonts w:ascii="Arial" w:cs="Arial" w:eastAsia="Arial" w:hAnsi="Arial"/>
          <w:b/>
          <w:bCs/>
          <w:color w:val="1A1A2E"/>
          <w:sz w:val="20"/>
          <w:szCs w:val="20"/>
        </w:rPr>
        <w:t xml:space="preserve">Durable Mitigations</w:t>
      </w:r>
    </w:p>
    <w:p>
      <w:pPr>
        <w:pStyle w:val="ListParagraph"/>
        <w:numPr>
          <w:ilvl w:val="0"/>
          <w:numId w:val="2"/>
        </w:numPr>
        <w:spacing w:after="40" w:before="40"/>
      </w:pPr>
      <w:r>
        <w:rPr>
          <w:rFonts w:ascii="Arial" w:cs="Arial" w:eastAsia="Arial" w:hAnsi="Arial"/>
          <w:color w:val="1A1A2E"/>
          <w:sz w:val="20"/>
          <w:szCs w:val="20"/>
        </w:rPr>
        <w:t xml:space="preserve">Dual-LLM pattern: Q-LLM sees untrusted data and emits structured values; P-LLM has tool access but sees only validated data — the most architecturally robust available today</w:t>
      </w:r>
    </w:p>
    <w:p>
      <w:pPr>
        <w:pStyle w:val="ListParagraph"/>
        <w:numPr>
          <w:ilvl w:val="0"/>
          <w:numId w:val="2"/>
        </w:numPr>
        <w:spacing w:after="40" w:before="40"/>
      </w:pPr>
      <w:r>
        <w:rPr>
          <w:rFonts w:ascii="Arial" w:cs="Arial" w:eastAsia="Arial" w:hAnsi="Arial"/>
          <w:color w:val="1A1A2E"/>
          <w:sz w:val="20"/>
          <w:szCs w:val="20"/>
        </w:rPr>
        <w:t xml:space="preserve">CaMeL (Google DeepMind): value-provenance tagging; marks every data item with its origin; prevents tainted data from reaching privileged tools</w:t>
      </w:r>
    </w:p>
    <w:p>
      <w:pPr>
        <w:pStyle w:val="ListParagraph"/>
        <w:numPr>
          <w:ilvl w:val="0"/>
          <w:numId w:val="2"/>
        </w:numPr>
        <w:spacing w:after="40" w:before="40"/>
      </w:pPr>
      <w:r>
        <w:rPr>
          <w:rFonts w:ascii="Arial" w:cs="Arial" w:eastAsia="Arial" w:hAnsi="Arial"/>
          <w:color w:val="1A1A2E"/>
          <w:sz w:val="20"/>
          <w:szCs w:val="20"/>
        </w:rPr>
        <w:t xml:space="preserve">Capability-based information-flow controls: agents are granted only the capabilities needed for each task; tool access is not ambient</w:t>
      </w:r>
    </w:p>
    <w:p>
      <w:pPr>
        <w:pStyle w:val="ListParagraph"/>
        <w:numPr>
          <w:ilvl w:val="0"/>
          <w:numId w:val="2"/>
        </w:numPr>
        <w:spacing w:after="40" w:before="40"/>
      </w:pPr>
      <w:r>
        <w:rPr>
          <w:rFonts w:ascii="Arial" w:cs="Arial" w:eastAsia="Arial" w:hAnsi="Arial"/>
          <w:color w:val="1A1A2E"/>
          <w:sz w:val="20"/>
          <w:szCs w:val="20"/>
        </w:rPr>
        <w:t xml:space="preserve">Dual-process architecture: reasoning process (no credentials, sees untrusted data) communicates via schema-validated Unix socket to credential-holding execution process</w:t>
      </w:r>
    </w:p>
    <w:p>
      <w:pPr>
        <w:spacing w:after="80" w:before="80"/>
      </w:pPr>
    </w:p>
    <w:p>
      <w:pPr>
        <w:spacing w:after="100" w:before="60"/>
      </w:pPr>
      <w:r>
        <w:rPr>
          <w:rFonts w:ascii="Arial" w:cs="Arial" w:eastAsia="Arial" w:hAnsi="Arial"/>
          <w:color w:val="1A1A2E"/>
          <w:sz w:val="20"/>
          <w:szCs w:val="20"/>
        </w:rPr>
        <w:t xml:space="preserve">OpenClaw has an open RFC (issue #39160) to implement CaMeL — not merged. OpenFang's prompt injection scanner is content-based and should be read as defense-in-depth, not primary control. For pharma instrument-connected deployments, the dual-process architecture is the recommended minimum.</w:t>
      </w:r>
    </w:p>
    <w:p>
      <w:pPr>
        <w:pStyle w:val="Heading2"/>
        <w:spacing w:after="120" w:before="360"/>
      </w:pPr>
      <w:r>
        <w:rPr>
          <w:rFonts w:ascii="Arial" w:cs="Arial" w:eastAsia="Arial" w:hAnsi="Arial"/>
          <w:b/>
          <w:bCs/>
          <w:color w:val="2E75B6"/>
          <w:sz w:val="26"/>
          <w:szCs w:val="26"/>
        </w:rPr>
        <w:t xml:space="preserve">3.5 Attack Surface by Language Runtime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252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Runtime</w:t>
            </w:r>
          </w:p>
        </w:tc>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Codebase size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Key supply-chain risks</w:t>
            </w:r>
          </w:p>
        </w:tc>
        <w:tc>
          <w:tcPr>
            <w:tcW w:type="dxa" w:w="252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Auditability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Node.js (OpenClaw)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~434K LOC + thousands of transitive npm deps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March 2026 axios npm compromise (IronPlate RAT); npm typosquatting endemic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Months to audit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Rust (OpenFang, IronClaw)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~137K LOC (OpenFang); static linking; memory-safe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crates.io supply chain; developer discipline on unsafe blocks</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Weeks to audit crates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Python (Hermes, Nanobot 4K)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4K–50K LOC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pickle, pip install; requirements.txt lock essential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Nanobot: 1 day. Hermes: ~1 week</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Go (PicoClaw)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Moderate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go.sum lock file; standard Go supply chain</w:t>
            </w:r>
          </w:p>
        </w:tc>
        <w:tc>
          <w:tcPr>
            <w:tcW w:type="dxa" w:w="25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1–2 weeks</w:t>
            </w:r>
          </w:p>
        </w:tc>
      </w:tr>
    </w:tbl>
    <w:p>
      <w:r>
        <w:br w:type="page"/>
      </w:r>
    </w:p>
    <w:p>
      <w:pPr>
        <w:pStyle w:val="Heading1"/>
        <w:spacing w:after="160" w:before="480"/>
      </w:pPr>
      <w:r>
        <w:rPr>
          <w:rFonts w:ascii="Arial" w:cs="Arial" w:eastAsia="Arial" w:hAnsi="Arial"/>
          <w:b/>
          <w:bCs/>
          <w:color w:val="1F3864"/>
          <w:sz w:val="32"/>
          <w:szCs w:val="32"/>
        </w:rPr>
        <w:t xml:space="preserve">4. Hermes Agent vs IronClaw vs NemoClaw — Security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BOTTOM LINE</w:t>
            </w:r>
          </w:p>
        </w:tc>
        <w:tc>
          <w:tcPr>
            <w:tcW w:type="dxa" w:w="9880"/>
            <w:tcBorders>
              <w:top w:val="none" w:color="FFFFFF" w:sz="0"/>
              <w:left w:val="single" w:color="2E75B6"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Hermes Agent is not comparable to IronClaw or NemoClaw on security. It is in a different class. However, IronClaw/NemoClaw-grade security controls can be applied around Hermes through OS-level isolation — and this combination gives the best of both architectures for pharma.</w:t>
            </w:r>
          </w:p>
        </w:tc>
      </w:tr>
    </w:tbl>
    <w:p>
      <w:pPr>
        <w:pStyle w:val="Heading2"/>
        <w:spacing w:after="120" w:before="360"/>
      </w:pPr>
      <w:r>
        <w:rPr>
          <w:rFonts w:ascii="Arial" w:cs="Arial" w:eastAsia="Arial" w:hAnsi="Arial"/>
          <w:b/>
          <w:bCs/>
          <w:color w:val="2E75B6"/>
          <w:sz w:val="26"/>
          <w:szCs w:val="26"/>
        </w:rPr>
        <w:t xml:space="preserve">4.1 Hermes Security Posture (Baseline)</w:t>
      </w:r>
    </w:p>
    <w:p>
      <w:pPr>
        <w:spacing w:after="100" w:before="60"/>
      </w:pPr>
      <w:r>
        <w:rPr>
          <w:rFonts w:ascii="Arial" w:cs="Arial" w:eastAsia="Arial" w:hAnsi="Arial"/>
          <w:color w:val="1A1A2E"/>
          <w:sz w:val="20"/>
          <w:szCs w:val="20"/>
        </w:rPr>
        <w:t xml:space="preserve">Hermes Agent is a Python runtime with skills stored as Markdown files on disk and credentials in config files. There is no documented WASM sandboxing, no credential vault, no audit trail mechanism, and no process isolation. It runs as a standard Python process with whatever filesystem and network access the OS user has. By the lethal-trifecta standard — private data + untrusted content + external communication — an uncontained Hermes deployment has the same structural exposure as OpenClaw.</w:t>
      </w:r>
    </w:p>
    <w:p>
      <w:pPr>
        <w:spacing w:after="100" w:before="60"/>
      </w:pPr>
      <w:r>
        <w:rPr>
          <w:rFonts w:ascii="Arial" w:cs="Arial" w:eastAsia="Arial" w:hAnsi="Arial"/>
          <w:color w:val="1A1A2E"/>
          <w:sz w:val="20"/>
          <w:szCs w:val="20"/>
        </w:rPr>
        <w:t xml:space="preserve">Hermes's security story is: trust the operator to run it safely. It is an excellent agent runtime with a dangerous default posture.</w:t>
      </w:r>
    </w:p>
    <w:p>
      <w:pPr>
        <w:pStyle w:val="Heading2"/>
        <w:spacing w:after="120" w:before="360"/>
      </w:pPr>
      <w:r>
        <w:rPr>
          <w:rFonts w:ascii="Arial" w:cs="Arial" w:eastAsia="Arial" w:hAnsi="Arial"/>
          <w:b/>
          <w:bCs/>
          <w:color w:val="2E75B6"/>
          <w:sz w:val="26"/>
          <w:szCs w:val="26"/>
        </w:rPr>
        <w:t xml:space="preserve">4.2 IronClaw vs Hermes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Hermes Agent</w:t>
            </w:r>
          </w:p>
        </w:tc>
        <w:tc>
          <w:tcPr>
            <w:tcW w:type="dxa" w:w="36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IronClaw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Language runtime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Python (standard process model)</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Rust (static binary, memory-safe)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Credential storage</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Config files, plaintext</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AES-encrypted vault; credential injected only at execution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Sandbox</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None native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6-step chain: WASM → allowlist → pre-exec leak scan → inject → execute → post-exec leak scan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Prompt injection defence</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None native</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WASM boundary limits blast radius; allowlist restricts tool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Audit trail</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None native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PostgreSQL + pgvector; all actions logged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Self-improvement</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Yes — trajectory-based SKILL.md synthesis + Atropos RL export</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Chemistry tool ecosystem</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Skills Hub + MCP + Atropos RL loop</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MCP + pgvector tools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Maturity</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23k stars, active Nous Research backing</w:t>
            </w:r>
          </w:p>
        </w:tc>
        <w:tc>
          <w:tcPr>
            <w:tcW w:type="dxa" w:w="3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 source, NEAR AI backing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Interoperability</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Can import OpenClaw skills via hermes claw migrate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OpenClaw-compatible channel plugins</w:t>
            </w:r>
          </w:p>
        </w:tc>
      </w:tr>
    </w:tbl>
    <w:p>
      <w:pPr>
        <w:spacing w:after="80" w:before="80"/>
      </w:pPr>
    </w:p>
    <w:p>
      <w:pPr>
        <w:spacing w:after="100" w:before="60"/>
      </w:pPr>
      <w:r>
        <w:rPr>
          <w:rFonts w:ascii="Arial" w:cs="Arial" w:eastAsia="Arial" w:hAnsi="Arial"/>
          <w:color w:val="1A1A2E"/>
          <w:sz w:val="20"/>
          <w:szCs w:val="20"/>
        </w:rPr>
        <w:t xml:space="preserve">IronClaw is a replacement runtime, not a wrapper. You cannot add IronClaw security to Hermes; you would switch runtimes and lose trajectory-based learning entirely.</w:t>
      </w:r>
    </w:p>
    <w:p>
      <w:pPr>
        <w:pStyle w:val="Heading2"/>
        <w:spacing w:after="120" w:before="360"/>
      </w:pPr>
      <w:r>
        <w:rPr>
          <w:rFonts w:ascii="Arial" w:cs="Arial" w:eastAsia="Arial" w:hAnsi="Arial"/>
          <w:b/>
          <w:bCs/>
          <w:color w:val="2E75B6"/>
          <w:sz w:val="26"/>
          <w:szCs w:val="26"/>
        </w:rPr>
        <w:t xml:space="preserve">4.3 NemoClaw vs Hermes</w:t>
      </w:r>
    </w:p>
    <w:p>
      <w:pPr>
        <w:spacing w:after="100" w:before="60"/>
      </w:pPr>
      <w:r>
        <w:rPr>
          <w:rFonts w:ascii="Arial" w:cs="Arial" w:eastAsia="Arial" w:hAnsi="Arial"/>
          <w:color w:val="1A1A2E"/>
          <w:sz w:val="20"/>
          <w:szCs w:val="20"/>
        </w:rPr>
        <w:t xml:space="preserve">NemoClaw wraps OpenClaw specifically using NVIDIA's OpenShell runtime. It is architecturally coupled to OpenClaw's Node.js process model. You cannot drop Hermes inside NemoClaw as shipped — the TypeScript plugin and Python blueprint target OpenClaw's process lifecycle. NemoClaw also remains alpha and carries OpenClaw's prompt-injection attack surface underneath. Its value is the credential isolation architecture (privacy router keeps keys on the host side) and the NVIDIA Nemotron inference stack — both of which can be replicated around Hermes without adopting OpenClaw.</w:t>
      </w:r>
    </w:p>
    <w:p>
      <w:pPr>
        <w:pStyle w:val="Heading2"/>
        <w:spacing w:after="120" w:before="360"/>
      </w:pPr>
      <w:r>
        <w:rPr>
          <w:rFonts w:ascii="Arial" w:cs="Arial" w:eastAsia="Arial" w:hAnsi="Arial"/>
          <w:b/>
          <w:bCs/>
          <w:color w:val="2E75B6"/>
          <w:sz w:val="26"/>
          <w:szCs w:val="26"/>
        </w:rPr>
        <w:t xml:space="preserve">4.4 Building IronClaw/NemoClaw-Grade Security Around Hermes</w:t>
      </w:r>
    </w:p>
    <w:p>
      <w:pPr>
        <w:spacing w:after="100" w:before="60"/>
      </w:pPr>
      <w:r>
        <w:rPr>
          <w:rFonts w:ascii="Arial" w:cs="Arial" w:eastAsia="Arial" w:hAnsi="Arial"/>
          <w:color w:val="1A1A2E"/>
          <w:sz w:val="20"/>
          <w:szCs w:val="20"/>
        </w:rPr>
        <w:t xml:space="preserve">The security primitives are OS-level, not agent-level. They apply to any process.</w:t>
      </w:r>
    </w:p>
    <w:p>
      <w:pPr>
        <w:spacing w:after="80" w:before="80"/>
      </w:pPr>
    </w:p>
    <w:p>
      <w:pPr>
        <w:spacing w:after="100" w:before="60"/>
      </w:pPr>
      <w:r>
        <w:rPr>
          <w:rFonts w:ascii="Arial" w:cs="Arial" w:eastAsia="Arial" w:hAnsi="Arial"/>
          <w:b/>
          <w:bCs/>
          <w:color w:val="1A1A2E"/>
          <w:sz w:val="20"/>
          <w:szCs w:val="20"/>
        </w:rPr>
        <w:t xml:space="preserve">Option 1 — OpenShell-Style Linux Hardening</w:t>
      </w:r>
    </w:p>
    <w:p>
      <w:pPr>
        <w:spacing w:after="100" w:before="60"/>
      </w:pPr>
      <w:r>
        <w:rPr>
          <w:rFonts w:ascii="Arial" w:cs="Arial" w:eastAsia="Arial" w:hAnsi="Arial"/>
          <w:color w:val="1A1A2E"/>
          <w:sz w:val="20"/>
          <w:szCs w:val="20"/>
        </w:rPr>
        <w:t xml:space="preserve">Apply Landlock (filesystem access control without root, kernel 5.13+), seccomp-bpf (syscall allowlist), and a dedicated network namespace directly to the Hermes Python process via a systemd unit or Docker seccomp profile. This replicates the core of NemoClaw's OpenShell without NVIDIA hardware dependency.</w:t>
      </w:r>
    </w:p>
    <w:p>
      <w:pPr>
        <w:spacing w:after="80" w:before="80"/>
      </w:pPr>
    </w:p>
    <w:p>
      <w:pPr>
        <w:spacing w:after="100" w:before="60"/>
      </w:pPr>
      <w:r>
        <w:rPr>
          <w:rFonts w:ascii="Arial" w:cs="Arial" w:eastAsia="Arial" w:hAnsi="Arial"/>
          <w:b/>
          <w:bCs/>
          <w:color w:val="1A1A2E"/>
          <w:sz w:val="20"/>
          <w:szCs w:val="20"/>
        </w:rPr>
        <w:t xml:space="preserve">Option 2 — Firecracker microVM Envelope</w:t>
      </w:r>
    </w:p>
    <w:p>
      <w:pPr>
        <w:spacing w:after="100" w:before="60"/>
      </w:pPr>
      <w:r>
        <w:rPr>
          <w:rFonts w:ascii="Arial" w:cs="Arial" w:eastAsia="Arial" w:hAnsi="Arial"/>
          <w:color w:val="1A1A2E"/>
          <w:sz w:val="20"/>
          <w:szCs w:val="20"/>
        </w:rPr>
        <w:t xml:space="preserve">Run the Hermes Python process inside a Firecracker VM (hardware-enforced separate kernel, ~125 ms boot, &lt;5 MiB overhead). The agent communicates out via a constrained virtio network interface with explicit egress rules. This gives stronger isolation than Docker seccomp because the kernel itself is isolated — the approach used by e2b and Modal for production Python sandbox execution.</w:t>
      </w:r>
    </w:p>
    <w:p>
      <w:pPr>
        <w:spacing w:after="80" w:before="80"/>
      </w:pPr>
    </w:p>
    <w:p>
      <w:pPr>
        <w:spacing w:after="100" w:before="60"/>
      </w:pPr>
      <w:r>
        <w:rPr>
          <w:rFonts w:ascii="Arial" w:cs="Arial" w:eastAsia="Arial" w:hAnsi="Arial"/>
          <w:b/>
          <w:bCs/>
          <w:color w:val="1A1A2E"/>
          <w:sz w:val="20"/>
          <w:szCs w:val="20"/>
        </w:rPr>
        <w:t xml:space="preserve">Option 3 — External Credential Broker</w:t>
      </w:r>
    </w:p>
    <w:p>
      <w:pPr>
        <w:spacing w:after="100" w:before="60"/>
      </w:pPr>
      <w:r>
        <w:rPr>
          <w:rFonts w:ascii="Arial" w:cs="Arial" w:eastAsia="Arial" w:hAnsi="Arial"/>
          <w:color w:val="1A1A2E"/>
          <w:sz w:val="20"/>
          <w:szCs w:val="20"/>
        </w:rPr>
        <w:t xml:space="preserve">HashiCorp Vault Transit with dynamic short-lived secrets injected as environment variables at process start, combined with mlock + madvise(MADV_DONTDUMP) on the Python process to prevent swap and core-dump leakage. This directly addresses the gap that Hermes shares with OpenClaw.</w:t>
      </w:r>
    </w:p>
    <w:p>
      <w:pPr>
        <w:spacing w:after="80" w:before="80"/>
      </w:pPr>
    </w:p>
    <w:p>
      <w:pPr>
        <w:spacing w:after="100" w:before="60"/>
      </w:pPr>
      <w:r>
        <w:rPr>
          <w:rFonts w:ascii="Arial" w:cs="Arial" w:eastAsia="Arial" w:hAnsi="Arial"/>
          <w:b/>
          <w:bCs/>
          <w:color w:val="1A1A2E"/>
          <w:sz w:val="20"/>
          <w:szCs w:val="20"/>
        </w:rPr>
        <w:t xml:space="preserve">Option 4 — Dual-Process Architecture (Closest to IronClaw)</w:t>
      </w:r>
    </w:p>
    <w:p>
      <w:pPr>
        <w:spacing w:after="100" w:before="60"/>
      </w:pPr>
      <w:r>
        <w:rPr>
          <w:rFonts w:ascii="Arial" w:cs="Arial" w:eastAsia="Arial" w:hAnsi="Arial"/>
          <w:color w:val="1A1A2E"/>
          <w:sz w:val="20"/>
          <w:szCs w:val="20"/>
        </w:rPr>
        <w:t xml:space="preserve">Split Hermes into two processes: (1) Reasoning process — sees untrusted data (lab instrument outputs, ELN entries, literature), no credentials, no direct network; (2) Credential-holding broker process (Rust or Go, minimal code) — validates proposal schema, fetches secrets from Vault Transit, executes API calls. Communication via Unix socket with schema-validated message format. This is the CaMeL/dual-LLM pattern applied at the process boundary. The Hermes process never touches credentials; prompt injection in instrument data cannot reach the tool-execution layer.</w:t>
      </w:r>
    </w:p>
    <w:p>
      <w:pPr>
        <w:pStyle w:val="Heading2"/>
        <w:spacing w:after="120" w:before="360"/>
      </w:pPr>
      <w:r>
        <w:rPr>
          <w:rFonts w:ascii="Arial" w:cs="Arial" w:eastAsia="Arial" w:hAnsi="Arial"/>
          <w:b/>
          <w:bCs/>
          <w:color w:val="2E75B6"/>
          <w:sz w:val="26"/>
          <w:szCs w:val="26"/>
        </w:rPr>
        <w:t xml:space="preserve">4.5 Recommended Architecture: Hermes + Isolation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8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4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Isolation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Firecracker microVM</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Hardware-enforced kernel separation; Hermes runs inside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Agent runtime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Hermes Agent (Python)</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Trajectory-based learning; skill accumulation; no credentials; no direct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 input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Anonymised ELN exports, instrument file drops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Hermes sees only de-sensitised or schema-validated inputs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Communication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Unix socket + schema validator</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Schema-validated structured proposals only; no raw text passes to broker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Credential broker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Rust/Go minimal process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Validates proposals; fetches secrets from Vault Transit; executes LIMS/Benchling/MCP tool calls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Secret management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HashiCorp Vault Transit + mlock</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Dynamic short-lived secrets; prevents swap/coredump leakage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External transparency log (Rekor-style)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Per-action records signed by HSM-resident Ed25519 keys; independent witness quorum</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Skill persistence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~/.hermes/skills/ inside VM</w:t>
            </w:r>
          </w:p>
        </w:tc>
        <w:tc>
          <w:tcPr>
            <w:tcW w:type="dxa" w:w="5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Skills accumulate trajectory knowledge; survives VM restarts</w:t>
            </w:r>
          </w:p>
        </w:tc>
      </w:tr>
    </w:tbl>
    <w:p>
      <w:pPr>
        <w:spacing w:after="80" w:before="80"/>
      </w:pPr>
    </w:p>
    <w:p>
      <w:pPr>
        <w:spacing w:after="100" w:before="60"/>
      </w:pPr>
      <w:r>
        <w:rPr>
          <w:rFonts w:ascii="Arial" w:cs="Arial" w:eastAsia="Arial" w:hAnsi="Arial"/>
          <w:color w:val="1A1A2E"/>
          <w:sz w:val="20"/>
          <w:szCs w:val="20"/>
        </w:rPr>
        <w:t xml:space="preserve">Engineering investment: approximately 2 weeks for initial deployment. Hermes's institutional-memory compounding is ongoing value. The tradeoff is: IronClaw gives you isolation built-in but sacrifices self-improvement. Hermes gives you self-improvement but requires you to build the isolation envelope yourself. For Big Pharma with engineering resources, the combination is the right answer.</w:t>
      </w:r>
    </w:p>
    <w:p>
      <w:r>
        <w:br w:type="page"/>
      </w:r>
    </w:p>
    <w:p>
      <w:pPr>
        <w:pStyle w:val="Heading1"/>
        <w:spacing w:after="160" w:before="480"/>
      </w:pPr>
      <w:r>
        <w:rPr>
          <w:rFonts w:ascii="Arial" w:cs="Arial" w:eastAsia="Arial" w:hAnsi="Arial"/>
          <w:b/>
          <w:bCs/>
          <w:color w:val="1F3864"/>
          <w:sz w:val="32"/>
          <w:szCs w:val="32"/>
        </w:rPr>
        <w:t xml:space="preserve">5. CD/AD Business Cases</w:t>
      </w:r>
    </w:p>
    <w:p>
      <w:pPr>
        <w:spacing w:after="100" w:before="60"/>
      </w:pPr>
      <w:r>
        <w:rPr>
          <w:rFonts w:ascii="Arial" w:cs="Arial" w:eastAsia="Arial" w:hAnsi="Arial"/>
          <w:color w:val="1A1A2E"/>
          <w:sz w:val="20"/>
          <w:szCs w:val="20"/>
        </w:rPr>
        <w:t xml:space="preserve">The following business cases are scoped to Chemical Development and Analytical Development within CMC, covering Phase I through commercial tech transfer. Each case quantifies current-state effort, agent-enabled state, GxP sensitivity, and recommended implementation.</w:t>
      </w:r>
    </w:p>
    <w:p>
      <w:pPr>
        <w:spacing w:after="80" w:before="80"/>
      </w:pPr>
    </w:p>
    <w:p>
      <w:pPr>
        <w:pStyle w:val="Heading2"/>
        <w:spacing w:after="120" w:before="360"/>
      </w:pPr>
      <w:r>
        <w:rPr>
          <w:rFonts w:ascii="Arial" w:cs="Arial" w:eastAsia="Arial" w:hAnsi="Arial"/>
          <w:b/>
          <w:bCs/>
          <w:color w:val="2E75B6"/>
          <w:sz w:val="26"/>
          <w:szCs w:val="26"/>
        </w:rPr>
        <w:t xml:space="preserve">BC-01: Autonomous Process Literature Scout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Before any new development project begins, a process chemist typically spends 2–5 days manually searching literature (SciFinder, Reaxys, patents) for precedent routes, known process issues, and published optimization data for the target molecule class.</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Triggered by compound registration or project kick-off event. Autonomously queries PubMed, Reaxys API, Espacenet, CAS SciFinder (via API token), and internal ELN for all relevant synthetic precedent, process patents within FTO scope, reported impurities, and known scale-up issues. Produces a structured "process intelligence dossier" delivered to the project team within 2 hours.</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OpenFang (Researcher Hand + custom chemistry MCP tools), Hermes Agent, Manus (if data is non-sensitive)</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 to first process dossier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 hours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FTE per project (literature phase)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1.5–2 FTE-days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0.25 FTE-days (review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Sources searched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8–12 consistently</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Projects/year FTE recovery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10–15 FTE-days</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Low — informational output, no direct regulatory consequence</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Hallucinated citations. Mitigation: all cited papers must include DOI; human chemist review required before any route decision.</w:t>
      </w:r>
    </w:p>
    <w:p>
      <w:pPr>
        <w:spacing w:after="80" w:before="80"/>
      </w:pPr>
    </w:p>
    <w:p>
      <w:pPr>
        <w:pStyle w:val="Heading2"/>
        <w:spacing w:after="120" w:before="360"/>
      </w:pPr>
      <w:r>
        <w:rPr>
          <w:rFonts w:ascii="Arial" w:cs="Arial" w:eastAsia="Arial" w:hAnsi="Arial"/>
          <w:b/>
          <w:bCs/>
          <w:color w:val="2E75B6"/>
          <w:sz w:val="26"/>
          <w:szCs w:val="26"/>
        </w:rPr>
        <w:t xml:space="preserve">BC-02: Closed-Loop Process Optimization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Process chemists typically run 3–5 DoE cycles to optimize a reaction step. With analytical queues and manual data processing, one cycle can take 3–7 days. A full optimization campaign takes 4–16 weeks.</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Given a defined reaction and parameter space, the agent autonomously: selects next experiment using Bayesian optimization (BoFire/BoTorch); submits run to automated synthesis platform (Chemspeed, Vapourtec) or drafts the run card; retrieves and parses analytical results; updates the surrogate model; proposes next experiment. Repeats until convergence criterion met or budget exhausted.</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Custom OpenFang or Hermes Agent runtime with BoFire + synthesis platform API; ChemCopilot; Albert Invent</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Optimization campaign duration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4–16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1–4 weeks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Experiments per campaign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20–40 (batch)</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12–20 (BO-guided)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FTE per optimization campaign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3–6 FTE-weeks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0.5–1 FTE-weeks (supervision)</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Campaigns per year (1 chemist)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3–5</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10–15</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Medium — process parameters feed into the registered process; agent-generated data requires full traceability in the development report.</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Every BO iteration must be logged with input parameters, predicted outcome, actual outcome, and model update.</w:t>
      </w:r>
    </w:p>
    <w:p>
      <w:pPr>
        <w:spacing w:after="80" w:before="80"/>
      </w:pPr>
    </w:p>
    <w:p>
      <w:pPr>
        <w:pStyle w:val="Heading2"/>
        <w:spacing w:after="120" w:before="360"/>
      </w:pPr>
      <w:r>
        <w:rPr>
          <w:rFonts w:ascii="Arial" w:cs="Arial" w:eastAsia="Arial" w:hAnsi="Arial"/>
          <w:b/>
          <w:bCs/>
          <w:color w:val="2E75B6"/>
          <w:sz w:val="26"/>
          <w:szCs w:val="26"/>
        </w:rPr>
        <w:t xml:space="preserve">BC-03: Autonomous Chromatographic Method Development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HPLC method development for a new API with multiple impurities can take 4–12 weeks of analytical chemist time for stationary phase screening, mobile phase optimization, and gradient development.</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Given target molecule SMILES and impurity list: retrieves physicochemical properties (logP, pKa); queries internal method database for precedent; selects initial conditions using structure-based heuristics; submits automated screening runs to HPLC system via Empower Web API or OpenLab CDS; parses chromatogram data (resolution, tailing, plates); scores conditions; applies optimization algorithm; continues until resolution criteria met.</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Custom OpenFang + CDS API (Waters Empower Web API/Agilent OpenLab) + OptiHPLCHandler; ACD/Method Selection Suite; Molnár-Institute DryLab</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Method development timeline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4–12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1–3 weeks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Analyst FTE (method dev phase)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4–10 FTE-weeks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0.5–1 FTE-weeks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Methods transferred Right First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~65–75%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Projected 80–90% (better-characterised design space)</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Annual cost per method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€15k–€40k</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€5k–€12k</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High — developed method enters validation and release testing. Method development history must be documented per ICH Q2.</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Design space not adequately explored leads to method validation failure. Mitigation: require minimum n experiments before declaring convergence; robustness testing built in.</w:t>
      </w:r>
    </w:p>
    <w:p>
      <w:pPr>
        <w:spacing w:after="80" w:before="80"/>
      </w:pPr>
    </w:p>
    <w:p>
      <w:pPr>
        <w:pStyle w:val="Heading2"/>
        <w:spacing w:after="120" w:before="360"/>
      </w:pPr>
      <w:r>
        <w:rPr>
          <w:rFonts w:ascii="Arial" w:cs="Arial" w:eastAsia="Arial" w:hAnsi="Arial"/>
          <w:b/>
          <w:bCs/>
          <w:color w:val="2E75B6"/>
          <w:sz w:val="26"/>
          <w:szCs w:val="26"/>
        </w:rPr>
        <w:t xml:space="preserve">BC-04: Autonomous Impurity Identification &amp; Characterization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For each unknown impurity peak, an analyst must correlate LC-MS fragmentation, consult synthetic route knowledge, cross-reference ICH Q3A limits, and potentially run NMR on isolated fractions. A complex impurity profile can take weeks to months.</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Triggered by new LC-MS data. Agent: identifies all peaks above reporting threshold; queries fragmentation against mzCloud/HMDB/internal library; proposes candidate structures ranked by fragmentation match + synthetic plausibility; flags ICH Q3A threshold status; drafts NMR experiment request; when NMR data available, interprets spectrum against top candidate; compiles draft impurity profile table in CTD format.</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Custom OpenFang + Thermo Compound Discoverer API + internal LC-MS library + NMRium API; SIRIUS+CSI:FingerID; MS2Query</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 to impurity profile draft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4–12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3–10 days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Analyst FTE per compound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4–10 FTE-weeks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0.5–1 FTE-weeks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Structures correctly assigned (first 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~60–70%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~75–85% (with human verification)</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ICH Q3A threshold flag accuracy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Manual, error-prone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Automated, consistent</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Very high — impurity ID supports toxicological qualification and regulatory submission. Human toxicologist review mandatory before filing.</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Incorrect threshold category. Mitigation: threshold logic must be rule-based, not LLM-generated; hard-coded ICH Q3A table.</w:t>
      </w:r>
    </w:p>
    <w:p>
      <w:pPr>
        <w:spacing w:after="80" w:before="80"/>
      </w:pPr>
    </w:p>
    <w:p>
      <w:pPr>
        <w:pStyle w:val="Heading2"/>
        <w:spacing w:after="120" w:before="360"/>
      </w:pPr>
      <w:r>
        <w:rPr>
          <w:rFonts w:ascii="Arial" w:cs="Arial" w:eastAsia="Arial" w:hAnsi="Arial"/>
          <w:b/>
          <w:bCs/>
          <w:color w:val="2E75B6"/>
          <w:sz w:val="26"/>
          <w:szCs w:val="26"/>
        </w:rPr>
        <w:t xml:space="preserve">BC-05: Autonomous Stability Data Processing &amp; Trending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Stability programs generate large volumes of HPLC, dissolution, and physical test data across multiple time points and conditions (25°C/60%RH, 40°C/75%RH, -20°C). Processing, trending, and generating ICH Q1-compliant reports is highly manual and error-prone.</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Runs on schedule (triggered by new stability time point data entry in LIMS). Agent: retrieves all stability data from LIMS; calculates degradation rates and trends; applies ICH Q1 linear and non-linear regression models for shelf life prediction; flags OOT trends or approaching specification limits; generates draft stability summary table in CTD format (3.2.P.8 or 3.2.S.7); sends alert to study owner if action required.</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OpenFang (custom Collector Hand) + LIMS API + R/Python statistical tools; IBM SPSS Stability; JMP Stability Analysis; Lindy AI with LIMS connector</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 to process new time point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Same day</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FTE per annual stability report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3–6 FTE-weeks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0.5–1 FTE-weeks (review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OOT detection lag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Days to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Hours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CTD table formatting errors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Common (manual transcription)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Near-zero (automated)</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Very high — shelf life determination is a regulatory commitment. Agent-generated proposals require qualified person review and approval.</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Incorrect model for non-linear degradation. Mitigation: require human statistician sign-off on shelf life claim.</w:t>
      </w:r>
    </w:p>
    <w:p>
      <w:pPr>
        <w:spacing w:after="80" w:before="80"/>
      </w:pPr>
    </w:p>
    <w:p>
      <w:pPr>
        <w:pStyle w:val="Heading2"/>
        <w:spacing w:after="120" w:before="360"/>
      </w:pPr>
      <w:r>
        <w:rPr>
          <w:rFonts w:ascii="Arial" w:cs="Arial" w:eastAsia="Arial" w:hAnsi="Arial"/>
          <w:b/>
          <w:bCs/>
          <w:color w:val="2E75B6"/>
          <w:sz w:val="26"/>
          <w:szCs w:val="26"/>
        </w:rPr>
        <w:t xml:space="preserve">BC-06: CMC Documentation Drafting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CMC documentation (CTD Module 3) requires 50–200+ pages of structured technical writing. Senior scientists spend 20–40% of their time on documentation. For IND submissions, CMC document preparation is frequently on the critical path.</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Triggered by project milestone. Agent: retrieves all experimental data from ELN, LIMS, and instrument repositories; maps data to CTD section template; drafts each section in ICH M4Q format using historical approved CMC documents as style templates; cross-references all data assertions against source records (with hyperlinks); flags missing data gaps; generates complete draft package with embedded tables and figures; routes to scientist for review.</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Microsoft Copilot Studio (M365 + SharePoint); custom Hermes Agent + ELN API + document template RAG; Adopt AI (compliance posture + zero-shot LIMS/ELN integration); Celegence CAPTIS; Yseop Copilot + Veeva Vault</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 to IND CMC package first draft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6–12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1–2 weeks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Senior scientist time (CMC writing)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20–40% of capacity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5–10% (review and certification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Regulatory query rate (data inconsistencies)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~15–25% of submissions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Projected reduction to &lt;10%</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FTE saved per submission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4–8 FTE-weeks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Extreme — final document requires QP signature and is a regulatory filing. Agent drafts; human authors certify.</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Data inconsistency between document and source. Mitigation: always retrieve from live LIMS with timestamp; flag data &gt;48h old as requiring refresh.</w:t>
      </w:r>
    </w:p>
    <w:p>
      <w:pPr>
        <w:spacing w:after="80" w:before="80"/>
      </w:pPr>
    </w:p>
    <w:p>
      <w:pPr>
        <w:pStyle w:val="Heading2"/>
        <w:spacing w:after="120" w:before="360"/>
      </w:pPr>
      <w:r>
        <w:rPr>
          <w:rFonts w:ascii="Arial" w:cs="Arial" w:eastAsia="Arial" w:hAnsi="Arial"/>
          <w:b/>
          <w:bCs/>
          <w:color w:val="2E75B6"/>
          <w:sz w:val="26"/>
          <w:szCs w:val="26"/>
        </w:rPr>
        <w:t xml:space="preserve">BC-07: Autonomous Method Validation Report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Writing a complete ICH Q2(R2) validation report from raw data currently takes 2–4 weeks of an analytical chemist's time.</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Triggered by completion of all validation experiments (LIMS status update). Agent retrieves all validation data from LIMS; performs required statistical calculations (RSD, recovery %, regression coefficients, Horwitz ratios); evaluates each parameter against pre-defined acceptance criteria; auto-generates the validation report with embedded tables, acceptance criteria summary, and conclusions; flags any parameter that failed; submits draft to reviewer via document management system.</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OpenFang + LIMS API + Python statistical engine (SciPy/statsmodels); Labguru; custom Adopt AI deployment</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Validation report drafting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 days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Calculation errors (manual)</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5–15% error rate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Near-zero with automated stats pipeline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Regulatory rejection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Projected reduction</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FTE saved per campaign</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2–4 FTE-weeks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Very high — validation report is a regulatory filing. Agent calculates and drafts; analyst reviews; QA approves.</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Incorrect statistical model applied. Mitigation: all acceptance criteria pre-defined in a locked criteria file; agent cannot modify criteria.</w:t>
      </w:r>
    </w:p>
    <w:p>
      <w:pPr>
        <w:spacing w:after="80" w:before="80"/>
      </w:pPr>
    </w:p>
    <w:p>
      <w:pPr>
        <w:pStyle w:val="Heading2"/>
        <w:spacing w:after="120" w:before="360"/>
      </w:pPr>
      <w:r>
        <w:rPr>
          <w:rFonts w:ascii="Arial" w:cs="Arial" w:eastAsia="Arial" w:hAnsi="Arial"/>
          <w:b/>
          <w:bCs/>
          <w:color w:val="2E75B6"/>
          <w:sz w:val="26"/>
          <w:szCs w:val="26"/>
        </w:rPr>
        <w:t xml:space="preserve">BC-08: Spectral Interpretation Agent for Structural Confirmation</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Structural characterization of API and impurities requires interpretation of 1H-NMR, 13C-NMR, 2D-NMR (COSY, HMBC, HSQC), IR, and MS spectra. For novel impurities, this is a specialist task requiring significant time from an experienced structural chemist.</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Given spectral files (NMR FIDs, LC-MS data) and candidate structure SMILES, agent: processes NMR spectra (NMRium); predicts expected NMR shifts via DFT-derived shift prediction; compares predicted vs observed shifts; calculates assignment confidence score; identifies discrepant resonances; proposes alternative structures if score is low; generates a structure confirmation report in CTD format.</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Custom OpenFang + NMRium API + ACD/NMR Predictor API + SIRIUS integration; MS2Query for mass spectra; NMRNet (SE3-Transformer) for embedding-based matching; ACD/Structure Elucidator</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 per structural confirmation (simple)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1–3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 hours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Time per structural confirmation (complex impurity)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1–4 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2–5 days (agent handles routine; escalates complex)</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Structural elucidation specialist bottleneck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Common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Reduced; specialist reviews agent outputs</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High — structural data enters the CTD. Human structural chemist review required for final assignment.</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Incorrect structural assignment for stereochemically complex impurities. Mitigation: confidence scoring; all assignments below threshold flagged for manual review.</w:t>
      </w:r>
    </w:p>
    <w:p>
      <w:pPr>
        <w:spacing w:after="80" w:before="80"/>
      </w:pPr>
    </w:p>
    <w:p>
      <w:pPr>
        <w:pStyle w:val="Heading2"/>
        <w:spacing w:after="120" w:before="360"/>
      </w:pPr>
      <w:r>
        <w:rPr>
          <w:rFonts w:ascii="Arial" w:cs="Arial" w:eastAsia="Arial" w:hAnsi="Arial"/>
          <w:b/>
          <w:bCs/>
          <w:color w:val="2E75B6"/>
          <w:sz w:val="26"/>
          <w:szCs w:val="26"/>
        </w:rPr>
        <w:t xml:space="preserve">BC-09: OOS/OOT Investigation Initiation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When an analytical result falls OOS/OOT, a Phase 1 investigation must be initiated within a defined timeframe. This is frequently delayed by analyst availability, leading to regulatory inspection findings.</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Triggered by LIMS result entry flagging OOS or OOT. Agent immediately: retrieves raw analytical data; queries instrument audit trail for anomalies (column performance, system suitability); checks sample preparation records in ELN; verifies analyst training record currency; checks environmental monitoring data for the relevant lab area; compiles all findings into a draft Phase 1 investigation report; flags probable root cause category; escalates to QA within minutes.</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OpenFang (always-on, event-triggered) + LIMS API + CDS API (Empower/OpenLab) + training management system API; Adopt AI (SOC 2/HIPAA compliance posture)</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 to Phase 1 investigation initiation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4–24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&lt;1 hour</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Phase 1 report completeness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Variable (analyst-dependent)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Consistent; all data fields populated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Regulatory inspection finding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Common observation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Reduced through systematic, timely response</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Analyst time per OOS Phase 1</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4–8 hours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0.5–1 hour (review and certification only)</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Extreme in GMP context. Phase 1 report requires analyst signature; disposition requires QP. Agent initiates; human completes and certifies.</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Agent retrieves outdated data from amended LIMS record. Mitigation: always retrieve from live LIMS with timestamp; immutable audit log of retrieval event.</w:t>
      </w:r>
    </w:p>
    <w:p>
      <w:pPr>
        <w:spacing w:after="80" w:before="80"/>
      </w:pPr>
    </w:p>
    <w:p>
      <w:pPr>
        <w:pStyle w:val="Heading2"/>
        <w:spacing w:after="120" w:before="360"/>
      </w:pPr>
      <w:r>
        <w:rPr>
          <w:rFonts w:ascii="Arial" w:cs="Arial" w:eastAsia="Arial" w:hAnsi="Arial"/>
          <w:b/>
          <w:bCs/>
          <w:color w:val="2E75B6"/>
          <w:sz w:val="26"/>
          <w:szCs w:val="26"/>
        </w:rPr>
        <w:t xml:space="preserve">BC-10: Autonomous Tech Transfer Package Agent</w:t>
      </w:r>
    </w:p>
    <w:p>
      <w:pPr>
        <w:spacing w:after="100" w:before="60"/>
      </w:pPr>
      <w:r>
        <w:rPr>
          <w:rFonts w:ascii="Arial" w:cs="Arial" w:eastAsia="Arial" w:hAnsi="Arial"/>
          <w:b/>
          <w:bCs/>
          <w:color w:val="1A1A2E"/>
          <w:sz w:val="20"/>
          <w:szCs w:val="20"/>
        </w:rPr>
        <w:t xml:space="preserve">Context</w:t>
      </w:r>
    </w:p>
    <w:p>
      <w:pPr>
        <w:spacing w:after="100" w:before="60"/>
      </w:pPr>
      <w:r>
        <w:rPr>
          <w:rFonts w:ascii="Arial" w:cs="Arial" w:eastAsia="Arial" w:hAnsi="Arial"/>
          <w:color w:val="1A1A2E"/>
          <w:sz w:val="20"/>
          <w:szCs w:val="20"/>
        </w:rPr>
        <w:t xml:space="preserve">Assembling a comprehensive tech transfer package (process description, analytical methods, reference standards, specifications, stability data, process validation history) from multiple systems is 8–16 weeks of scientist time.</w:t>
      </w:r>
    </w:p>
    <w:p>
      <w:pPr>
        <w:spacing w:after="100" w:before="60"/>
      </w:pPr>
      <w:r>
        <w:rPr>
          <w:rFonts w:ascii="Arial" w:cs="Arial" w:eastAsia="Arial" w:hAnsi="Arial"/>
          <w:b/>
          <w:bCs/>
          <w:color w:val="1A1A2E"/>
          <w:sz w:val="20"/>
          <w:szCs w:val="20"/>
        </w:rPr>
        <w:t xml:space="preserve">What the Agent Does</w:t>
      </w:r>
    </w:p>
    <w:p>
      <w:pPr>
        <w:spacing w:after="100" w:before="60"/>
      </w:pPr>
      <w:r>
        <w:rPr>
          <w:rFonts w:ascii="Arial" w:cs="Arial" w:eastAsia="Arial" w:hAnsi="Arial"/>
          <w:color w:val="1A1A2E"/>
          <w:sz w:val="20"/>
          <w:szCs w:val="20"/>
        </w:rPr>
        <w:t xml:space="preserve">Triggered by tech transfer initiation event. Agent: inventories all required documents against a standard checklist; retrieves each document from the appropriate system; identifies gaps and generates a gap list; compiles a structured tech transfer dossier; generates manufacturing site-ready versions of each analytical method; drafts the tech transfer report; schedules and documents a virtual tech transfer meeting agenda.</w:t>
      </w:r>
    </w:p>
    <w:p>
      <w:pPr>
        <w:spacing w:after="100" w:before="60"/>
      </w:pPr>
      <w:r>
        <w:rPr>
          <w:rFonts w:ascii="Arial" w:cs="Arial" w:eastAsia="Arial" w:hAnsi="Arial"/>
          <w:b/>
          <w:bCs/>
          <w:color w:val="1A1A2E"/>
          <w:sz w:val="20"/>
          <w:szCs w:val="20"/>
        </w:rPr>
        <w:t xml:space="preserve">Applicable Systems</w:t>
      </w:r>
    </w:p>
    <w:p>
      <w:pPr>
        <w:spacing w:after="100" w:before="60"/>
      </w:pPr>
      <w:r>
        <w:rPr>
          <w:rFonts w:ascii="Arial" w:cs="Arial" w:eastAsia="Arial" w:hAnsi="Arial"/>
          <w:color w:val="1A1A2E"/>
          <w:sz w:val="20"/>
          <w:szCs w:val="20"/>
        </w:rPr>
        <w:t xml:space="preserve">Adopt AI (zero-shot API discovery for multi-system retrieval); Microsoft Copilot Studio; custom OpenFang deployment; Docuvera; Yseop</w:t>
      </w:r>
    </w:p>
    <w:p>
      <w:pPr>
        <w:spacing w:after="100" w:before="60"/>
      </w:pPr>
      <w:r>
        <w:rPr>
          <w:rFonts w:ascii="Arial" w:cs="Arial" w:eastAsia="Arial" w:hAnsi="Arial"/>
          <w:b/>
          <w:bCs/>
          <w:color w:val="1A1A2E"/>
          <w:sz w:val="20"/>
          <w:szCs w:val="20"/>
        </w:rPr>
        <w:t xml:space="preserve">Quantified Business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With Agent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Tech transfer package assembly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8–16 weeks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 weeks</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Gap identification lag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Discovered late in process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Immediate gap analysis at project start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CDMO/site technical queries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20–40 per transfer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Projected 30–50% reduction</w:t>
            </w:r>
          </w:p>
        </w:tc>
      </w:tr>
      <w:tr>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FTE per tech transfer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6–12 FTE-weeks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2–3 FTE-weeks</w:t>
            </w:r>
          </w:p>
        </w:tc>
      </w:tr>
    </w:tbl>
    <w:p>
      <w:pPr>
        <w:spacing w:after="80" w:before="80"/>
      </w:pPr>
    </w:p>
    <w:p>
      <w:pPr>
        <w:spacing w:after="100" w:before="60"/>
      </w:pPr>
      <w:r>
        <w:rPr>
          <w:rFonts w:ascii="Arial" w:cs="Arial" w:eastAsia="Arial" w:hAnsi="Arial"/>
          <w:b/>
          <w:bCs/>
          <w:color w:val="1A1A2E"/>
          <w:sz w:val="20"/>
          <w:szCs w:val="20"/>
        </w:rPr>
        <w:t xml:space="preserve">GxP Sensitivity</w:t>
      </w:r>
    </w:p>
    <w:p>
      <w:pPr>
        <w:spacing w:after="100" w:before="60"/>
      </w:pPr>
      <w:r>
        <w:rPr>
          <w:rFonts w:ascii="Arial" w:cs="Arial" w:eastAsia="Arial" w:hAnsi="Arial"/>
          <w:color w:val="1A1A2E"/>
          <w:sz w:val="20"/>
          <w:szCs w:val="20"/>
        </w:rPr>
        <w:t xml:space="preserve">High — documents entering the quality system at the receiving site. Agent drafts; scientist reviews and certifies.</w:t>
      </w:r>
    </w:p>
    <w:p>
      <w:pPr>
        <w:spacing w:after="100" w:before="60"/>
      </w:pPr>
      <w:r>
        <w:rPr>
          <w:rFonts w:ascii="Arial" w:cs="Arial" w:eastAsia="Arial" w:hAnsi="Arial"/>
          <w:b/>
          <w:bCs/>
          <w:color w:val="1A1A2E"/>
          <w:sz w:val="20"/>
          <w:szCs w:val="20"/>
        </w:rPr>
        <w:t xml:space="preserve">Risk &amp; Mitigation</w:t>
      </w:r>
    </w:p>
    <w:p>
      <w:pPr>
        <w:spacing w:after="100" w:before="60"/>
      </w:pPr>
      <w:r>
        <w:rPr>
          <w:rFonts w:ascii="Arial" w:cs="Arial" w:eastAsia="Arial" w:hAnsi="Arial"/>
          <w:color w:val="1A1A2E"/>
          <w:sz w:val="20"/>
          <w:szCs w:val="20"/>
        </w:rPr>
        <w:t xml:space="preserve">Outdated method version transferred. Mitigation: agent retrieves only current approved version from document management system; version check is mandatory tool call.</w:t>
      </w:r>
    </w:p>
    <w:p>
      <w:r>
        <w:br w:type="page"/>
      </w:r>
    </w:p>
    <w:p>
      <w:pPr>
        <w:pStyle w:val="Heading2"/>
        <w:spacing w:after="120" w:before="360"/>
      </w:pPr>
      <w:r>
        <w:rPr>
          <w:rFonts w:ascii="Arial" w:cs="Arial" w:eastAsia="Arial" w:hAnsi="Arial"/>
          <w:b/>
          <w:bCs/>
          <w:color w:val="2E75B6"/>
          <w:sz w:val="26"/>
          <w:szCs w:val="26"/>
        </w:rPr>
        <w:t xml:space="preserve">5.11 Consolidated Business Case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3480"/>
      </w:tblGrid>
      <w:tr>
        <w:trPr>
          <w:tblHeader/>
        </w:trPr>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Timeline Reduction</w:t>
            </w:r>
          </w:p>
        </w:tc>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FTE Saving</w:t>
            </w:r>
          </w:p>
        </w:tc>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GxP Sensitivity</w:t>
            </w:r>
          </w:p>
        </w:tc>
        <w:tc>
          <w:tcPr>
            <w:tcW w:type="dxa" w:w="34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Recommended 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BC-01 Literature scout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days → 2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 FTE-days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 Researcher Hand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BC-02 Process optimization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4–16 wks → 1–4 wks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3–5 FTE-weeks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BoFire + OpenFang/Hermes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BC-03 Method 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4–12 wks → 1–3 wks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4–9 FTE-weeks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Custom + CDS API</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BC-04 Impurity 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4–12 wks → 3–10 days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4–9 FTE-weeks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Very High</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 + Compound Discoverer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BC-05 Stability trending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Days → same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3–6 FTE-weeks/report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Very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 Collector + LIMS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BC-06 CMC documentation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6–12 wks → 1–2 wks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4–8 FTE-weeks/submission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Extreme</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Copilot Studio / Adopt 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BC-07 Method validation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 wks → 2–4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 FTE-weeks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Very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 + Python stats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BC-08 Spectral confirmation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1–4 wks → 2–5 days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2–3 FTE-weeks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 + NMRium + SIRIUS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BC-09 OOS investigation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4–24 hrs → &lt;1 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 hrs/incident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Extreme (GMP)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Adopt AI / OpenFang</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BC-10 Tech transfer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8–16 wks → 2–4 wks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6–12 FTE-weeks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Adopt AI / Copilot Studio</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375623"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AGGREGATE VALUE</w:t>
            </w:r>
          </w:p>
        </w:tc>
        <w:tc>
          <w:tcPr>
            <w:tcW w:type="dxa" w:w="9880"/>
            <w:tcBorders>
              <w:top w:val="none" w:color="FFFFFF" w:sz="0"/>
              <w:left w:val="single" w:color="375623"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Conservative estimate for a medium-size CD/AD department (20–30 scientists, 12 projects/year): 15–25 FTE-weeks recovered per project. At average FTE cost of €120k: €1.5–3.5M annual value generation. This does not include timeline compression value (weeks saved × revenue per day at launch), which typically dwarfs the FTE calculation.</w:t>
            </w:r>
          </w:p>
        </w:tc>
      </w:tr>
    </w:tbl>
    <w:p>
      <w:r>
        <w:br w:type="page"/>
      </w:r>
    </w:p>
    <w:p>
      <w:pPr>
        <w:pStyle w:val="Heading1"/>
        <w:spacing w:after="160" w:before="480"/>
      </w:pPr>
      <w:r>
        <w:rPr>
          <w:rFonts w:ascii="Arial" w:cs="Arial" w:eastAsia="Arial" w:hAnsi="Arial"/>
          <w:b/>
          <w:bCs/>
          <w:color w:val="1F3864"/>
          <w:sz w:val="32"/>
          <w:szCs w:val="32"/>
        </w:rPr>
        <w:t xml:space="preserve">6. Integrating Autonomous Agents with CD/AD Lab IT</w:t>
      </w:r>
    </w:p>
    <w:p>
      <w:pPr>
        <w:pStyle w:val="Heading2"/>
        <w:spacing w:after="120" w:before="360"/>
      </w:pPr>
      <w:r>
        <w:rPr>
          <w:rFonts w:ascii="Arial" w:cs="Arial" w:eastAsia="Arial" w:hAnsi="Arial"/>
          <w:b/>
          <w:bCs/>
          <w:color w:val="2E75B6"/>
          <w:sz w:val="26"/>
          <w:szCs w:val="26"/>
        </w:rPr>
        <w:t xml:space="preserve">6.1 Chromatography Data Systems (CDS)</w:t>
      </w:r>
    </w:p>
    <w:p>
      <w:pPr>
        <w:spacing w:after="100" w:before="60"/>
      </w:pPr>
      <w:r>
        <w:rPr>
          <w:rFonts w:ascii="Arial" w:cs="Arial" w:eastAsia="Arial" w:hAnsi="Arial"/>
          <w:b/>
          <w:bCs/>
          <w:color w:val="1A1A2E"/>
          <w:sz w:val="20"/>
          <w:szCs w:val="20"/>
        </w:rPr>
        <w:t xml:space="preserve">Waters Empower</w:t>
      </w:r>
    </w:p>
    <w:p>
      <w:pPr>
        <w:spacing w:after="100" w:before="60"/>
      </w:pPr>
      <w:r>
        <w:rPr>
          <w:rFonts w:ascii="Arial" w:cs="Arial" w:eastAsia="Arial" w:hAnsi="Arial"/>
          <w:color w:val="1A1A2E"/>
          <w:sz w:val="20"/>
          <w:szCs w:val="20"/>
        </w:rPr>
        <w:t xml:space="preserve">Two integration paths: (1) Empower Toolkit — COM/DCOM-based procedural access to sample sets, methods, injections, results, and projects; typically via Python win32com on the LAC-E workstation. (2) Empower Web API — HTTP/JSON on port 3076, distributed by Waters Professional Services (KB article WKB206371). The Web API enables programmatic method mutation: GetInstrumentMethod, mutate gradient table/valve positions/column temperature, rename, and PostInstrumentMethod. Novo Nordisk's open-source OptiHPLCHandler Python SDK (github.com/novonordisk-research/OptiHPLCHandler) is the most complete public reference. There is no native event bus — agents must poll result tables or hook COM events.</w:t>
      </w:r>
    </w:p>
    <w:p>
      <w:pPr>
        <w:spacing w:after="80" w:before="80"/>
      </w:pPr>
    </w:p>
    <w:p>
      <w:pPr>
        <w:spacing w:after="100" w:before="60"/>
      </w:pPr>
      <w:r>
        <w:rPr>
          <w:rFonts w:ascii="Arial" w:cs="Arial" w:eastAsia="Arial" w:hAnsi="Arial"/>
          <w:b/>
          <w:bCs/>
          <w:color w:val="1A1A2E"/>
          <w:sz w:val="20"/>
          <w:szCs w:val="20"/>
        </w:rPr>
        <w:t xml:space="preserve">Agilent OpenLab CDS</w:t>
      </w:r>
    </w:p>
    <w:p>
      <w:pPr>
        <w:spacing w:after="100" w:before="60"/>
      </w:pPr>
      <w:r>
        <w:rPr>
          <w:rFonts w:ascii="Arial" w:cs="Arial" w:eastAsia="Arial" w:hAnsi="Arial"/>
          <w:color w:val="1A1A2E"/>
          <w:sz w:val="20"/>
          <w:szCs w:val="20"/>
        </w:rPr>
        <w:t xml:space="preserve">No equivalent first-party REST API for method mutation is publicly documented. Integrations go through Sample Scheduler imports, file-drop folders, ECM/ECM XT content APIs, or third-party brokers such as TetraScience or SLIMS. A February 2026 Agilent–Virscidian partnership was announced but technical details remain vendor-private.</w:t>
      </w:r>
    </w:p>
    <w:p>
      <w:pPr>
        <w:pStyle w:val="Heading2"/>
        <w:spacing w:after="120" w:before="360"/>
      </w:pPr>
      <w:r>
        <w:rPr>
          <w:rFonts w:ascii="Arial" w:cs="Arial" w:eastAsia="Arial" w:hAnsi="Arial"/>
          <w:b/>
          <w:bCs/>
          <w:color w:val="2E75B6"/>
          <w:sz w:val="26"/>
          <w:szCs w:val="26"/>
        </w:rPr>
        <w:t xml:space="preserve">6.2 LIMS Integration Patterns</w:t>
      </w:r>
    </w:p>
    <w:p>
      <w:pPr>
        <w:spacing w:after="100" w:before="60"/>
      </w:pPr>
      <w:r>
        <w:rPr>
          <w:rFonts w:ascii="Arial" w:cs="Arial" w:eastAsia="Arial" w:hAnsi="Arial"/>
          <w:color w:val="1A1A2E"/>
          <w:sz w:val="20"/>
          <w:szCs w:val="20"/>
        </w:rPr>
        <w:t xml:space="preserve">LIMS systems expose REST APIs with authentication via token or OAuth2. LabVantage follows POST /rest/connections → ConnectionId → subsequent calls against SDCs (Sapphire Data Classes); every transaction goes through core business logic so audit trails and Part 11 signatures persist. STARLIMS (v10+) and LabWare expose REST but documentation is weaker than LabVantage. None ships a native event bus — pharma integrators put Debezium/Kafka in front or rely on polling. Recommended: polling intervals of 30–60 seconds for non-urgent monitoring; dedicated event table with timestamp for OOS/OOT triggers.</w:t>
      </w:r>
    </w:p>
    <w:p>
      <w:pPr>
        <w:pStyle w:val="Heading2"/>
        <w:spacing w:after="120" w:before="360"/>
      </w:pPr>
      <w:r>
        <w:rPr>
          <w:rFonts w:ascii="Arial" w:cs="Arial" w:eastAsia="Arial" w:hAnsi="Arial"/>
          <w:b/>
          <w:bCs/>
          <w:color w:val="2E75B6"/>
          <w:sz w:val="26"/>
          <w:szCs w:val="26"/>
        </w:rPr>
        <w:t xml:space="preserve">6.3 ELN Integration — Benchling as Reference</w:t>
      </w:r>
    </w:p>
    <w:p>
      <w:pPr>
        <w:spacing w:after="100" w:before="60"/>
      </w:pPr>
      <w:r>
        <w:rPr>
          <w:rFonts w:ascii="Arial" w:cs="Arial" w:eastAsia="Arial" w:hAnsi="Arial"/>
          <w:color w:val="1A1A2E"/>
          <w:sz w:val="20"/>
          <w:szCs w:val="20"/>
        </w:rPr>
        <w:t xml:space="preserve">Benchling provides four integration surfaces:</w:t>
      </w:r>
    </w:p>
    <w:p>
      <w:pPr>
        <w:pStyle w:val="ListParagraph"/>
        <w:numPr>
          <w:ilvl w:val="0"/>
          <w:numId w:val="2"/>
        </w:numPr>
        <w:spacing w:after="40" w:before="40"/>
      </w:pPr>
      <w:r>
        <w:rPr>
          <w:rFonts w:ascii="Arial" w:cs="Arial" w:eastAsia="Arial" w:hAnsi="Arial"/>
          <w:color w:val="1A1A2E"/>
          <w:sz w:val="20"/>
          <w:szCs w:val="20"/>
        </w:rPr>
        <w:t xml:space="preserve">REST API v2 — Python benchling-sdk, generator-paginated, OAuth2 client-credentials or OIDC; full read/write access to entries, results, entities, registrations</w:t>
      </w:r>
    </w:p>
    <w:p>
      <w:pPr>
        <w:pStyle w:val="ListParagraph"/>
        <w:numPr>
          <w:ilvl w:val="0"/>
          <w:numId w:val="2"/>
        </w:numPr>
        <w:spacing w:after="40" w:before="40"/>
      </w:pPr>
      <w:r>
        <w:rPr>
          <w:rFonts w:ascii="Arial" w:cs="Arial" w:eastAsia="Arial" w:hAnsi="Arial"/>
          <w:color w:val="1A1A2E"/>
          <w:sz w:val="20"/>
          <w:szCs w:val="20"/>
        </w:rPr>
        <w:t xml:space="preserve">Amazon EventBridge — 256 KB cap; oversized fields land in excludedProperties and must be re-fetched via apiURL; 2-week replay window; treat as triggers, not truth</w:t>
      </w:r>
    </w:p>
    <w:p>
      <w:pPr>
        <w:pStyle w:val="ListParagraph"/>
        <w:numPr>
          <w:ilvl w:val="0"/>
          <w:numId w:val="2"/>
        </w:numPr>
        <w:spacing w:after="40" w:before="40"/>
      </w:pPr>
      <w:r>
        <w:rPr>
          <w:rFonts w:ascii="Arial" w:cs="Arial" w:eastAsia="Arial" w:hAnsi="Arial"/>
          <w:color w:val="1A1A2E"/>
          <w:sz w:val="20"/>
          <w:szCs w:val="20"/>
        </w:rPr>
        <w:t xml:space="preserve">Webhooks — alternative to EventBridge for simpler deployments</w:t>
      </w:r>
    </w:p>
    <w:p>
      <w:pPr>
        <w:pStyle w:val="ListParagraph"/>
        <w:numPr>
          <w:ilvl w:val="0"/>
          <w:numId w:val="2"/>
        </w:numPr>
        <w:spacing w:after="40" w:before="40"/>
      </w:pPr>
      <w:r>
        <w:rPr>
          <w:rFonts w:ascii="Arial" w:cs="Arial" w:eastAsia="Arial" w:hAnsi="Arial"/>
          <w:color w:val="1A1A2E"/>
          <w:sz w:val="20"/>
          <w:szCs w:val="20"/>
        </w:rPr>
        <w:t xml:space="preserve">Data Warehouse — read-only hosted Postgres (Aurora RDS) with ≤24h sync latency; SQL analytics over structured assay/result data</w:t>
      </w:r>
    </w:p>
    <w:p>
      <w:pPr>
        <w:spacing w:after="80" w:before="80"/>
      </w:pPr>
    </w:p>
    <w:p>
      <w:pPr>
        <w:spacing w:after="100" w:before="60"/>
      </w:pPr>
      <w:r>
        <w:rPr>
          <w:rFonts w:ascii="Arial" w:cs="Arial" w:eastAsia="Arial" w:hAnsi="Arial"/>
          <w:color w:val="1A1A2E"/>
          <w:sz w:val="20"/>
          <w:szCs w:val="20"/>
        </w:rPr>
        <w:t xml:space="preserve">Canonical event pattern: EventBridge rule → Lambda/SQS → Benchling REST fetch → transform → register entity → advance workflow. Dotmatics Luma (post-Siemens acquisition) advertises REST + GraphQL + JDBC + EventBridge + Apache NiFi — the most event-capable ELN stack available.</w:t>
      </w:r>
    </w:p>
    <w:p>
      <w:pPr>
        <w:pStyle w:val="Heading2"/>
        <w:spacing w:after="120" w:before="360"/>
      </w:pPr>
      <w:r>
        <w:rPr>
          <w:rFonts w:ascii="Arial" w:cs="Arial" w:eastAsia="Arial" w:hAnsi="Arial"/>
          <w:b/>
          <w:bCs/>
          <w:color w:val="2E75B6"/>
          <w:sz w:val="26"/>
          <w:szCs w:val="26"/>
        </w:rPr>
        <w:t xml:space="preserve">6.4 SiLA 2 for Lab Instrument Integration</w:t>
      </w:r>
    </w:p>
    <w:p>
      <w:pPr>
        <w:spacing w:after="100" w:before="60"/>
      </w:pPr>
      <w:r>
        <w:rPr>
          <w:rFonts w:ascii="Arial" w:cs="Arial" w:eastAsia="Arial" w:hAnsi="Arial"/>
          <w:color w:val="1A1A2E"/>
          <w:sz w:val="20"/>
          <w:szCs w:val="20"/>
        </w:rPr>
        <w:t xml:space="preserve">SiLA 2 is the correct device-level standard for new pharmaceutical lab automation builds. Transport: gRPC over HTTP/2 with Protocol Buffers. Discovery: Zeroconf/mDNS. Security: mTLS. Server-initiated connection pattern lets a server behind NAT reach a cloud client pool without VPN.</w:t>
      </w:r>
    </w:p>
    <w:p>
      <w:pPr>
        <w:spacing w:after="100" w:before="60"/>
      </w:pPr>
      <w:r>
        <w:rPr>
          <w:rFonts w:ascii="Arial" w:cs="Arial" w:eastAsia="Arial" w:hAnsi="Arial"/>
          <w:color w:val="1A1A2E"/>
          <w:sz w:val="20"/>
          <w:szCs w:val="20"/>
        </w:rPr>
        <w:t xml:space="preserve">Each SiLA 2 server exposes Features described in FDL XML. Observable commands stream progress — matching long-running lab operations naturally. The canonical Python implementation is sila_python (gitlab.com/sila2/sila_python, pip install sila2) with sila-codegen generating stubs from FDL XML. AnIML (ASTM E13.15) is the recommended payload format. Tecan ships a first-party SiLA 2 SDK (.NET, NuGet Tecan.Sila2 4.4.2 with FluentControl bridge); CETONI ships Qmix pump drivers. Broad Hamilton/Eppendorf/Agilent first-party SiLA 2 adoption is still thin.</w:t>
      </w:r>
    </w:p>
    <w:p>
      <w:pPr>
        <w:pStyle w:val="Heading2"/>
        <w:spacing w:after="120" w:before="360"/>
      </w:pPr>
      <w:r>
        <w:rPr>
          <w:rFonts w:ascii="Arial" w:cs="Arial" w:eastAsia="Arial" w:hAnsi="Arial"/>
          <w:b/>
          <w:bCs/>
          <w:color w:val="2E75B6"/>
          <w:sz w:val="26"/>
          <w:szCs w:val="26"/>
        </w:rPr>
        <w:t xml:space="preserve">6.5 OPC-UA + LADS for Reactor/Process Integration</w:t>
      </w:r>
    </w:p>
    <w:p>
      <w:pPr>
        <w:spacing w:after="100" w:before="60"/>
      </w:pPr>
      <w:r>
        <w:rPr>
          <w:rFonts w:ascii="Arial" w:cs="Arial" w:eastAsia="Arial" w:hAnsi="Arial"/>
          <w:color w:val="1A1A2E"/>
          <w:sz w:val="20"/>
          <w:szCs w:val="20"/>
        </w:rPr>
        <w:t xml:space="preserve">The LADS Companion Specification (OPC Foundation) defines LADSDevice → FunctionalUnits with state machines, ControlFunctions, ProgramManagers, ResultSets, and DeviceHealthAlarms — a clean object model that maps directly onto bioreactor vessels. The Python asyncio client asyncua (FreeOpcUa/opcua-asyncio, LGPL, Python ≥ 3.10) supports Subscription for data-change and event monitored items at 1 Hz, node.call_method for batch start, HDA access, and X.509 + mutual-TLS + Kerberos security.</w:t>
      </w:r>
    </w:p>
    <w:p>
      <w:pPr>
        <w:spacing w:after="100" w:before="60"/>
      </w:pPr>
      <w:r>
        <w:rPr>
          <w:rFonts w:ascii="Arial" w:cs="Arial" w:eastAsia="Arial" w:hAnsi="Arial"/>
          <w:color w:val="1A1A2E"/>
          <w:sz w:val="20"/>
          <w:szCs w:val="20"/>
        </w:rPr>
        <w:t xml:space="preserve">Example autonomous agent loop: subscribe pH/DO/temperature/OUR at 1 Hz → listen for AlarmConditionType events → call StartBatch(recipe_struct) → retrieve historical trends on demand → feed BoFire surrogate model.</w:t>
      </w:r>
    </w:p>
    <w:p>
      <w:pPr>
        <w:pStyle w:val="Heading2"/>
        <w:spacing w:after="120" w:before="360"/>
      </w:pPr>
      <w:r>
        <w:rPr>
          <w:rFonts w:ascii="Arial" w:cs="Arial" w:eastAsia="Arial" w:hAnsi="Arial"/>
          <w:b/>
          <w:bCs/>
          <w:color w:val="2E75B6"/>
          <w:sz w:val="26"/>
          <w:szCs w:val="26"/>
        </w:rPr>
        <w:t xml:space="preserve">6.6 Instrument File Parsing (Open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504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3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5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Thermo Orbitrap .raw</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fisher-py (PyPI, wraps Thermo RawFileReader .NET via pythonnet)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Cross-platform; pymsfilereader is older alternative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Waters, Agilent, mzML/mzXML</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pyopenms</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Memory-mapped on-disk access; mzML/mzXML/TraML/mzIdentML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Agilent .d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proteowizard msconvert → mzML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Route all Agilent formats through msconvert first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Bruker/Varian NMR FID</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nmrglue (Helmus &amp; Jaroniec, J. Biomol. NMR 2013)</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Apodization, FT, baseline, peak-picking, lineshape fitting; actively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Cross-vendor wire format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Allotrope ASM (JSON + JSON-Schema + AFO)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Covers LC/GC/FPLC/LC-MS/NMR/qPCR; preferred for 2026 builds</w:t>
            </w:r>
          </w:p>
        </w:tc>
      </w:tr>
    </w:tbl>
    <w:p>
      <w:pPr>
        <w:pStyle w:val="Heading2"/>
        <w:spacing w:after="120" w:before="360"/>
      </w:pPr>
      <w:r>
        <w:rPr>
          <w:rFonts w:ascii="Arial" w:cs="Arial" w:eastAsia="Arial" w:hAnsi="Arial"/>
          <w:b/>
          <w:bCs/>
          <w:color w:val="2E75B6"/>
          <w:sz w:val="26"/>
          <w:szCs w:val="26"/>
        </w:rPr>
        <w:t xml:space="preserve">6.7 Cheminformatics MCP Servers</w:t>
      </w:r>
    </w:p>
    <w:p>
      <w:pPr>
        <w:spacing w:after="100" w:before="60"/>
      </w:pPr>
      <w:r>
        <w:rPr>
          <w:rFonts w:ascii="Arial" w:cs="Arial" w:eastAsia="Arial" w:hAnsi="Arial"/>
          <w:color w:val="1A1A2E"/>
          <w:sz w:val="20"/>
          <w:szCs w:val="20"/>
        </w:rPr>
        <w:t xml:space="preserve">All chemistry tools should be wrapped as MCP servers — this is the standardized integration pattern that works across all agent runtimes (OpenFang, Hermes, NemoClaw, Manus, Adopt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504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MCP wrapping approach</w:t>
            </w:r>
          </w:p>
        </w:tc>
        <w:tc>
          <w:tcPr>
            <w:tcW w:type="dxa" w:w="5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RDKit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mcp_rdkit (github.com/s20ss/mcp_rdkit); ~50-line server via mcp[cli] + RDKit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Structure manipulation, descriptor calculation, fingerprints, substructure search</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AiZynthFinder (AstraZeneca, MIT)</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CLI wrapper: aizynthcli --config config.yml --smiles ... → MCP tool</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Retrosynthesis planning; MCTS and Retro* strategies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ASKCOS (MIT)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 API → MCP proxy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Forward and retrosynthesis; condition recommendation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BoFire/BoTorch (BASF/Meta)</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Python function → MCP tool with async support</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Bayesian optimization for process parameter selection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ADMET-AI / pkCSM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 API → MCP proxy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ADMET property prediction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ChEMBL / PubChem PUG REST</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HTTP → MCP proxy; clean REST surfaces</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Literature bioactivity, structure lookup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MS2Query</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Python function → MCP tool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LC-MS structure elucidation; 35% reliable-analogue recall at Tanimoto 0.63</w:t>
            </w:r>
          </w:p>
        </w:tc>
      </w:tr>
    </w:tbl>
    <w:p>
      <w:r>
        <w:br w:type="page"/>
      </w:r>
    </w:p>
    <w:p>
      <w:pPr>
        <w:pStyle w:val="Heading1"/>
        <w:spacing w:after="160" w:before="480"/>
      </w:pPr>
      <w:r>
        <w:rPr>
          <w:rFonts w:ascii="Arial" w:cs="Arial" w:eastAsia="Arial" w:hAnsi="Arial"/>
          <w:b/>
          <w:bCs/>
          <w:color w:val="1F3864"/>
          <w:sz w:val="32"/>
          <w:szCs w:val="32"/>
        </w:rPr>
        <w:t xml:space="preserve">7. Knowledge Extraction &amp; Institutional Memory</w:t>
      </w:r>
    </w:p>
    <w:p>
      <w:pPr>
        <w:pStyle w:val="Heading2"/>
        <w:spacing w:after="120" w:before="360"/>
      </w:pPr>
      <w:r>
        <w:rPr>
          <w:rFonts w:ascii="Arial" w:cs="Arial" w:eastAsia="Arial" w:hAnsi="Arial"/>
          <w:b/>
          <w:bCs/>
          <w:color w:val="2E75B6"/>
          <w:sz w:val="26"/>
          <w:szCs w:val="26"/>
        </w:rPr>
        <w:t xml:space="preserve">7.1 PDF and Document Parsing</w:t>
      </w:r>
    </w:p>
    <w:p>
      <w:pPr>
        <w:spacing w:after="100" w:before="60"/>
      </w:pPr>
      <w:r>
        <w:rPr>
          <w:rFonts w:ascii="Arial" w:cs="Arial" w:eastAsia="Arial" w:hAnsi="Arial"/>
          <w:b/>
          <w:bCs/>
          <w:color w:val="1A1A2E"/>
          <w:sz w:val="20"/>
          <w:szCs w:val="20"/>
        </w:rPr>
        <w:t xml:space="preserve">Recommended Parser: Marker</w:t>
      </w:r>
    </w:p>
    <w:p>
      <w:pPr>
        <w:spacing w:after="100" w:before="60"/>
      </w:pPr>
      <w:r>
        <w:rPr>
          <w:rFonts w:ascii="Arial" w:cs="Arial" w:eastAsia="Arial" w:hAnsi="Arial"/>
          <w:color w:val="1A1A2E"/>
          <w:sz w:val="20"/>
          <w:szCs w:val="20"/>
        </w:rPr>
        <w:t xml:space="preserve">Marker (Vik Paruchuri / datalab-to, GPLv3 with $5M commercial gate) converts PDF/DOCX/PPTX/HTML/EPUB to structured Markdown+JSON using Surya layout/OCR models. It invokes LLMs only for equations and messy tables — approximately 10× faster than Nougat with materially lower hallucination because autoregressive passes are bounded. Supports Pydantic JSON-Schema extraction via ExtractionConverter.</w:t>
      </w:r>
    </w:p>
    <w:p>
      <w:pPr>
        <w:spacing w:after="80" w:before="80"/>
      </w:pPr>
    </w:p>
    <w:p>
      <w:pPr>
        <w:spacing w:after="100" w:before="60"/>
      </w:pPr>
      <w:r>
        <w:rPr>
          <w:rFonts w:ascii="Arial" w:cs="Arial" w:eastAsia="Arial" w:hAnsi="Arial"/>
          <w:b/>
          <w:bCs/>
          <w:color w:val="1A1A2E"/>
          <w:sz w:val="20"/>
          <w:szCs w:val="20"/>
        </w:rPr>
        <w:t xml:space="preserve">Chemistry-Specific Extraction: ChemDataExtractor v2</w:t>
      </w:r>
    </w:p>
    <w:p>
      <w:pPr>
        <w:spacing w:after="100" w:before="60"/>
      </w:pPr>
      <w:r>
        <w:rPr>
          <w:rFonts w:ascii="Arial" w:cs="Arial" w:eastAsia="Arial" w:hAnsi="Arial"/>
          <w:color w:val="1A1A2E"/>
          <w:sz w:val="20"/>
          <w:szCs w:val="20"/>
        </w:rPr>
        <w:t xml:space="preserve">ChemDataExtractor v2 (Cambridge, MIT) provides: CRF-based CEM recognition, rule-based phrase grammar, a table parser handling "compound 3a" back-references, and reported F-scores of 93.4% for chemical identifiers, 86.8% for spectroscopic data, 91.5% for properties. Pair with LeadMine + OPSIN for IUPAC→structure and DECIMER-Segmentation + MolScribe/OSRA for structure OCR from images.</w:t>
      </w:r>
    </w:p>
    <w:p>
      <w:pPr>
        <w:pStyle w:val="Heading2"/>
        <w:spacing w:after="120" w:before="360"/>
      </w:pPr>
      <w:r>
        <w:rPr>
          <w:rFonts w:ascii="Arial" w:cs="Arial" w:eastAsia="Arial" w:hAnsi="Arial"/>
          <w:b/>
          <w:bCs/>
          <w:color w:val="2E75B6"/>
          <w:sz w:val="26"/>
          <w:szCs w:val="26"/>
        </w:rPr>
        <w:t xml:space="preserve">7.2 RAG Architecture for Chemistry Corpora</w:t>
      </w:r>
    </w:p>
    <w:p>
      <w:pPr>
        <w:spacing w:after="100" w:before="60"/>
      </w:pPr>
      <w:r>
        <w:rPr>
          <w:rFonts w:ascii="Arial" w:cs="Arial" w:eastAsia="Arial" w:hAnsi="Arial"/>
          <w:color w:val="1A1A2E"/>
          <w:sz w:val="20"/>
          <w:szCs w:val="20"/>
        </w:rPr>
        <w:t xml:space="preserve">A three-stage hybrid pipeline is the recommended architecture:</w:t>
      </w:r>
    </w:p>
    <w:p>
      <w:pPr>
        <w:pStyle w:val="ListParagraph"/>
        <w:numPr>
          <w:ilvl w:val="0"/>
          <w:numId w:val="2"/>
        </w:numPr>
        <w:spacing w:after="40" w:before="40"/>
      </w:pPr>
      <w:r>
        <w:rPr>
          <w:rFonts w:ascii="Arial" w:cs="Arial" w:eastAsia="Arial" w:hAnsi="Arial"/>
          <w:color w:val="1A1A2E"/>
          <w:sz w:val="20"/>
          <w:szCs w:val="20"/>
        </w:rPr>
        <w:t xml:space="preserve">Stage 1 — Parallel retrieval: BM25 (OpenSearch/Tantivy, K₁=100) + dense (BGE-M3 or nomic-embed-text-v1.5 8k context, K₂=100) fused by Reciprocal Rank Fusion (k≈60)</w:t>
      </w:r>
    </w:p>
    <w:p>
      <w:pPr>
        <w:pStyle w:val="ListParagraph"/>
        <w:numPr>
          <w:ilvl w:val="0"/>
          <w:numId w:val="2"/>
        </w:numPr>
        <w:spacing w:after="40" w:before="40"/>
      </w:pPr>
      <w:r>
        <w:rPr>
          <w:rFonts w:ascii="Arial" w:cs="Arial" w:eastAsia="Arial" w:hAnsi="Arial"/>
          <w:color w:val="1A1A2E"/>
          <w:sz w:val="20"/>
          <w:szCs w:val="20"/>
        </w:rPr>
        <w:t xml:space="preserve">Stage 2 — Late-interaction reranker: BGE-M3's ColBERT-style reranker</w:t>
      </w:r>
    </w:p>
    <w:p>
      <w:pPr>
        <w:pStyle w:val="ListParagraph"/>
        <w:numPr>
          <w:ilvl w:val="0"/>
          <w:numId w:val="2"/>
        </w:numPr>
        <w:spacing w:after="40" w:before="40"/>
      </w:pPr>
      <w:r>
        <w:rPr>
          <w:rFonts w:ascii="Arial" w:cs="Arial" w:eastAsia="Arial" w:hAnsi="Arial"/>
          <w:color w:val="1A1A2E"/>
          <w:sz w:val="20"/>
          <w:szCs w:val="20"/>
        </w:rPr>
        <w:t xml:space="preserve">Stage 3 — Cross-encoder rerank: bge-reranker-v2-m3 or Cohere Rerank 3</w:t>
      </w:r>
    </w:p>
    <w:p>
      <w:pPr>
        <w:spacing w:after="80" w:before="80"/>
      </w:pPr>
    </w:p>
    <w:p>
      <w:pPr>
        <w:spacing w:after="100" w:before="60"/>
      </w:pPr>
      <w:r>
        <w:rPr>
          <w:rFonts w:ascii="Arial" w:cs="Arial" w:eastAsia="Arial" w:hAnsi="Arial"/>
          <w:color w:val="1A1A2E"/>
          <w:sz w:val="20"/>
          <w:szCs w:val="20"/>
        </w:rPr>
        <w:t xml:space="preserve">Chunking must be layout-aware — Marker's block tree gives clean 512–1024-token chunks bounded at heading blocks. Metadata (compound_id, method_id, SOP version, effective date) lives in payload, not in the embedded text.</w:t>
      </w:r>
    </w:p>
    <w:p>
      <w:pPr>
        <w:spacing w:after="80" w:before="80"/>
      </w:pPr>
    </w:p>
    <w:p>
      <w:pPr>
        <w:spacing w:after="100" w:before="60"/>
      </w:pPr>
      <w:r>
        <w:rPr>
          <w:rFonts w:ascii="Arial" w:cs="Arial" w:eastAsia="Arial" w:hAnsi="Arial"/>
          <w:b/>
          <w:bCs/>
          <w:color w:val="1A1A2E"/>
          <w:sz w:val="20"/>
          <w:szCs w:val="20"/>
        </w:rPr>
        <w:t xml:space="preserve">Vector Database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504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Database</w:t>
            </w:r>
          </w:p>
        </w:tc>
        <w:tc>
          <w:tcPr>
            <w:tcW w:type="dxa" w:w="3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5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Pharma consideration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Qdrant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Fastest filtered dense store; p50 &lt;5 ms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Best for analytical data and spectral embedding search</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pgvector + pgvectorscale</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471 QPS at 99% recall on 50M 768-dim vectors; single audited database with backup/DR</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Strong compliance argument; SQL queries on metadata alongside vectors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Weaviate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BM25 + dense in one query; GraphQL interface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Good when you want hybrid search without separate systems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Pinecone</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Managed; low ops burden</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Cloud-only; data residency concern for proprietary chemistry</w:t>
            </w:r>
          </w:p>
        </w:tc>
      </w:tr>
    </w:tbl>
    <w:p>
      <w:pPr>
        <w:pStyle w:val="Heading2"/>
        <w:spacing w:after="120" w:before="360"/>
      </w:pPr>
      <w:r>
        <w:rPr>
          <w:rFonts w:ascii="Arial" w:cs="Arial" w:eastAsia="Arial" w:hAnsi="Arial"/>
          <w:b/>
          <w:bCs/>
          <w:color w:val="2E75B6"/>
          <w:sz w:val="26"/>
          <w:szCs w:val="26"/>
        </w:rPr>
        <w:t xml:space="preserve">7.3 Molecular Representation for Similarity Search</w:t>
      </w:r>
    </w:p>
    <w:p>
      <w:pPr>
        <w:spacing w:after="100" w:before="60"/>
      </w:pPr>
      <w:r>
        <w:rPr>
          <w:rFonts w:ascii="Arial" w:cs="Arial" w:eastAsia="Arial" w:hAnsi="Arial"/>
          <w:color w:val="1A1A2E"/>
          <w:sz w:val="20"/>
          <w:szCs w:val="20"/>
        </w:rPr>
        <w:t xml:space="preserve">Store dual representations for each compound:</w:t>
      </w:r>
    </w:p>
    <w:p>
      <w:pPr>
        <w:pStyle w:val="ListParagraph"/>
        <w:numPr>
          <w:ilvl w:val="0"/>
          <w:numId w:val="2"/>
        </w:numPr>
        <w:spacing w:after="40" w:before="40"/>
      </w:pPr>
      <w:r>
        <w:rPr>
          <w:rFonts w:ascii="Arial" w:cs="Arial" w:eastAsia="Arial" w:hAnsi="Arial"/>
          <w:color w:val="1A1A2E"/>
          <w:sz w:val="20"/>
          <w:szCs w:val="20"/>
        </w:rPr>
        <w:t xml:space="preserve">Morgan/ECFP4 (RDKit, 2048-bit) — interpretable substructure, ~1-minute bulk computation, correlates well with Tanimoto for structural similarity tasks</w:t>
      </w:r>
    </w:p>
    <w:p>
      <w:pPr>
        <w:pStyle w:val="ListParagraph"/>
        <w:numPr>
          <w:ilvl w:val="0"/>
          <w:numId w:val="2"/>
        </w:numPr>
        <w:spacing w:after="40" w:before="40"/>
      </w:pPr>
      <w:r>
        <w:rPr>
          <w:rFonts w:ascii="Arial" w:cs="Arial" w:eastAsia="Arial" w:hAnsi="Arial"/>
          <w:color w:val="1A1A2E"/>
          <w:sz w:val="20"/>
          <w:szCs w:val="20"/>
        </w:rPr>
        <w:t xml:space="preserve">MoLFormer-XL (IBM, 1.1B molecules, ibm/MoLFormer-XL-both-10pct, 768-dim) — trained on SMILES; outperforms ChemBERTa on BBBP/Tox21/ClinTox/SIDER for property prediction tasks</w:t>
      </w:r>
    </w:p>
    <w:p>
      <w:pPr>
        <w:spacing w:after="80" w:before="80"/>
      </w:pPr>
    </w:p>
    <w:p>
      <w:pPr>
        <w:spacing w:after="100" w:before="60"/>
      </w:pPr>
      <w:r>
        <w:rPr>
          <w:rFonts w:ascii="Arial" w:cs="Arial" w:eastAsia="Arial" w:hAnsi="Arial"/>
          <w:color w:val="1A1A2E"/>
          <w:sz w:val="20"/>
          <w:szCs w:val="20"/>
        </w:rPr>
        <w:t xml:space="preserve">For mass spectra: MS2Query (Nat Commun 2023) — MS2DeepScore pre-selects top 2,000 library spectra; a random-forest ranker combines Spec2Vec similarity, precursor m/z, Δprecursor, and mean Tanimoto over 10 similar library structures, achieving 35% reliable-analogue recall at Tanimoto 0.63. For NMR: NMRNet (SE(3)-Transformer, unified solid+liquid NMR) with per-atom embeddings keyed by (compound_id, nucleus, solvent) enables bidirectional structure-spectrum linking.</w:t>
      </w:r>
    </w:p>
    <w:p>
      <w:pPr>
        <w:pStyle w:val="Heading2"/>
        <w:spacing w:after="120" w:before="360"/>
      </w:pPr>
      <w:r>
        <w:rPr>
          <w:rFonts w:ascii="Arial" w:cs="Arial" w:eastAsia="Arial" w:hAnsi="Arial"/>
          <w:b/>
          <w:bCs/>
          <w:color w:val="2E75B6"/>
          <w:sz w:val="26"/>
          <w:szCs w:val="26"/>
        </w:rPr>
        <w:t xml:space="preserve">7.4 The Reaction/Compound Knowledge Graph</w:t>
      </w:r>
    </w:p>
    <w:p>
      <w:pPr>
        <w:spacing w:after="100" w:before="60"/>
      </w:pPr>
      <w:r>
        <w:rPr>
          <w:rFonts w:ascii="Arial" w:cs="Arial" w:eastAsia="Arial" w:hAnsi="Arial"/>
          <w:color w:val="1A1A2E"/>
          <w:sz w:val="20"/>
          <w:szCs w:val="20"/>
        </w:rPr>
        <w:t xml:space="preserve">Use the Open Reaction Database (ORD) schema as the canonical node-attribute format even for internal data. ORD Protocol Buffers cover nine sections per Reaction: identifiers, inputs, setup, conditions, notes, observations, workups, outcomes, provenance — including yield quantification method (isolated vs LC/MS area) and multi-analysis linkage.</w:t>
      </w:r>
    </w:p>
    <w:p>
      <w:pPr>
        <w:spacing w:after="80" w:before="80"/>
      </w:pPr>
    </w:p>
    <w:p>
      <w:pPr>
        <w:spacing w:after="100" w:before="60"/>
      </w:pPr>
      <w:r>
        <w:rPr>
          <w:rFonts w:ascii="Arial" w:cs="Arial" w:eastAsia="Arial" w:hAnsi="Arial"/>
          <w:b/>
          <w:bCs/>
          <w:color w:val="1A1A2E"/>
          <w:sz w:val="20"/>
          <w:szCs w:val="20"/>
        </w:rPr>
        <w:t xml:space="preserve">Graphiti for Temporal Knowledge Graphs</w:t>
      </w:r>
    </w:p>
    <w:p>
      <w:pPr>
        <w:spacing w:after="100" w:before="60"/>
      </w:pPr>
      <w:r>
        <w:rPr>
          <w:rFonts w:ascii="Arial" w:cs="Arial" w:eastAsia="Arial" w:hAnsi="Arial"/>
          <w:color w:val="1A1A2E"/>
          <w:sz w:val="20"/>
          <w:szCs w:val="20"/>
        </w:rPr>
        <w:t xml:space="preserve">Graphiti (getzep, Apache-2.0) on Neo4j implements a bi-temporal model where every edge carries t_valid, t_invalid, recorded_at, and invalidated_by timestamps. This maps directly onto "this SOP was valid until the reagent supplier changed in Q4 2024." Reported: 94.8% DMR (vs MemGPT 93.4%), +18.5% LongMemEval accuracy, 300 ms P95 retrieval with no LLM in the query path. This is the memory layer for a pharma institutional knowledge base.</w:t>
      </w:r>
    </w:p>
    <w:p>
      <w:pPr>
        <w:pStyle w:val="Heading2"/>
        <w:spacing w:after="120" w:before="360"/>
      </w:pPr>
      <w:r>
        <w:rPr>
          <w:rFonts w:ascii="Arial" w:cs="Arial" w:eastAsia="Arial" w:hAnsi="Arial"/>
          <w:b/>
          <w:bCs/>
          <w:color w:val="2E75B6"/>
          <w:sz w:val="26"/>
          <w:szCs w:val="26"/>
        </w:rPr>
        <w:t xml:space="preserve">7.5 Hermes Trajectory-Based Learning Applied to CD/AD</w:t>
      </w:r>
    </w:p>
    <w:p>
      <w:pPr>
        <w:spacing w:after="100" w:before="60"/>
      </w:pPr>
      <w:r>
        <w:rPr>
          <w:rFonts w:ascii="Arial" w:cs="Arial" w:eastAsia="Arial" w:hAnsi="Arial"/>
          <w:color w:val="1A1A2E"/>
          <w:sz w:val="20"/>
          <w:szCs w:val="20"/>
        </w:rPr>
        <w:t xml:space="preserve">A method-development campaign is structurally a trajectory: substrate screen → temperature sweep → workup optimization → final isolation. After success, Hermes synthesizes a skill document — e.g., "Buchwald-Hartwig amination on electron-poor anilines" — capturing ligand heuristics, base selection, aqueous-workup tolerances, and known failure modes. The next campaign on a similar substrate auto-loads that skill at Level 0 (~3k tokens).</w:t>
      </w:r>
    </w:p>
    <w:p>
      <w:pPr>
        <w:spacing w:after="80" w:before="80"/>
      </w:pPr>
    </w:p>
    <w:p>
      <w:pPr>
        <w:spacing w:after="100" w:before="60"/>
      </w:pPr>
      <w:r>
        <w:rPr>
          <w:rFonts w:ascii="Arial" w:cs="Arial" w:eastAsia="Arial" w:hAnsi="Arial"/>
          <w:color w:val="1A1A2E"/>
          <w:sz w:val="20"/>
          <w:szCs w:val="20"/>
        </w:rPr>
        <w:t xml:space="preserve">Combined with IBM's Molecular Transformer transfer-learning results — 3× forward-prediction improvement and 9× retrosynthesis improvement on Thieme-tuned data, 50% first-shot enzymatic product prediction on 60k biochemical reactions — the practical pattern is: base Molecular Transformer + per-therapeutic-area LoRA adapters + Hermes skills versioned in an internal Skills Hub. Every campaign makes the next one faster. This is the most important architectural differentiator in this entire document.</w:t>
      </w:r>
    </w:p>
    <w:p>
      <w:r>
        <w:br w:type="page"/>
      </w:r>
    </w:p>
    <w:p>
      <w:pPr>
        <w:pStyle w:val="Heading1"/>
        <w:spacing w:after="160" w:before="480"/>
      </w:pPr>
      <w:r>
        <w:rPr>
          <w:rFonts w:ascii="Arial" w:cs="Arial" w:eastAsia="Arial" w:hAnsi="Arial"/>
          <w:b/>
          <w:bCs/>
          <w:color w:val="1F3864"/>
          <w:sz w:val="32"/>
          <w:szCs w:val="32"/>
        </w:rPr>
        <w:t xml:space="preserve">8. Documentation Automation — Technical Architecture</w:t>
      </w:r>
    </w:p>
    <w:p>
      <w:pPr>
        <w:pStyle w:val="Heading2"/>
        <w:spacing w:after="120" w:before="360"/>
      </w:pPr>
      <w:r>
        <w:rPr>
          <w:rFonts w:ascii="Arial" w:cs="Arial" w:eastAsia="Arial" w:hAnsi="Arial"/>
          <w:b/>
          <w:bCs/>
          <w:color w:val="2E75B6"/>
          <w:sz w:val="26"/>
          <w:szCs w:val="26"/>
        </w:rPr>
        <w:t xml:space="preserve">8.1 The Four-Layer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504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5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Source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Benchling EventBridge, LIMS REST, instrument file parsers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Trigger and raw data retrieval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Intermediate Representation (IR)</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Pydantic models — validated structured data</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Contract that makes rendering portable and verifiable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Template rendering</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docxtpl (Jinja2 in Word .docx), Pandoc, WeasyPrint, Typst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Deterministic slot-filling for ~80% of Module 3</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Narrative generation + verification</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RAG-over-prior-submissions + DSPy/Guardrails assertions</w:t>
            </w:r>
          </w:p>
        </w:tc>
        <w:tc>
          <w:tcPr>
            <w:tcW w:type="dxa" w:w="5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LLM drafts narratives; verifier agent re-parses rendered document and checks data against LIMS</w:t>
            </w:r>
          </w:p>
        </w:tc>
      </w:tr>
    </w:tbl>
    <w:p>
      <w:pPr>
        <w:spacing w:after="80" w:before="80"/>
      </w:pPr>
    </w:p>
    <w:p>
      <w:pPr>
        <w:spacing w:after="100" w:before="60"/>
      </w:pPr>
      <w:r>
        <w:rPr>
          <w:rFonts w:ascii="Arial" w:cs="Arial" w:eastAsia="Arial" w:hAnsi="Arial"/>
          <w:color w:val="1A1A2E"/>
          <w:sz w:val="20"/>
          <w:szCs w:val="20"/>
        </w:rPr>
        <w:t xml:space="preserve">The intermediate representation is the critical architectural decision. A validated Pydantic specification block — {attribute, method_ref, limits, results[]} — validates once against LIMS source data and renders into Word tables, HTML summaries, and Allotrope ASM submissions without drift between formats.</w:t>
      </w:r>
    </w:p>
    <w:p>
      <w:pPr>
        <w:pStyle w:val="Heading2"/>
        <w:spacing w:after="120" w:before="360"/>
      </w:pPr>
      <w:r>
        <w:rPr>
          <w:rFonts w:ascii="Arial" w:cs="Arial" w:eastAsia="Arial" w:hAnsi="Arial"/>
          <w:b/>
          <w:bCs/>
          <w:color w:val="2E75B6"/>
          <w:sz w:val="26"/>
          <w:szCs w:val="26"/>
        </w:rPr>
        <w:t xml:space="preserve">8.2 Template Technologies</w:t>
      </w:r>
    </w:p>
    <w:p>
      <w:pPr>
        <w:pStyle w:val="ListParagraph"/>
        <w:numPr>
          <w:ilvl w:val="0"/>
          <w:numId w:val="2"/>
        </w:numPr>
        <w:spacing w:after="40" w:before="40"/>
      </w:pPr>
      <w:r>
        <w:rPr>
          <w:rFonts w:ascii="Arial" w:cs="Arial" w:eastAsia="Arial" w:hAnsi="Arial"/>
          <w:color w:val="1A1A2E"/>
          <w:sz w:val="20"/>
          <w:szCs w:val="20"/>
        </w:rPr>
        <w:t xml:space="preserve">docxtpl — authors design Word .docx containing Jinja2 tags plus row/cell loop tags ({%tr %}, {%tc %}); InlineImage embeds rendered figures; the workhorse for Module 3</w:t>
      </w:r>
    </w:p>
    <w:p>
      <w:pPr>
        <w:pStyle w:val="ListParagraph"/>
        <w:numPr>
          <w:ilvl w:val="0"/>
          <w:numId w:val="2"/>
        </w:numPr>
        <w:spacing w:after="40" w:before="40"/>
      </w:pPr>
      <w:r>
        <w:rPr>
          <w:rFonts w:ascii="Arial" w:cs="Arial" w:eastAsia="Arial" w:hAnsi="Arial"/>
          <w:color w:val="1A1A2E"/>
          <w:sz w:val="20"/>
          <w:szCs w:val="20"/>
        </w:rPr>
        <w:t xml:space="preserve">docx-mailmerge2 — handles templates with native Word MERGEFIELDs</w:t>
      </w:r>
    </w:p>
    <w:p>
      <w:pPr>
        <w:pStyle w:val="ListParagraph"/>
        <w:numPr>
          <w:ilvl w:val="0"/>
          <w:numId w:val="2"/>
        </w:numPr>
        <w:spacing w:after="40" w:before="40"/>
      </w:pPr>
      <w:r>
        <w:rPr>
          <w:rFonts w:ascii="Arial" w:cs="Arial" w:eastAsia="Arial" w:hAnsi="Arial"/>
          <w:color w:val="1A1A2E"/>
          <w:sz w:val="20"/>
          <w:szCs w:val="20"/>
        </w:rPr>
        <w:t xml:space="preserve">WeasyPrint — best CSS Paged Media support for HTML→PDF</w:t>
      </w:r>
    </w:p>
    <w:p>
      <w:pPr>
        <w:pStyle w:val="ListParagraph"/>
        <w:numPr>
          <w:ilvl w:val="0"/>
          <w:numId w:val="2"/>
        </w:numPr>
        <w:spacing w:after="40" w:before="40"/>
      </w:pPr>
      <w:r>
        <w:rPr>
          <w:rFonts w:ascii="Arial" w:cs="Arial" w:eastAsia="Arial" w:hAnsi="Arial"/>
          <w:color w:val="1A1A2E"/>
          <w:sz w:val="20"/>
          <w:szCs w:val="20"/>
        </w:rPr>
        <w:t xml:space="preserve">Typst via Pandoc — replacing LaTeX in new stacks (~10× faster compile, single-binary install)</w:t>
      </w:r>
    </w:p>
    <w:p>
      <w:pPr>
        <w:pStyle w:val="ListParagraph"/>
        <w:numPr>
          <w:ilvl w:val="0"/>
          <w:numId w:val="2"/>
        </w:numPr>
        <w:spacing w:after="40" w:before="40"/>
      </w:pPr>
      <w:r>
        <w:rPr>
          <w:rFonts w:ascii="Arial" w:cs="Arial" w:eastAsia="Arial" w:hAnsi="Arial"/>
          <w:color w:val="1A1A2E"/>
          <w:sz w:val="20"/>
          <w:szCs w:val="20"/>
        </w:rPr>
        <w:t xml:space="preserve">Pandoc — universal AST for bidirectional conversion with --reference-doc preserving corporate styles</w:t>
      </w:r>
    </w:p>
    <w:p>
      <w:pPr>
        <w:pStyle w:val="Heading2"/>
        <w:spacing w:after="120" w:before="360"/>
      </w:pPr>
      <w:r>
        <w:rPr>
          <w:rFonts w:ascii="Arial" w:cs="Arial" w:eastAsia="Arial" w:hAnsi="Arial"/>
          <w:b/>
          <w:bCs/>
          <w:color w:val="2E75B6"/>
          <w:sz w:val="26"/>
          <w:szCs w:val="26"/>
        </w:rPr>
        <w:t xml:space="preserve">8.3 Template-RAG for ICH M4Q</w:t>
      </w:r>
    </w:p>
    <w:p>
      <w:pPr>
        <w:spacing w:after="100" w:before="60"/>
      </w:pPr>
      <w:r>
        <w:rPr>
          <w:rFonts w:ascii="Arial" w:cs="Arial" w:eastAsia="Arial" w:hAnsi="Arial"/>
          <w:color w:val="1A1A2E"/>
          <w:sz w:val="20"/>
          <w:szCs w:val="20"/>
        </w:rPr>
        <w:t xml:space="preserve">Two coexisting patterns: Slot-filling (deterministic docxtpl against Pydantic IR) handles ~80% of Module 3 — batch analyses, specifications, stability tables, method parameters. This is how Celegence CAPTIS, Yseop Copilot, Docuvera, and Accenture author CMC documents at scale. Narrative sections (3.2.S.2.2 manufacturing-process description, 3.2.P.2 pharmaceutical development rationale, QOS 2.3) use RAG-over-prior-submissions + LLM draft, reinserted as docxtpl.Subdoc. Section registries (sections.yaml mapping section IDs to partials + schemas + retrieval configs) are the lightweight open-source pattern.</w:t>
      </w:r>
    </w:p>
    <w:p>
      <w:pPr>
        <w:pStyle w:val="Heading2"/>
        <w:spacing w:after="120" w:before="360"/>
      </w:pPr>
      <w:r>
        <w:rPr>
          <w:rFonts w:ascii="Arial" w:cs="Arial" w:eastAsia="Arial" w:hAnsi="Arial"/>
          <w:b/>
          <w:bCs/>
          <w:color w:val="2E75B6"/>
          <w:sz w:val="26"/>
          <w:szCs w:val="26"/>
        </w:rPr>
        <w:t xml:space="preserve">8.4 Figure &amp; Table Generation</w:t>
      </w:r>
    </w:p>
    <w:p>
      <w:pPr>
        <w:spacing w:after="100" w:before="60"/>
      </w:pPr>
      <w:r>
        <w:rPr>
          <w:rFonts w:ascii="Arial" w:cs="Arial" w:eastAsia="Arial" w:hAnsi="Arial"/>
          <w:color w:val="1A1A2E"/>
          <w:sz w:val="20"/>
          <w:szCs w:val="20"/>
        </w:rPr>
        <w:t xml:space="preserve">Agents emit matplotlib/plotly code into a sandbox (e2b, OpenAI Code Interpreter, or in-process exec), capture PNG/SVG, feed back as InlineImage. Outputs are hashed by (data, spec) for idempotent regeneration. Key libraries:</w:t>
      </w:r>
    </w:p>
    <w:p>
      <w:pPr>
        <w:pStyle w:val="ListParagraph"/>
        <w:numPr>
          <w:ilvl w:val="0"/>
          <w:numId w:val="2"/>
        </w:numPr>
        <w:spacing w:after="40" w:before="40"/>
      </w:pPr>
      <w:r>
        <w:rPr>
          <w:rFonts w:ascii="Arial" w:cs="Arial" w:eastAsia="Arial" w:hAnsi="Arial"/>
          <w:color w:val="1A1A2E"/>
          <w:sz w:val="20"/>
          <w:szCs w:val="20"/>
        </w:rPr>
        <w:t xml:space="preserve">Chromatograms: matplotlib + scipy.signal.find_peaks with USP resolution/tailing/plate-count annotations</w:t>
      </w:r>
    </w:p>
    <w:p>
      <w:pPr>
        <w:pStyle w:val="ListParagraph"/>
        <w:numPr>
          <w:ilvl w:val="0"/>
          <w:numId w:val="2"/>
        </w:numPr>
        <w:spacing w:after="40" w:before="40"/>
      </w:pPr>
      <w:r>
        <w:rPr>
          <w:rFonts w:ascii="Arial" w:cs="Arial" w:eastAsia="Arial" w:hAnsi="Arial"/>
          <w:color w:val="1A1A2E"/>
          <w:sz w:val="20"/>
          <w:szCs w:val="20"/>
        </w:rPr>
        <w:t xml:space="preserve">Mass spectra: pyopenms-viz extends pandas .plot with kind="spectrum"</w:t>
      </w:r>
    </w:p>
    <w:p>
      <w:pPr>
        <w:pStyle w:val="ListParagraph"/>
        <w:numPr>
          <w:ilvl w:val="0"/>
          <w:numId w:val="2"/>
        </w:numPr>
        <w:spacing w:after="40" w:before="40"/>
      </w:pPr>
      <w:r>
        <w:rPr>
          <w:rFonts w:ascii="Arial" w:cs="Arial" w:eastAsia="Arial" w:hAnsi="Arial"/>
          <w:color w:val="1A1A2E"/>
          <w:sz w:val="20"/>
          <w:szCs w:val="20"/>
        </w:rPr>
        <w:t xml:space="preserve">NMR: nmrglue + matplotlib for 1D/2D spectra</w:t>
      </w:r>
    </w:p>
    <w:p>
      <w:pPr>
        <w:pStyle w:val="ListParagraph"/>
        <w:numPr>
          <w:ilvl w:val="0"/>
          <w:numId w:val="2"/>
        </w:numPr>
        <w:spacing w:after="40" w:before="40"/>
      </w:pPr>
      <w:r>
        <w:rPr>
          <w:rFonts w:ascii="Arial" w:cs="Arial" w:eastAsia="Arial" w:hAnsi="Arial"/>
          <w:color w:val="1A1A2E"/>
          <w:sz w:val="20"/>
          <w:szCs w:val="20"/>
        </w:rPr>
        <w:t xml:space="preserve">Chemical structures: rdkit.Chem.Draw.rdMolDraw2D → SVG/PNG</w:t>
      </w:r>
    </w:p>
    <w:p>
      <w:pPr>
        <w:pStyle w:val="ListParagraph"/>
        <w:numPr>
          <w:ilvl w:val="0"/>
          <w:numId w:val="2"/>
        </w:numPr>
        <w:spacing w:after="40" w:before="40"/>
      </w:pPr>
      <w:r>
        <w:rPr>
          <w:rFonts w:ascii="Arial" w:cs="Arial" w:eastAsia="Arial" w:hAnsi="Arial"/>
          <w:color w:val="1A1A2E"/>
          <w:sz w:val="20"/>
          <w:szCs w:val="20"/>
        </w:rPr>
        <w:t xml:space="preserve">Data tables: great_tables for publication-grade tables with spanners, stub columns, nanoplots, conditional formatting</w:t>
      </w:r>
    </w:p>
    <w:p>
      <w:pPr>
        <w:pStyle w:val="Heading2"/>
        <w:spacing w:after="120" w:before="360"/>
      </w:pPr>
      <w:r>
        <w:rPr>
          <w:rFonts w:ascii="Arial" w:cs="Arial" w:eastAsia="Arial" w:hAnsi="Arial"/>
          <w:b/>
          <w:bCs/>
          <w:color w:val="2E75B6"/>
          <w:sz w:val="26"/>
          <w:szCs w:val="26"/>
        </w:rPr>
        <w:t xml:space="preserve">8.5 Verification Architecture</w:t>
      </w:r>
    </w:p>
    <w:p>
      <w:pPr>
        <w:spacing w:after="100" w:before="60"/>
      </w:pPr>
      <w:r>
        <w:rPr>
          <w:rFonts w:ascii="Arial" w:cs="Arial" w:eastAsia="Arial" w:hAnsi="Arial"/>
          <w:color w:val="1A1A2E"/>
          <w:sz w:val="20"/>
          <w:szCs w:val="20"/>
        </w:rPr>
        <w:t xml:space="preserve">A verifier agent re-parses the rendered document via python-docx and asserts every asserted number exists in LIMS (assert abs(doc.assay_pct - lims.get_assay(batch)) &lt; 0.05); failures inject error context and trigger re-drafting. DSPy.Assert/dspy.Suggest and guardrails-ai enforce Pydantic/RAIL validators on every LLM call. DSPy reports ≥100% improvement in constraint satisfaction when assertions are active. The classic DSPy CheckCitationFaithfulness pattern compares each generated sentence to retrieved context and retries until grounded.</w:t>
      </w:r>
    </w:p>
    <w:p>
      <w:pPr>
        <w:pStyle w:val="Heading2"/>
        <w:spacing w:after="120" w:before="360"/>
      </w:pPr>
      <w:r>
        <w:rPr>
          <w:rFonts w:ascii="Arial" w:cs="Arial" w:eastAsia="Arial" w:hAnsi="Arial"/>
          <w:b/>
          <w:bCs/>
          <w:color w:val="2E75B6"/>
          <w:sz w:val="26"/>
          <w:szCs w:val="26"/>
        </w:rPr>
        <w:t xml:space="preserve">8.6 Document Versioning</w:t>
      </w:r>
    </w:p>
    <w:p>
      <w:pPr>
        <w:spacing w:after="100" w:before="60"/>
      </w:pPr>
      <w:r>
        <w:rPr>
          <w:rFonts w:ascii="Arial" w:cs="Arial" w:eastAsia="Arial" w:hAnsi="Arial"/>
          <w:color w:val="1A1A2E"/>
          <w:sz w:val="20"/>
          <w:szCs w:val="20"/>
        </w:rPr>
        <w:t xml:space="preserve">.gitattributes sets *.docx diff=pandoc; git diff of a Word doc becomes readable Markdown. pandiff produces rich prose diffs in any Pandoc format including rendered redline PDF/Word — the preferred pattern for regulatory redline review. Database-backed component versioning (Postgres + JSONB holding the IR, hash-addressed blob store for rendered artifacts) is effectively what Docuvera and Veeva Vault Submissions implement.</w:t>
      </w:r>
    </w:p>
    <w:p>
      <w:r>
        <w:br w:type="page"/>
      </w:r>
    </w:p>
    <w:p>
      <w:pPr>
        <w:pStyle w:val="Heading1"/>
        <w:spacing w:after="160" w:before="480"/>
      </w:pPr>
      <w:r>
        <w:rPr>
          <w:rFonts w:ascii="Arial" w:cs="Arial" w:eastAsia="Arial" w:hAnsi="Arial"/>
          <w:b/>
          <w:bCs/>
          <w:color w:val="1F3864"/>
          <w:sz w:val="32"/>
          <w:szCs w:val="32"/>
        </w:rPr>
        <w:t xml:space="preserve">9. CD/AD Architecture Patterns</w:t>
      </w:r>
    </w:p>
    <w:p>
      <w:pPr>
        <w:pStyle w:val="Heading2"/>
        <w:spacing w:after="120" w:before="360"/>
      </w:pPr>
      <w:r>
        <w:rPr>
          <w:rFonts w:ascii="Arial" w:cs="Arial" w:eastAsia="Arial" w:hAnsi="Arial"/>
          <w:b/>
          <w:bCs/>
          <w:color w:val="2E75B6"/>
          <w:sz w:val="26"/>
          <w:szCs w:val="26"/>
        </w:rPr>
        <w:t xml:space="preserve">9.1 The SOUL.md for CD/AD</w:t>
      </w:r>
    </w:p>
    <w:p>
      <w:pPr>
        <w:spacing w:after="100" w:before="60"/>
      </w:pPr>
      <w:r>
        <w:rPr>
          <w:rFonts w:ascii="Arial" w:cs="Arial" w:eastAsia="Arial" w:hAnsi="Arial"/>
          <w:color w:val="1A1A2E"/>
          <w:sz w:val="20"/>
          <w:szCs w:val="20"/>
        </w:rPr>
        <w:t xml:space="preserve">Every autonomous agent runtime uses some form of identity/constraint configuration. For CD/AD, this document is the operational specification of what the agent may and may not do. It should be version-controlled and change-controlled.</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2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AUTONOMOUS PERMITTED (no approval)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Literature and patent searches; BO iteration planning; stability data retrieval and trending calculations; impurity candidate structure ranking; draft report generation (ELN/LIMS data → template); OOS Phase 1 data assembly (not conclusion); reagent inventory monitoring and alert generation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HUMAN REVIEW REQUIRED (propose → scientist approves)</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Route selection or route changes; specification setting or modification; acceptance criteria definition; final method validation conclusions; ICH Q3A impurity qualification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PROHIBITED (never without QP/RA authorization)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Autonomous submission of any document to QMS; batch disposition statements; regulatory filing content finalization; modification of validated methods without change control</w:t>
            </w:r>
          </w:p>
        </w:tc>
      </w:tr>
    </w:tbl>
    <w:p>
      <w:pPr>
        <w:pStyle w:val="Heading2"/>
        <w:spacing w:after="120" w:before="360"/>
      </w:pPr>
      <w:r>
        <w:rPr>
          <w:rFonts w:ascii="Arial" w:cs="Arial" w:eastAsia="Arial" w:hAnsi="Arial"/>
          <w:b/>
          <w:bCs/>
          <w:color w:val="2E75B6"/>
          <w:sz w:val="26"/>
          <w:szCs w:val="26"/>
        </w:rPr>
        <w:t xml:space="preserve">9.2 Tiered Autonomy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76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Activities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 1 — Fully autonomous (no notification)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Literature search, database queries, BO iteration selection, trend calculation, inventory monitoring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Tier 2 — Autonomous with notification</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Draft document generation, OOS Phase 1 assembly, inventory alerts with reorder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 3 — Propose + synchronous human review</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Route proposals, specification changes, method acceptance criteria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Tier 4 — Human initiates, agent assists</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Regulatory submissions, batch release, specification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Tier 5 — Always human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QP certification, GMP batch disposition, regulatory commitments</w:t>
            </w:r>
          </w:p>
        </w:tc>
      </w:tr>
    </w:tbl>
    <w:p>
      <w:pPr>
        <w:pStyle w:val="Heading2"/>
        <w:spacing w:after="120" w:before="360"/>
      </w:pPr>
      <w:r>
        <w:rPr>
          <w:rFonts w:ascii="Arial" w:cs="Arial" w:eastAsia="Arial" w:hAnsi="Arial"/>
          <w:b/>
          <w:bCs/>
          <w:color w:val="2E75B6"/>
          <w:sz w:val="26"/>
          <w:szCs w:val="26"/>
        </w:rPr>
        <w:t xml:space="preserve">9.3 CD/AD Integration Architecture</w:t>
      </w:r>
    </w:p>
    <w:p>
      <w:pPr>
        <w:spacing w:after="100" w:before="60"/>
      </w:pPr>
      <w:r>
        <w:rPr>
          <w:rFonts w:ascii="Arial" w:cs="Arial" w:eastAsia="Arial" w:hAnsi="Arial"/>
          <w:color w:val="1A1A2E"/>
          <w:sz w:val="20"/>
          <w:szCs w:val="20"/>
        </w:rPr>
        <w:t xml:space="preserve">Recommended architecture for a Big Pharma CD/AD department:</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40"/>
        <w:gridCol w:w="4640"/>
      </w:tblGrid>
      <w:tr>
        <w:trPr>
          <w:tblHeader/>
        </w:trP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Systems</w:t>
            </w:r>
          </w:p>
        </w:tc>
        <w:tc>
          <w:tcPr>
            <w:tcW w:type="dxa" w:w="46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Communication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Autonomous Agent Runtime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 (primary) / Hermes Agent (for self-improving campaigns) / Adopt AI (for regulated workflows)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 MCP, A2A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ELN</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Benchling, IDBS E-WorkBook, Dotmatics</w:t>
            </w:r>
          </w:p>
        </w:tc>
        <w:tc>
          <w:tcPr>
            <w:tcW w:type="dxa" w:w="4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REST API + EventBridge/webhook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LIMS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LabVantage, StarLIMS, LabWare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 API + polling/Debezium</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CDS / Instruments</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Waters Empower (Web API + COM), Agilent OpenLab (file-drop + ECM)</w:t>
            </w:r>
          </w:p>
        </w:tc>
        <w:tc>
          <w:tcPr>
            <w:tcW w:type="dxa" w:w="4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HTTP + file system watcher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Document Management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Veeva Vault / SharePoint / Documentum</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 + versioning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Secret Management</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HashiCorp Vault Transit</w:t>
            </w:r>
          </w:p>
        </w:tc>
        <w:tc>
          <w:tcPr>
            <w:tcW w:type="dxa" w:w="4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Dynamic short-lived secrets; mlock protection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Audit Trail</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Append-only Postgres + hash chaining OR OpenFang Merkle chain</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Per-action: timestamp, agent-id, tool, inputs-hash, output-hash, prev-hash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QA Review Gate</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Human review before any output enters formal QMS</w:t>
            </w:r>
          </w:p>
        </w:tc>
        <w:tc>
          <w:tcPr>
            <w:tcW w:type="dxa" w:w="4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Async review workflow; agent watermarks all drafts</w:t>
            </w:r>
          </w:p>
        </w:tc>
      </w:tr>
    </w:tbl>
    <w:p>
      <w:r>
        <w:br w:type="page"/>
      </w:r>
    </w:p>
    <w:p>
      <w:pPr>
        <w:pStyle w:val="Heading1"/>
        <w:spacing w:after="160" w:before="480"/>
      </w:pPr>
      <w:r>
        <w:rPr>
          <w:rFonts w:ascii="Arial" w:cs="Arial" w:eastAsia="Arial" w:hAnsi="Arial"/>
          <w:b/>
          <w:bCs/>
          <w:color w:val="1F3864"/>
          <w:sz w:val="32"/>
          <w:szCs w:val="32"/>
        </w:rPr>
        <w:t xml:space="preserve">10. Competitive Intelligence — 2026 Deployments</w:t>
      </w:r>
    </w:p>
    <w:p>
      <w:pPr>
        <w:pStyle w:val="Heading2"/>
        <w:spacing w:after="120" w:before="360"/>
      </w:pPr>
      <w:r>
        <w:rPr>
          <w:rFonts w:ascii="Arial" w:cs="Arial" w:eastAsia="Arial" w:hAnsi="Arial"/>
          <w:b/>
          <w:bCs/>
          <w:color w:val="2E75B6"/>
          <w:sz w:val="26"/>
          <w:szCs w:val="26"/>
        </w:rPr>
        <w:t xml:space="preserve">10.1 Named Pharma &amp; Chemical Industry Deployments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080"/>
        <w:gridCol w:w="1200"/>
      </w:tblGrid>
      <w:tr>
        <w:trPr>
          <w:tblHeader/>
        </w:trPr>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40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Key facts</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AstraZeneca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ChatInvent (internal multi-agent)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CD / Molecular Design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Evolved from single-agent POC to multi-agent with CI testing + benchmark harness; production since 2025; 2026 acquisition of Modella AI adds multimodal oncology pathology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Drug Discovery Today 31(2):104605, Jan 2026</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USTC (ChemAgents)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ChemAgents — hierarchical multi-agent robotic chemist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Self-driving lab</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On-prem Llama-3.1-70B; Task Manager + Literature Reader + Experiment Designer + Computation Performer + Robot Operator; 20 automated stations; cross-lab portable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JACS 147:12534,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Celanese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JO.AI (~50 plants, Cognite Data Fusion)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Plant operations (OOS/process agent analogue)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trillion sensor records; shift-checklist optimizer + anomaly detector (heat-exchanger corrosion) + work-order drafter; largest industrial agentic deployment per ARC Advisory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Forbes/C&amp;EN 2026</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BASF</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Autonomous AI reactor + QKnows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Process development</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First-of-a-kind autonomous reactor (plan, execute, analyze, trigger next cycle); reported 20× faster than manual DoE; QKnows queries &gt;400M internal+external documents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BASF Research Press Briefing P241/25e, Dec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MyGenAssist (50k users, 12k+ agents) + E.L.Y. + Dr. Bei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R&amp;D and commercial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50k total users, 25k MAU; E.L.Y. built with EY + Azure OpenAI in 90 days; Dr. Bei saves 6–7k training hours/year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VAST Data / company announcements 2026</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NVIDIA + Eli Lilly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BioNeMo joint AI lab (up to $1B, 5 years)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End-to-end drug discovery</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Continuous-learning system cycling data between robotic lab equipment and AI models 24/7; Vera Rubin architecture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JPM Healthcare Jan 12 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BCG + undisclosed pharma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Custom multi-agent (Microsoft stack)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Clinical documentation (analogue to CMC)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Time-to-first-draft for clinical trial protocols: 6 months →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BCG Dec 2025</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Moderna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Veeva AI Agents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Regulatory document automation</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Early adopter post Dec 2025 launch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IntuitionLabs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BMS, Roche, Novo Nordisk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Veeva AI Agents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Vault workflow automation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2026 customer wins; GA August 2026 with Yseop/Celegence as launch partners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IntuitionLabs 2026</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Merck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ChemLex self-driving lab</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Early discovery</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High-throughput automated self-driving lab for early discovery chemistry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Chemical Week Jan 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Omar Yaghi (COF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Custom LLM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Materials / synthesis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Autonomous literature → synthesis → structural analysis → optimization; reported 350% crystallinity boost on benchmark COF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JACS 2026, DOI 10.1021/jacs.5c23233</w:t>
            </w:r>
          </w:p>
        </w:tc>
      </w:tr>
    </w:tbl>
    <w:p>
      <w:pPr>
        <w:pStyle w:val="Heading2"/>
        <w:spacing w:after="120" w:before="360"/>
      </w:pPr>
      <w:r>
        <w:rPr>
          <w:rFonts w:ascii="Arial" w:cs="Arial" w:eastAsia="Arial" w:hAnsi="Arial"/>
          <w:b/>
          <w:bCs/>
          <w:color w:val="2E75B6"/>
          <w:sz w:val="26"/>
          <w:szCs w:val="26"/>
        </w:rPr>
        <w:t xml:space="preserve">10.2 CDMO Competitive Threat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STRATEGIC NOTE</w:t>
            </w:r>
          </w:p>
        </w:tc>
        <w:tc>
          <w:tcPr>
            <w:tcW w:type="dxa" w:w="9880"/>
            <w:tcBorders>
              <w:top w:val="none" w:color="FFFFFF" w:sz="0"/>
              <w:left w:val="single" w:color="C55A11" w:sz="6"/>
              <w:bottom w:val="none" w:color="FFFFFF" w:sz="0"/>
              <w:right w:val="none" w:color="FFFFFF" w:sz="0"/>
            </w:tcBorders>
            <w:shd w:fill="FFF3E6" w:val="clear"/>
            <w:tcMar>
              <w:top w:type="dxa" w:w="120"/>
              <w:left w:type="dxa" w:w="160"/>
              <w:bottom w:type="dxa" w:w="120"/>
              <w:right w:type="dxa" w:w="120"/>
            </w:tcMar>
          </w:tcPr>
          <w:p>
            <w:r>
              <w:rPr>
                <w:rFonts w:ascii="Arial" w:cs="Arial" w:eastAsia="Arial" w:hAnsi="Arial"/>
                <w:color w:val="1A1A2E"/>
                <w:sz w:val="18"/>
                <w:szCs w:val="18"/>
              </w:rPr>
              <w:t xml:space="preserve">CDMOs are increasingly differentiating on AI-accelerated development timelines. The competitive argument for in-house deployment is retention of knowledge — every optimization campaign run on a CDMO's autonomous system trains that CDMO's models, not yours.</w:t>
            </w:r>
          </w:p>
        </w:tc>
      </w:tr>
    </w:tbl>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CDMO</w:t>
            </w:r>
          </w:p>
        </w:tc>
        <w:tc>
          <w:tcPr>
            <w:tcW w:type="dxa" w:w="80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AI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Lonza</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Design2Optimize (May 2025, with Fraunhofer ITWM) — API-specific digital twins + in silico DoE; AI-enabled Route Scouting (retrosynthesis + supply-chain pricing); AI-driven PAT reducing biologics batch failures ~15%</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Thermo Fisher / Patheon</w:t>
            </w:r>
          </w:p>
        </w:tc>
        <w:tc>
          <w:tcPr>
            <w:tcW w:type="dxa" w:w="8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Thermo Fisher × OpenAI (October 2025) — OpenAI APIs across product development, service delivery, customer engagement, and the PPD clinical business; NVIDIA partnership announced at JPM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WuXi AppTec</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CADD platform + Insilico Medicine partnership for GAN/RL-generated molecule testing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Asymchem</w:t>
            </w:r>
          </w:p>
        </w:tc>
        <w:tc>
          <w:tcPr>
            <w:tcW w:type="dxa" w:w="8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AI-assisted process development reported in industry surveys; specific platform not disclosed</w:t>
            </w:r>
          </w:p>
        </w:tc>
      </w:tr>
    </w:tbl>
    <w:p>
      <w:pPr>
        <w:pStyle w:val="Heading2"/>
        <w:spacing w:after="120" w:before="360"/>
      </w:pPr>
      <w:r>
        <w:rPr>
          <w:rFonts w:ascii="Arial" w:cs="Arial" w:eastAsia="Arial" w:hAnsi="Arial"/>
          <w:b/>
          <w:bCs/>
          <w:color w:val="2E75B6"/>
          <w:sz w:val="26"/>
          <w:szCs w:val="26"/>
        </w:rPr>
        <w:t xml:space="preserve">10.3 Commercial Tools Targeting CD/AD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rPr>
          <w:tblHeader/>
        </w:trP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Vendor</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44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Technical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Albert Invent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Albert ($22.5M Series A Dec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Formulation/process optimization + experimental data management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Proprietary chemistry foundation model trained on ~15M structures + 50k raw materials; customers include Kenvue (Tylenol/Neutrogena — reported 3-month → 2-day project compression)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ChemCopilot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Avva/Woo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Process scale-up, crystallization optimization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AWS-serverless multi-agent (Lambda + API Gateway + DynamoDB + Bedrock Agents); per-customer private instances; 85% productivity gain reported in BOM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Matlantis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Preferred Networks (PFN/ENEOS/Mitsubishi)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Atomic simulation-driven materials/process discovery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PFP v8 (July 2025): universal MLIP trained on r2SCAN DFT, up to 20M× faster than DFT; agentic platform confirmed by CEO to C&amp;EN Jan 2026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Celegence CAPTIS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Celegence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CMC Module 3 documentation automation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2025 Kenvue pilot; claimed 80–95% alignment with approved precedent, 60% faster drafts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Yseop Copilot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Yseop + Veeva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CMC documentation + QOS authoring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Integrated with Veeva Vault RIM; first CMC product targets 2.3 QOS with traceability to 3.2 sections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ACD/Method Selection Suite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ACD/Labs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HPLC method development automation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Moving toward autonomous optimization; NMR/MS interpretation automation in Spectrus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DryLab / Molnár-Institute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Molnár-Institute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HPLC method optimization simulation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Physics-based simulation-driven column/gradient optimization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Thermo Compound Discoverer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Thermo Fisher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LC-MS data processing + structure elucidation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Agentic automation extensions available; pairs with SIRIUS+CSI:FingerID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SIRIUS+CSI:FingerID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University of Jena (OSS)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MS-based structure elucidation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State-of-the-art fragmentation-based structure prediction; free for academic/internal use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NMRium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OSS (NMRIUM project)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NMR processing with API access</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Web-based; REST API for autonomous integration; active development</w:t>
            </w:r>
          </w:p>
        </w:tc>
      </w:tr>
    </w:tbl>
    <w:p>
      <w:r>
        <w:br w:type="page"/>
      </w:r>
    </w:p>
    <w:p>
      <w:pPr>
        <w:pStyle w:val="Heading1"/>
        <w:spacing w:after="160" w:before="480"/>
      </w:pPr>
      <w:r>
        <w:rPr>
          <w:rFonts w:ascii="Arial" w:cs="Arial" w:eastAsia="Arial" w:hAnsi="Arial"/>
          <w:b/>
          <w:bCs/>
          <w:color w:val="1F3864"/>
          <w:sz w:val="32"/>
          <w:szCs w:val="32"/>
        </w:rPr>
        <w:t xml:space="preserve">11. LLM Selection for CD/AD Deployments</w:t>
      </w:r>
    </w:p>
    <w:p>
      <w:pPr>
        <w:pStyle w:val="Heading2"/>
        <w:spacing w:after="120" w:before="360"/>
      </w:pPr>
      <w:r>
        <w:rPr>
          <w:rFonts w:ascii="Arial" w:cs="Arial" w:eastAsia="Arial" w:hAnsi="Arial"/>
          <w:b/>
          <w:bCs/>
          <w:color w:val="2E75B6"/>
          <w:sz w:val="26"/>
          <w:szCs w:val="26"/>
        </w:rPr>
        <w:t xml:space="preserve">11.1 Cloud vs. On-Premises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40"/>
        <w:gridCol w:w="6040"/>
      </w:tblGrid>
      <w:tr>
        <w:trPr>
          <w:tblHeader/>
        </w:trPr>
        <w:tc>
          <w:tcPr>
            <w:tcW w:type="dxa" w:w="4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6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Recommended deployment</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Discovery-phase public compound data — literature intelligence, prior art searches</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Cloud (Manus, Adopt AI, OpenFang with cloud LLM) acceptable</w:t>
            </w:r>
          </w:p>
        </w:tc>
      </w:tr>
      <w:tr>
        <w:tc>
          <w:tcPr>
            <w:tcW w:type="dxa" w:w="4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Development-phase proprietary synthesis data, unpublished structures</w:t>
            </w:r>
          </w:p>
        </w:tc>
        <w:tc>
          <w:tcPr>
            <w:tcW w:type="dxa" w:w="6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Self-hosted only: OpenFang/Hermes/NemoClaw + local LLM via Ollama/vLLM</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CMC documentation involving unpublished process parameters</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Self-hosted only; consider air-gap for highest sensitivity</w:t>
            </w:r>
          </w:p>
        </w:tc>
      </w:tr>
      <w:tr>
        <w:tc>
          <w:tcPr>
            <w:tcW w:type="dxa" w:w="4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Non-sensitive research intelligence (published competitor compounds, regulatory feeds)</w:t>
            </w:r>
          </w:p>
        </w:tc>
        <w:tc>
          <w:tcPr>
            <w:tcW w:type="dxa" w:w="6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Any cloud platform acceptable</w:t>
            </w:r>
          </w:p>
        </w:tc>
      </w:tr>
    </w:tbl>
    <w:p>
      <w:pPr>
        <w:pStyle w:val="Heading2"/>
        <w:spacing w:after="120" w:before="360"/>
      </w:pPr>
      <w:r>
        <w:rPr>
          <w:rFonts w:ascii="Arial" w:cs="Arial" w:eastAsia="Arial" w:hAnsi="Arial"/>
          <w:b/>
          <w:bCs/>
          <w:color w:val="2E75B6"/>
          <w:sz w:val="26"/>
          <w:szCs w:val="26"/>
        </w:rPr>
        <w:t xml:space="preserve">11.2 Local Model Performance on Chemistry Tasks</w:t>
      </w:r>
    </w:p>
    <w:p>
      <w:pPr>
        <w:spacing w:after="100" w:before="60"/>
      </w:pPr>
      <w:r>
        <w:rPr>
          <w:rFonts w:ascii="Arial" w:cs="Arial" w:eastAsia="Arial" w:hAnsi="Arial"/>
          <w:color w:val="1A1A2E"/>
          <w:sz w:val="20"/>
          <w:szCs w:val="20"/>
        </w:rPr>
        <w:t xml:space="preserve">No peer-reviewed benchmarks definitively rank open models for pharmaceutical chemistry reasoning. The most-cited open benchmark (USNCO Olympiad multimodal, PMC12717038) shows Qwen2.5-VL-72B at 51.8%, InternVL3.5-38B at 54.2%, and Intern-S1 (241B) at 58.2% — all trailing closed frontier models. Plan for scaffold-based retrieval ICL, domain LoRA fine-tuning, or hybrid retrieval-augmented frontier models rather than betting on a vanilla open model.</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40"/>
        <w:gridCol w:w="304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38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Chemistry strengths</w:t>
            </w:r>
          </w:p>
        </w:tc>
        <w:tc>
          <w:tcPr>
            <w:tcW w:type="dxa" w:w="304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Deployment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Llama 3.3 70B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70B</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Strong general chemistry reasoning; good instruction following</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Ollama; ~40 GB VRAM; A100/H100 recommended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Qwen 2.5 72B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72B</w:t>
            </w:r>
          </w:p>
        </w:tc>
        <w:tc>
          <w:tcPr>
            <w:tcW w:type="dxa" w:w="38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Highest open-model chemistry benchmark scores; strong code generation</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Ollama + vLLM; 51.8% USNCO; good for synthesis planning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Mistral Large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~123B</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Strong reasoning; GDPR-friendly (EU training, European data residency option)</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vLLM; 80 GB+ VRAM</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DeepSeek-R1 70B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70B</w:t>
            </w:r>
          </w:p>
        </w:tc>
        <w:tc>
          <w:tcPr>
            <w:tcW w:type="dxa" w:w="38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Strong chemistry chain-of-thought reasoning</w:t>
            </w:r>
          </w:p>
        </w:tc>
        <w:tc>
          <w:tcPr>
            <w:tcW w:type="dxa" w:w="30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Ollama; good cost/performance for internal deployments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NVIDIA Nemotron 120B (NemoClaw 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120B</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Optimized for NIM/NemoClaw stack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30–90 s/response on local hardware (NVIDIA's own estimate); requires DGX-class hardware</w:t>
            </w:r>
          </w:p>
        </w:tc>
      </w:tr>
    </w:tbl>
    <w:p>
      <w:pPr>
        <w:pStyle w:val="Heading2"/>
        <w:spacing w:after="120" w:before="360"/>
      </w:pPr>
      <w:r>
        <w:rPr>
          <w:rFonts w:ascii="Arial" w:cs="Arial" w:eastAsia="Arial" w:hAnsi="Arial"/>
          <w:b/>
          <w:bCs/>
          <w:color w:val="2E75B6"/>
          <w:sz w:val="26"/>
          <w:szCs w:val="26"/>
        </w:rPr>
        <w:t xml:space="preserve">11.3 Domain Fine-Tuning Strategy</w:t>
      </w:r>
    </w:p>
    <w:p>
      <w:pPr>
        <w:spacing w:after="100" w:before="60"/>
      </w:pPr>
      <w:r>
        <w:rPr>
          <w:rFonts w:ascii="Arial" w:cs="Arial" w:eastAsia="Arial" w:hAnsi="Arial"/>
          <w:color w:val="1A1A2E"/>
          <w:sz w:val="20"/>
          <w:szCs w:val="20"/>
        </w:rPr>
        <w:t xml:space="preserve">IBM's Molecular Transformer transfer-learning results on Thieme-curated reaction data: 3× improvement in forward reaction prediction and 9× improvement in retrosynthesis prediction. 50% first-shot enzymatic product prediction on 60k biochemical reactions. The strategy:</w:t>
      </w:r>
    </w:p>
    <w:p>
      <w:pPr>
        <w:pStyle w:val="ListParagraph"/>
        <w:numPr>
          <w:ilvl w:val="0"/>
          <w:numId w:val="2"/>
        </w:numPr>
        <w:spacing w:after="40" w:before="40"/>
      </w:pPr>
      <w:r>
        <w:rPr>
          <w:rFonts w:ascii="Arial" w:cs="Arial" w:eastAsia="Arial" w:hAnsi="Arial"/>
          <w:color w:val="1A1A2E"/>
          <w:sz w:val="20"/>
          <w:szCs w:val="20"/>
        </w:rPr>
        <w:t xml:space="preserve">Base model: Molecular Transformer or Llama 3.3 70B with chemistry instruction tuning</w:t>
      </w:r>
    </w:p>
    <w:p>
      <w:pPr>
        <w:pStyle w:val="ListParagraph"/>
        <w:numPr>
          <w:ilvl w:val="0"/>
          <w:numId w:val="2"/>
        </w:numPr>
        <w:spacing w:after="40" w:before="40"/>
      </w:pPr>
      <w:r>
        <w:rPr>
          <w:rFonts w:ascii="Arial" w:cs="Arial" w:eastAsia="Arial" w:hAnsi="Arial"/>
          <w:color w:val="1A1A2E"/>
          <w:sz w:val="20"/>
          <w:szCs w:val="20"/>
        </w:rPr>
        <w:t xml:space="preserve">Per-therapeutic-area LoRA adapters trained on internal reaction databases (ORD format) + THIEME-curated literature reactions</w:t>
      </w:r>
    </w:p>
    <w:p>
      <w:pPr>
        <w:pStyle w:val="ListParagraph"/>
        <w:numPr>
          <w:ilvl w:val="0"/>
          <w:numId w:val="2"/>
        </w:numPr>
        <w:spacing w:after="40" w:before="40"/>
      </w:pPr>
      <w:r>
        <w:rPr>
          <w:rFonts w:ascii="Arial" w:cs="Arial" w:eastAsia="Arial" w:hAnsi="Arial"/>
          <w:color w:val="1A1A2E"/>
          <w:sz w:val="20"/>
          <w:szCs w:val="20"/>
        </w:rPr>
        <w:t xml:space="preserve">Hermes skills versioned in an internal Skills Hub — captures procedural knowledge without retraining</w:t>
      </w:r>
    </w:p>
    <w:p>
      <w:pPr>
        <w:pStyle w:val="ListParagraph"/>
        <w:numPr>
          <w:ilvl w:val="0"/>
          <w:numId w:val="2"/>
        </w:numPr>
        <w:spacing w:after="40" w:before="40"/>
      </w:pPr>
      <w:r>
        <w:rPr>
          <w:rFonts w:ascii="Arial" w:cs="Arial" w:eastAsia="Arial" w:hAnsi="Arial"/>
          <w:color w:val="1A1A2E"/>
          <w:sz w:val="20"/>
          <w:szCs w:val="20"/>
        </w:rPr>
        <w:t xml:space="preserve">Atropos RL loop exports production trajectories to fine-tune the next model generation</w:t>
      </w:r>
    </w:p>
    <w:p>
      <w:r>
        <w:br w:type="page"/>
      </w:r>
    </w:p>
    <w:p>
      <w:pPr>
        <w:pStyle w:val="Heading1"/>
        <w:spacing w:after="160" w:before="480"/>
      </w:pPr>
      <w:r>
        <w:rPr>
          <w:rFonts w:ascii="Arial" w:cs="Arial" w:eastAsia="Arial" w:hAnsi="Arial"/>
          <w:b/>
          <w:bCs/>
          <w:color w:val="1F3864"/>
          <w:sz w:val="32"/>
          <w:szCs w:val="32"/>
        </w:rPr>
        <w:t xml:space="preserve">12. System Selection — Decision Matrix &amp; TCO</w:t>
      </w:r>
    </w:p>
    <w:p>
      <w:pPr>
        <w:pStyle w:val="Heading2"/>
        <w:spacing w:after="120" w:before="360"/>
      </w:pPr>
      <w:r>
        <w:rPr>
          <w:rFonts w:ascii="Arial" w:cs="Arial" w:eastAsia="Arial" w:hAnsi="Arial"/>
          <w:b/>
          <w:bCs/>
          <w:color w:val="2E75B6"/>
          <w:sz w:val="26"/>
          <w:szCs w:val="26"/>
        </w:rPr>
        <w:t xml:space="preserve">12.1 Head-to-Head Technical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1200"/>
        <w:gridCol w:w="1200"/>
        <w:gridCol w:w="1200"/>
        <w:gridCol w:w="1200"/>
        <w:gridCol w:w="1080"/>
      </w:tblGrid>
      <w:tr>
        <w:trPr>
          <w:tblHeader/>
        </w:trP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OpenClaw</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OpenFang</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Hermes Agent</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NanoClaw</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Adopt AI</w:t>
            </w:r>
          </w:p>
        </w:tc>
        <w:tc>
          <w:tcPr>
            <w:tcW w:type="dxa" w:w="10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Manus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Security model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Critical CVEs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16 controls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None native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Container isolation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SOC2 Type II</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Cloud/Meta-owned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Audit trail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None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Merkle hash chain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SQLite only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Basic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Compliant</w:t>
            </w:r>
          </w:p>
        </w:tc>
        <w:tc>
          <w:tcPr>
            <w:tcW w:type="dxa" w:w="1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Opaque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Self-acting (no prompts)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HAND.toml cron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Local LLM support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25+ providers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26+ providers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Ollama, OpenRouter, NIM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Ollama/vLLM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Local endpoint</w:t>
            </w:r>
          </w:p>
        </w:tc>
        <w:tc>
          <w:tcPr>
            <w:tcW w:type="dxa" w:w="1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Cloud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Chemistry tool extensibility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5k+ SKILL.md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HAND.toml + MCP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Skills + MCP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Zero-shot API</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29 tools only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Self-improvement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Yes (Atropos RL)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No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No</w:t>
            </w:r>
          </w:p>
        </w:tc>
        <w:tc>
          <w:tcPr>
            <w:tcW w:type="dxa" w:w="1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 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Enterprise compliance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Pre-1.0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Pre-1.0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SOC2+HIPAA+ISO27001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 Meta-owned</w:t>
            </w:r>
          </w:p>
        </w:tc>
      </w:tr>
    </w:tbl>
    <w:p>
      <w:pPr>
        <w:pStyle w:val="Heading2"/>
        <w:spacing w:after="120" w:before="360"/>
      </w:pPr>
      <w:r>
        <w:rPr>
          <w:rFonts w:ascii="Arial" w:cs="Arial" w:eastAsia="Arial" w:hAnsi="Arial"/>
          <w:b/>
          <w:bCs/>
          <w:color w:val="2E75B6"/>
          <w:sz w:val="26"/>
          <w:szCs w:val="26"/>
        </w:rPr>
        <w:t xml:space="preserve">12.2 Use-Case Decision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Primary recommendation</w:t>
            </w:r>
          </w:p>
        </w:tc>
        <w:tc>
          <w:tcPr>
            <w:tcW w:type="dxa" w:w="52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Nightly literature intelligence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Hermes + OpenFang Researcher Hand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Both have cron + browser; Hermes adds trajectory export for skill reuse across campaigns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Closed-loop Bayesian optimization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BoFire as MCP tool + OpenFang or Hermes scheduler</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BoFire is BASF/Meta-backed, proven; the runtime just schedules and logs iterations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Chromatographic method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Custom agent on Empower Web API + OpenFang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Only Empower Web API gives programmatic method mutation; WASM sandbox limits blast radius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Impurity ID pipelines (LC-MS)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Hermes + MS2Query as MCP tool + nmrglue/pyopenms</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MS2Query's 35% reliable-analogue recall is peer-reviewed; trajectory learning captures method-class reuse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Stability trending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OpenFang Collector Hand + LabVantage REST + Graphiti temporal KG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Bi-temporal edges model SOP/reagent changes natively; cron scheduling built into HAND.toml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CMC documentation drafting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Adopt AI or custom (docxtpl + DSPy) with Benchling EventBridge triggers</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Adopt AI is the only system with SOC 2 Type II + HIPAA + on-prem Helm; DSPy/Guardrails for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Spectral interpretation (NMR,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Hermes + NMRium/MS2Query MCP tools + NMRNet embeddings in Qdrant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Skills capture interpretive heuristics per compound class; trajectory learning accumulates expertise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OOS investigation initiation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Enterprise platform (Adopt AI, Celanese JO.AI pattern) not personal runtime</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Requires deep LIMS/ELN integration + human-in-loop gating at a process level, not agent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Tech transfer package assembly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Adopt AI or Docuvera + Benchling Data Warehouse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Component content management with dependency versioning is the hard part; zero-shot API discovery handles legacy LIMS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Air-gapped on-prem chemistry reasoning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NemoClaw (alpha) OR ChemAgents-style Llama-3.1-70B + Ollama</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Only paths that keep data and inference fully local; accept tech-preview status for NemoClaw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Legacy instrument software (no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Claude Cowork or Agent S3 (computer-use agents)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These are the only path to automation for Empower/TopSpin/LIMS with no REST API</w:t>
            </w:r>
          </w:p>
        </w:tc>
      </w:tr>
    </w:tbl>
    <w:p>
      <w:pPr>
        <w:pStyle w:val="Heading2"/>
        <w:spacing w:after="120" w:before="360"/>
      </w:pPr>
      <w:r>
        <w:rPr>
          <w:rFonts w:ascii="Arial" w:cs="Arial" w:eastAsia="Arial" w:hAnsi="Arial"/>
          <w:b/>
          <w:bCs/>
          <w:color w:val="2E75B6"/>
          <w:sz w:val="26"/>
          <w:szCs w:val="26"/>
        </w:rPr>
        <w:t xml:space="preserve">12.3 Total Cost of Ownership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rPr>
          <w:tblHeader/>
        </w:trP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Self-hosted OSS (Hermes + OpenFang)</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Enterprise cloud (Adopt AI, Albert Invent)</w:t>
            </w:r>
          </w:p>
        </w:tc>
        <w:tc>
          <w:tcPr>
            <w:tcW w:type="dxa" w:w="28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Hybrid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One DGX or cloud A100/H100 for inference; storage; 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Vendor-managed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On-prem compute for IP-sensitive workflows; cloud for non-sensitive research intelligence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Integration engineering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6–12 weeks (LIMS/ELN/CDS MCP servers)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2–4 weeks (zero-shot API discovery)</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4–8 weeks depending on legacy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Ongoing maintenance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SRE FTE (~€100k/year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Included in vendor contract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0.5 SRE FTE + vendor support for regulated workflows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Annual cost at scale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Infrastructure + FTE only; ~€80–150k/year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€200k–€500k+ licensing</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Split by sensitivity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IP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 — data stays on-premises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 — vendor data handling agreements required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 (on-prem for sensitive; vendor for non-sensitive)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Compliance posture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Build to Adopt AI standard; 6–12 months work</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Pre-certified; immediate for procurement gates</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Adopt AI for regulated workflows; Hermes/OpenFang for research</w:t>
            </w:r>
          </w:p>
        </w:tc>
      </w:tr>
    </w:tbl>
    <w:p>
      <w:r>
        <w:br w:type="page"/>
      </w:r>
    </w:p>
    <w:p>
      <w:pPr>
        <w:pStyle w:val="Heading1"/>
        <w:spacing w:after="160" w:before="480"/>
      </w:pPr>
      <w:r>
        <w:rPr>
          <w:rFonts w:ascii="Arial" w:cs="Arial" w:eastAsia="Arial" w:hAnsi="Arial"/>
          <w:b/>
          <w:bCs/>
          <w:color w:val="1F3864"/>
          <w:sz w:val="32"/>
          <w:szCs w:val="32"/>
        </w:rPr>
        <w:t xml:space="preserve">13. Research &amp; Pilot Workstreams</w:t>
      </w:r>
    </w:p>
    <w:p>
      <w:pPr>
        <w:pStyle w:val="Heading2"/>
        <w:spacing w:after="120" w:before="360"/>
      </w:pPr>
      <w:r>
        <w:rPr>
          <w:rFonts w:ascii="Arial" w:cs="Arial" w:eastAsia="Arial" w:hAnsi="Arial"/>
          <w:b/>
          <w:bCs/>
          <w:color w:val="2E75B6"/>
          <w:sz w:val="26"/>
          <w:szCs w:val="26"/>
        </w:rPr>
        <w:t xml:space="preserve">Workstream A: Quick Win: Literature Scout Agent (Weeks 1–4)</w:t>
      </w:r>
    </w:p>
    <w:p>
      <w:pPr>
        <w:pStyle w:val="ListParagraph"/>
        <w:numPr>
          <w:ilvl w:val="0"/>
          <w:numId w:val="2"/>
        </w:numPr>
        <w:spacing w:after="40" w:before="40"/>
      </w:pPr>
      <w:r>
        <w:rPr>
          <w:rFonts w:ascii="Arial" w:cs="Arial" w:eastAsia="Arial" w:hAnsi="Arial"/>
          <w:color w:val="1A1A2E"/>
          <w:sz w:val="20"/>
          <w:szCs w:val="20"/>
        </w:rPr>
        <w:t xml:space="preserve">Deploy OpenFang with PubMed + Reaxys + Espacenet MCP tools</w:t>
      </w:r>
    </w:p>
    <w:p>
      <w:pPr>
        <w:pStyle w:val="ListParagraph"/>
        <w:numPr>
          <w:ilvl w:val="0"/>
          <w:numId w:val="2"/>
        </w:numPr>
        <w:spacing w:after="40" w:before="40"/>
      </w:pPr>
      <w:r>
        <w:rPr>
          <w:rFonts w:ascii="Arial" w:cs="Arial" w:eastAsia="Arial" w:hAnsi="Arial"/>
          <w:color w:val="1A1A2E"/>
          <w:sz w:val="20"/>
          <w:szCs w:val="20"/>
        </w:rPr>
        <w:t xml:space="preserve">Run on 3 real current CD projects simultaneously</w:t>
      </w:r>
    </w:p>
    <w:p>
      <w:pPr>
        <w:pStyle w:val="ListParagraph"/>
        <w:numPr>
          <w:ilvl w:val="0"/>
          <w:numId w:val="2"/>
        </w:numPr>
        <w:spacing w:after="40" w:before="40"/>
      </w:pPr>
      <w:r>
        <w:rPr>
          <w:rFonts w:ascii="Arial" w:cs="Arial" w:eastAsia="Arial" w:hAnsi="Arial"/>
          <w:color w:val="1A1A2E"/>
          <w:sz w:val="20"/>
          <w:szCs w:val="20"/>
        </w:rPr>
        <w:t xml:space="preserve">Compare output quality, coverage, and citation accuracy vs manual search</w:t>
      </w:r>
    </w:p>
    <w:p>
      <w:pPr>
        <w:pStyle w:val="ListParagraph"/>
        <w:numPr>
          <w:ilvl w:val="0"/>
          <w:numId w:val="2"/>
        </w:numPr>
        <w:spacing w:after="40" w:before="40"/>
      </w:pPr>
      <w:r>
        <w:rPr>
          <w:rFonts w:ascii="Arial" w:cs="Arial" w:eastAsia="Arial" w:hAnsi="Arial"/>
          <w:color w:val="1A1A2E"/>
          <w:sz w:val="20"/>
          <w:szCs w:val="20"/>
        </w:rPr>
        <w:t xml:space="preserve">Measure time saved; chemist satisfaction survey</w:t>
      </w:r>
    </w:p>
    <w:p>
      <w:pPr>
        <w:pStyle w:val="ListParagraph"/>
        <w:numPr>
          <w:ilvl w:val="0"/>
          <w:numId w:val="2"/>
        </w:numPr>
        <w:spacing w:after="40" w:before="40"/>
      </w:pPr>
      <w:r>
        <w:rPr>
          <w:rFonts w:ascii="Arial" w:cs="Arial" w:eastAsia="Arial" w:hAnsi="Arial"/>
          <w:color w:val="1A1A2E"/>
          <w:sz w:val="20"/>
          <w:szCs w:val="20"/>
        </w:rPr>
        <w:t xml:space="preserve">Investment: ~2 weeks engineering, ~€5k compute/API costs</w:t>
      </w:r>
    </w:p>
    <w:p>
      <w:pPr>
        <w:pStyle w:val="ListParagraph"/>
        <w:numPr>
          <w:ilvl w:val="0"/>
          <w:numId w:val="2"/>
        </w:numPr>
        <w:spacing w:after="40" w:before="40"/>
      </w:pPr>
      <w:r>
        <w:rPr>
          <w:rFonts w:ascii="Arial" w:cs="Arial" w:eastAsia="Arial" w:hAnsi="Arial"/>
          <w:color w:val="1A1A2E"/>
          <w:sz w:val="20"/>
          <w:szCs w:val="20"/>
        </w:rPr>
        <w:t xml:space="preserve">Expected payback: within first project cycle (1.5 FTE-days saved per project)</w:t>
      </w:r>
    </w:p>
    <w:p>
      <w:pPr>
        <w:spacing w:after="100" w:before="60"/>
      </w:pPr>
      <w:r>
        <w:rPr>
          <w:rFonts w:ascii="Arial" w:cs="Arial" w:eastAsia="Arial" w:hAnsi="Arial"/>
          <w:color w:val="1A1A2E"/>
          <w:sz w:val="20"/>
          <w:szCs w:val="20"/>
        </w:rPr>
        <w:t xml:space="preserve">Deliverable: Running system + coverage comparison report</w:t>
      </w:r>
    </w:p>
    <w:p>
      <w:pPr>
        <w:spacing w:after="80" w:before="80"/>
      </w:pPr>
    </w:p>
    <w:p>
      <w:pPr>
        <w:pStyle w:val="Heading2"/>
        <w:spacing w:after="120" w:before="360"/>
      </w:pPr>
      <w:r>
        <w:rPr>
          <w:rFonts w:ascii="Arial" w:cs="Arial" w:eastAsia="Arial" w:hAnsi="Arial"/>
          <w:b/>
          <w:bCs/>
          <w:color w:val="2E75B6"/>
          <w:sz w:val="26"/>
          <w:szCs w:val="26"/>
        </w:rPr>
        <w:t xml:space="preserve">Workstream B: Stability Trending Agent (Weeks 2–6)</w:t>
      </w:r>
    </w:p>
    <w:p>
      <w:pPr>
        <w:pStyle w:val="ListParagraph"/>
        <w:numPr>
          <w:ilvl w:val="0"/>
          <w:numId w:val="2"/>
        </w:numPr>
        <w:spacing w:after="40" w:before="40"/>
      </w:pPr>
      <w:r>
        <w:rPr>
          <w:rFonts w:ascii="Arial" w:cs="Arial" w:eastAsia="Arial" w:hAnsi="Arial"/>
          <w:color w:val="1A1A2E"/>
          <w:sz w:val="20"/>
          <w:szCs w:val="20"/>
        </w:rPr>
        <w:t xml:space="preserve">Integrate OpenFang Collector Hand with LIMS via REST API</w:t>
      </w:r>
    </w:p>
    <w:p>
      <w:pPr>
        <w:pStyle w:val="ListParagraph"/>
        <w:numPr>
          <w:ilvl w:val="0"/>
          <w:numId w:val="2"/>
        </w:numPr>
        <w:spacing w:after="40" w:before="40"/>
      </w:pPr>
      <w:r>
        <w:rPr>
          <w:rFonts w:ascii="Arial" w:cs="Arial" w:eastAsia="Arial" w:hAnsi="Arial"/>
          <w:color w:val="1A1A2E"/>
          <w:sz w:val="20"/>
          <w:szCs w:val="20"/>
        </w:rPr>
        <w:t xml:space="preserve">Build ICH Q1 regression engine (linear and Arrhenius models)</w:t>
      </w:r>
    </w:p>
    <w:p>
      <w:pPr>
        <w:pStyle w:val="ListParagraph"/>
        <w:numPr>
          <w:ilvl w:val="0"/>
          <w:numId w:val="2"/>
        </w:numPr>
        <w:spacing w:after="40" w:before="40"/>
      </w:pPr>
      <w:r>
        <w:rPr>
          <w:rFonts w:ascii="Arial" w:cs="Arial" w:eastAsia="Arial" w:hAnsi="Arial"/>
          <w:color w:val="1A1A2E"/>
          <w:sz w:val="20"/>
          <w:szCs w:val="20"/>
        </w:rPr>
        <w:t xml:space="preserve">Test retrospectively on 2–3 existing stability studies</w:t>
      </w:r>
    </w:p>
    <w:p>
      <w:pPr>
        <w:pStyle w:val="ListParagraph"/>
        <w:numPr>
          <w:ilvl w:val="0"/>
          <w:numId w:val="2"/>
        </w:numPr>
        <w:spacing w:after="40" w:before="40"/>
      </w:pPr>
      <w:r>
        <w:rPr>
          <w:rFonts w:ascii="Arial" w:cs="Arial" w:eastAsia="Arial" w:hAnsi="Arial"/>
          <w:color w:val="1A1A2E"/>
          <w:sz w:val="20"/>
          <w:szCs w:val="20"/>
        </w:rPr>
        <w:t xml:space="preserve">Present draft stability table format to QA for acceptance assessment</w:t>
      </w:r>
    </w:p>
    <w:p>
      <w:pPr>
        <w:pStyle w:val="ListParagraph"/>
        <w:numPr>
          <w:ilvl w:val="0"/>
          <w:numId w:val="2"/>
        </w:numPr>
        <w:spacing w:after="40" w:before="40"/>
      </w:pPr>
      <w:r>
        <w:rPr>
          <w:rFonts w:ascii="Arial" w:cs="Arial" w:eastAsia="Arial" w:hAnsi="Arial"/>
          <w:color w:val="1A1A2E"/>
          <w:sz w:val="20"/>
          <w:szCs w:val="20"/>
        </w:rPr>
        <w:t xml:space="preserve">Investment: ~3 weeks engineering</w:t>
      </w:r>
    </w:p>
    <w:p>
      <w:pPr>
        <w:pStyle w:val="ListParagraph"/>
        <w:numPr>
          <w:ilvl w:val="0"/>
          <w:numId w:val="2"/>
        </w:numPr>
        <w:spacing w:after="40" w:before="40"/>
      </w:pPr>
      <w:r>
        <w:rPr>
          <w:rFonts w:ascii="Arial" w:cs="Arial" w:eastAsia="Arial" w:hAnsi="Arial"/>
          <w:color w:val="1A1A2E"/>
          <w:sz w:val="20"/>
          <w:szCs w:val="20"/>
        </w:rPr>
        <w:t xml:space="preserve">Expected payback: 3–6 FTE-weeks saved per annual stability report</w:t>
      </w:r>
    </w:p>
    <w:p>
      <w:pPr>
        <w:spacing w:after="100" w:before="60"/>
      </w:pPr>
      <w:r>
        <w:rPr>
          <w:rFonts w:ascii="Arial" w:cs="Arial" w:eastAsia="Arial" w:hAnsi="Arial"/>
          <w:color w:val="1A1A2E"/>
          <w:sz w:val="20"/>
          <w:szCs w:val="20"/>
        </w:rPr>
        <w:t xml:space="preserve">Deliverable: Running system + QA-assessed draft output examples</w:t>
      </w:r>
    </w:p>
    <w:p>
      <w:pPr>
        <w:spacing w:after="80" w:before="80"/>
      </w:pPr>
    </w:p>
    <w:p>
      <w:pPr>
        <w:pStyle w:val="Heading2"/>
        <w:spacing w:after="120" w:before="360"/>
      </w:pPr>
      <w:r>
        <w:rPr>
          <w:rFonts w:ascii="Arial" w:cs="Arial" w:eastAsia="Arial" w:hAnsi="Arial"/>
          <w:b/>
          <w:bCs/>
          <w:color w:val="2E75B6"/>
          <w:sz w:val="26"/>
          <w:szCs w:val="26"/>
        </w:rPr>
        <w:t xml:space="preserve">Workstream C: CMC Documentation Pilot (Weeks 4–10)</w:t>
      </w:r>
    </w:p>
    <w:p>
      <w:pPr>
        <w:pStyle w:val="ListParagraph"/>
        <w:numPr>
          <w:ilvl w:val="0"/>
          <w:numId w:val="2"/>
        </w:numPr>
        <w:spacing w:after="40" w:before="40"/>
      </w:pPr>
      <w:r>
        <w:rPr>
          <w:rFonts w:ascii="Arial" w:cs="Arial" w:eastAsia="Arial" w:hAnsi="Arial"/>
          <w:color w:val="1A1A2E"/>
          <w:sz w:val="20"/>
          <w:szCs w:val="20"/>
        </w:rPr>
        <w:t xml:space="preserve">Select Adopt AI or Copilot Studio deployment</w:t>
      </w:r>
    </w:p>
    <w:p>
      <w:pPr>
        <w:pStyle w:val="ListParagraph"/>
        <w:numPr>
          <w:ilvl w:val="0"/>
          <w:numId w:val="2"/>
        </w:numPr>
        <w:spacing w:after="40" w:before="40"/>
      </w:pPr>
      <w:r>
        <w:rPr>
          <w:rFonts w:ascii="Arial" w:cs="Arial" w:eastAsia="Arial" w:hAnsi="Arial"/>
          <w:color w:val="1A1A2E"/>
          <w:sz w:val="20"/>
          <w:szCs w:val="20"/>
        </w:rPr>
        <w:t xml:space="preserve">Build CMC S.2/S.4 section template with ELN + LIMS data mapping</w:t>
      </w:r>
    </w:p>
    <w:p>
      <w:pPr>
        <w:pStyle w:val="ListParagraph"/>
        <w:numPr>
          <w:ilvl w:val="0"/>
          <w:numId w:val="2"/>
        </w:numPr>
        <w:spacing w:after="40" w:before="40"/>
      </w:pPr>
      <w:r>
        <w:rPr>
          <w:rFonts w:ascii="Arial" w:cs="Arial" w:eastAsia="Arial" w:hAnsi="Arial"/>
          <w:color w:val="1A1A2E"/>
          <w:sz w:val="20"/>
          <w:szCs w:val="20"/>
        </w:rPr>
        <w:t xml:space="preserve">Pilot on one project's Phase II IND update</w:t>
      </w:r>
    </w:p>
    <w:p>
      <w:pPr>
        <w:pStyle w:val="ListParagraph"/>
        <w:numPr>
          <w:ilvl w:val="0"/>
          <w:numId w:val="2"/>
        </w:numPr>
        <w:spacing w:after="40" w:before="40"/>
      </w:pPr>
      <w:r>
        <w:rPr>
          <w:rFonts w:ascii="Arial" w:cs="Arial" w:eastAsia="Arial" w:hAnsi="Arial"/>
          <w:color w:val="1A1A2E"/>
          <w:sz w:val="20"/>
          <w:szCs w:val="20"/>
        </w:rPr>
        <w:t xml:space="preserve">Compare draft quality, completeness, and regulatory query rate vs manual baseline</w:t>
      </w:r>
    </w:p>
    <w:p>
      <w:pPr>
        <w:pStyle w:val="ListParagraph"/>
        <w:numPr>
          <w:ilvl w:val="0"/>
          <w:numId w:val="2"/>
        </w:numPr>
        <w:spacing w:after="40" w:before="40"/>
      </w:pPr>
      <w:r>
        <w:rPr>
          <w:rFonts w:ascii="Arial" w:cs="Arial" w:eastAsia="Arial" w:hAnsi="Arial"/>
          <w:color w:val="1A1A2E"/>
          <w:sz w:val="20"/>
          <w:szCs w:val="20"/>
        </w:rPr>
        <w:t xml:space="preserve">Investment: ~4–6 weeks implementation</w:t>
      </w:r>
    </w:p>
    <w:p>
      <w:pPr>
        <w:pStyle w:val="ListParagraph"/>
        <w:numPr>
          <w:ilvl w:val="0"/>
          <w:numId w:val="2"/>
        </w:numPr>
        <w:spacing w:after="40" w:before="40"/>
      </w:pPr>
      <w:r>
        <w:rPr>
          <w:rFonts w:ascii="Arial" w:cs="Arial" w:eastAsia="Arial" w:hAnsi="Arial"/>
          <w:color w:val="1A1A2E"/>
          <w:sz w:val="20"/>
          <w:szCs w:val="20"/>
        </w:rPr>
        <w:t xml:space="preserve">Expected payback: 4–8 FTE-weeks per submission + regulatory query reduction</w:t>
      </w:r>
    </w:p>
    <w:p>
      <w:pPr>
        <w:spacing w:after="100" w:before="60"/>
      </w:pPr>
      <w:r>
        <w:rPr>
          <w:rFonts w:ascii="Arial" w:cs="Arial" w:eastAsia="Arial" w:hAnsi="Arial"/>
          <w:color w:val="1A1A2E"/>
          <w:sz w:val="20"/>
          <w:szCs w:val="20"/>
        </w:rPr>
        <w:t xml:space="preserve">Deliverable: Pilot results report with go/no-go recommendation and cost-per-submission analysis</w:t>
      </w:r>
    </w:p>
    <w:p>
      <w:pPr>
        <w:spacing w:after="80" w:before="80"/>
      </w:pPr>
    </w:p>
    <w:p>
      <w:pPr>
        <w:pStyle w:val="Heading2"/>
        <w:spacing w:after="120" w:before="360"/>
      </w:pPr>
      <w:r>
        <w:rPr>
          <w:rFonts w:ascii="Arial" w:cs="Arial" w:eastAsia="Arial" w:hAnsi="Arial"/>
          <w:b/>
          <w:bCs/>
          <w:color w:val="2E75B6"/>
          <w:sz w:val="26"/>
          <w:szCs w:val="26"/>
        </w:rPr>
        <w:t xml:space="preserve">Workstream D: Process Optimization Agent (Weeks 6–14)</w:t>
      </w:r>
    </w:p>
    <w:p>
      <w:pPr>
        <w:pStyle w:val="ListParagraph"/>
        <w:numPr>
          <w:ilvl w:val="0"/>
          <w:numId w:val="2"/>
        </w:numPr>
        <w:spacing w:after="40" w:before="40"/>
      </w:pPr>
      <w:r>
        <w:rPr>
          <w:rFonts w:ascii="Arial" w:cs="Arial" w:eastAsia="Arial" w:hAnsi="Arial"/>
          <w:color w:val="1A1A2E"/>
          <w:sz w:val="20"/>
          <w:szCs w:val="20"/>
        </w:rPr>
        <w:t xml:space="preserve">Integrate BoFire + synthesis platform API (Chemspeed or manual run card submission via ELN)</w:t>
      </w:r>
    </w:p>
    <w:p>
      <w:pPr>
        <w:pStyle w:val="ListParagraph"/>
        <w:numPr>
          <w:ilvl w:val="0"/>
          <w:numId w:val="2"/>
        </w:numPr>
        <w:spacing w:after="40" w:before="40"/>
      </w:pPr>
      <w:r>
        <w:rPr>
          <w:rFonts w:ascii="Arial" w:cs="Arial" w:eastAsia="Arial" w:hAnsi="Arial"/>
          <w:color w:val="1A1A2E"/>
          <w:sz w:val="20"/>
          <w:szCs w:val="20"/>
        </w:rPr>
        <w:t xml:space="preserve">Deploy Hermes with isolated process-side credential broker (dual-process architecture)</w:t>
      </w:r>
    </w:p>
    <w:p>
      <w:pPr>
        <w:pStyle w:val="ListParagraph"/>
        <w:numPr>
          <w:ilvl w:val="0"/>
          <w:numId w:val="2"/>
        </w:numPr>
        <w:spacing w:after="40" w:before="40"/>
      </w:pPr>
      <w:r>
        <w:rPr>
          <w:rFonts w:ascii="Arial" w:cs="Arial" w:eastAsia="Arial" w:hAnsi="Arial"/>
          <w:color w:val="1A1A2E"/>
          <w:sz w:val="20"/>
          <w:szCs w:val="20"/>
        </w:rPr>
        <w:t xml:space="preserve">Pilot on one active process optimization campaign</w:t>
      </w:r>
    </w:p>
    <w:p>
      <w:pPr>
        <w:pStyle w:val="ListParagraph"/>
        <w:numPr>
          <w:ilvl w:val="0"/>
          <w:numId w:val="2"/>
        </w:numPr>
        <w:spacing w:after="40" w:before="40"/>
      </w:pPr>
      <w:r>
        <w:rPr>
          <w:rFonts w:ascii="Arial" w:cs="Arial" w:eastAsia="Arial" w:hAnsi="Arial"/>
          <w:color w:val="1A1A2E"/>
          <w:sz w:val="20"/>
          <w:szCs w:val="20"/>
        </w:rPr>
        <w:t xml:space="preserve">Compare: cycles required, weeks elapsed, FTE consumed vs parallel manual campaign</w:t>
      </w:r>
    </w:p>
    <w:p>
      <w:pPr>
        <w:pStyle w:val="ListParagraph"/>
        <w:numPr>
          <w:ilvl w:val="0"/>
          <w:numId w:val="2"/>
        </w:numPr>
        <w:spacing w:after="40" w:before="40"/>
      </w:pPr>
      <w:r>
        <w:rPr>
          <w:rFonts w:ascii="Arial" w:cs="Arial" w:eastAsia="Arial" w:hAnsi="Arial"/>
          <w:color w:val="1A1A2E"/>
          <w:sz w:val="20"/>
          <w:szCs w:val="20"/>
        </w:rPr>
        <w:t xml:space="preserve">Investment: ~6 weeks engineering + BoFire integration</w:t>
      </w:r>
    </w:p>
    <w:p>
      <w:pPr>
        <w:pStyle w:val="ListParagraph"/>
        <w:numPr>
          <w:ilvl w:val="0"/>
          <w:numId w:val="2"/>
        </w:numPr>
        <w:spacing w:after="40" w:before="40"/>
      </w:pPr>
      <w:r>
        <w:rPr>
          <w:rFonts w:ascii="Arial" w:cs="Arial" w:eastAsia="Arial" w:hAnsi="Arial"/>
          <w:color w:val="1A1A2E"/>
          <w:sz w:val="20"/>
          <w:szCs w:val="20"/>
        </w:rPr>
        <w:t xml:space="preserve">Expected payback: 3–5 FTE-weeks per campaign; strategic value of 2–4× more campaigns per year</w:t>
      </w:r>
    </w:p>
    <w:p>
      <w:pPr>
        <w:spacing w:after="100" w:before="60"/>
      </w:pPr>
      <w:r>
        <w:rPr>
          <w:rFonts w:ascii="Arial" w:cs="Arial" w:eastAsia="Arial" w:hAnsi="Arial"/>
          <w:color w:val="1A1A2E"/>
          <w:sz w:val="20"/>
          <w:szCs w:val="20"/>
        </w:rPr>
        <w:t xml:space="preserve">Deliverable: Campaign comparison report + architecture documentation for scale-up</w:t>
      </w:r>
    </w:p>
    <w:p>
      <w:pPr>
        <w:spacing w:after="80" w:before="80"/>
      </w:pPr>
    </w:p>
    <w:p>
      <w:pPr>
        <w:pStyle w:val="Heading2"/>
        <w:spacing w:after="120" w:before="360"/>
      </w:pPr>
      <w:r>
        <w:rPr>
          <w:rFonts w:ascii="Arial" w:cs="Arial" w:eastAsia="Arial" w:hAnsi="Arial"/>
          <w:b/>
          <w:bCs/>
          <w:color w:val="2E75B6"/>
          <w:sz w:val="26"/>
          <w:szCs w:val="26"/>
        </w:rPr>
        <w:t xml:space="preserve">Workstream E: Hermes Security Envelope Build (Weeks 2–6, parallel)</w:t>
      </w:r>
    </w:p>
    <w:p>
      <w:pPr>
        <w:pStyle w:val="ListParagraph"/>
        <w:numPr>
          <w:ilvl w:val="0"/>
          <w:numId w:val="2"/>
        </w:numPr>
        <w:spacing w:after="40" w:before="40"/>
      </w:pPr>
      <w:r>
        <w:rPr>
          <w:rFonts w:ascii="Arial" w:cs="Arial" w:eastAsia="Arial" w:hAnsi="Arial"/>
          <w:color w:val="1A1A2E"/>
          <w:sz w:val="20"/>
          <w:szCs w:val="20"/>
        </w:rPr>
        <w:t xml:space="preserve">Deploy Firecracker microVM envelope around Hermes Python process</w:t>
      </w:r>
    </w:p>
    <w:p>
      <w:pPr>
        <w:pStyle w:val="ListParagraph"/>
        <w:numPr>
          <w:ilvl w:val="0"/>
          <w:numId w:val="2"/>
        </w:numPr>
        <w:spacing w:after="40" w:before="40"/>
      </w:pPr>
      <w:r>
        <w:rPr>
          <w:rFonts w:ascii="Arial" w:cs="Arial" w:eastAsia="Arial" w:hAnsi="Arial"/>
          <w:color w:val="1A1A2E"/>
          <w:sz w:val="20"/>
          <w:szCs w:val="20"/>
        </w:rPr>
        <w:t xml:space="preserve">Implement HashiCorp Vault Transit secret broker</w:t>
      </w:r>
    </w:p>
    <w:p>
      <w:pPr>
        <w:pStyle w:val="ListParagraph"/>
        <w:numPr>
          <w:ilvl w:val="0"/>
          <w:numId w:val="2"/>
        </w:numPr>
        <w:spacing w:after="40" w:before="40"/>
      </w:pPr>
      <w:r>
        <w:rPr>
          <w:rFonts w:ascii="Arial" w:cs="Arial" w:eastAsia="Arial" w:hAnsi="Arial"/>
          <w:color w:val="1A1A2E"/>
          <w:sz w:val="20"/>
          <w:szCs w:val="20"/>
        </w:rPr>
        <w:t xml:space="preserve">Build dual-process architecture (reasoning process → schema-validated Unix socket → credential broker)</w:t>
      </w:r>
    </w:p>
    <w:p>
      <w:pPr>
        <w:pStyle w:val="ListParagraph"/>
        <w:numPr>
          <w:ilvl w:val="0"/>
          <w:numId w:val="2"/>
        </w:numPr>
        <w:spacing w:after="40" w:before="40"/>
      </w:pPr>
      <w:r>
        <w:rPr>
          <w:rFonts w:ascii="Arial" w:cs="Arial" w:eastAsia="Arial" w:hAnsi="Arial"/>
          <w:color w:val="1A1A2E"/>
          <w:sz w:val="20"/>
          <w:szCs w:val="20"/>
        </w:rPr>
        <w:t xml:space="preserve">Apply Landlock + seccomp-bpf profile to Hermes process</w:t>
      </w:r>
    </w:p>
    <w:p>
      <w:pPr>
        <w:pStyle w:val="ListParagraph"/>
        <w:numPr>
          <w:ilvl w:val="0"/>
          <w:numId w:val="2"/>
        </w:numPr>
        <w:spacing w:after="40" w:before="40"/>
      </w:pPr>
      <w:r>
        <w:rPr>
          <w:rFonts w:ascii="Arial" w:cs="Arial" w:eastAsia="Arial" w:hAnsi="Arial"/>
          <w:color w:val="1A1A2E"/>
          <w:sz w:val="20"/>
          <w:szCs w:val="20"/>
        </w:rPr>
        <w:t xml:space="preserve">Conduct penetration test of credential isolation</w:t>
      </w:r>
    </w:p>
    <w:p>
      <w:pPr>
        <w:pStyle w:val="ListParagraph"/>
        <w:numPr>
          <w:ilvl w:val="0"/>
          <w:numId w:val="2"/>
        </w:numPr>
        <w:spacing w:after="40" w:before="40"/>
      </w:pPr>
      <w:r>
        <w:rPr>
          <w:rFonts w:ascii="Arial" w:cs="Arial" w:eastAsia="Arial" w:hAnsi="Arial"/>
          <w:color w:val="1A1A2E"/>
          <w:sz w:val="20"/>
          <w:szCs w:val="20"/>
        </w:rPr>
        <w:t xml:space="preserve">Investment: ~2 weeks security engineering</w:t>
      </w:r>
    </w:p>
    <w:p>
      <w:pPr>
        <w:pStyle w:val="ListParagraph"/>
        <w:numPr>
          <w:ilvl w:val="0"/>
          <w:numId w:val="2"/>
        </w:numPr>
        <w:spacing w:after="40" w:before="40"/>
      </w:pPr>
      <w:r>
        <w:rPr>
          <w:rFonts w:ascii="Arial" w:cs="Arial" w:eastAsia="Arial" w:hAnsi="Arial"/>
          <w:color w:val="1A1A2E"/>
          <w:sz w:val="20"/>
          <w:szCs w:val="20"/>
        </w:rPr>
        <w:t xml:space="preserve">Deliverable: security architecture documentation + penetration test report</w:t>
      </w:r>
    </w:p>
    <w:p>
      <w:pPr>
        <w:spacing w:after="100" w:before="60"/>
      </w:pPr>
      <w:r>
        <w:rPr>
          <w:rFonts w:ascii="Arial" w:cs="Arial" w:eastAsia="Arial" w:hAnsi="Arial"/>
          <w:color w:val="1A1A2E"/>
          <w:sz w:val="20"/>
          <w:szCs w:val="20"/>
        </w:rPr>
        <w:t xml:space="preserve">Deliverable: Security-hardened Hermes deployment template</w:t>
      </w:r>
    </w:p>
    <w:p>
      <w:pPr>
        <w:spacing w:after="80" w:before="80"/>
      </w:pPr>
    </w:p>
    <w:p>
      <w:pPr>
        <w:pStyle w:val="Heading2"/>
        <w:spacing w:after="120" w:before="360"/>
      </w:pPr>
      <w:r>
        <w:rPr>
          <w:rFonts w:ascii="Arial" w:cs="Arial" w:eastAsia="Arial" w:hAnsi="Arial"/>
          <w:b/>
          <w:bCs/>
          <w:color w:val="2E75B6"/>
          <w:sz w:val="26"/>
          <w:szCs w:val="26"/>
        </w:rPr>
        <w:t xml:space="preserve">Workstream F: OOS Investigation Agent (Weeks 4–8)</w:t>
      </w:r>
    </w:p>
    <w:p>
      <w:pPr>
        <w:pStyle w:val="ListParagraph"/>
        <w:numPr>
          <w:ilvl w:val="0"/>
          <w:numId w:val="2"/>
        </w:numPr>
        <w:spacing w:after="40" w:before="40"/>
      </w:pPr>
      <w:r>
        <w:rPr>
          <w:rFonts w:ascii="Arial" w:cs="Arial" w:eastAsia="Arial" w:hAnsi="Arial"/>
          <w:color w:val="1A1A2E"/>
          <w:sz w:val="20"/>
          <w:szCs w:val="20"/>
        </w:rPr>
        <w:t xml:space="preserve">Event-triggered deployment on LIMS OOS flag</w:t>
      </w:r>
    </w:p>
    <w:p>
      <w:pPr>
        <w:pStyle w:val="ListParagraph"/>
        <w:numPr>
          <w:ilvl w:val="0"/>
          <w:numId w:val="2"/>
        </w:numPr>
        <w:spacing w:after="40" w:before="40"/>
      </w:pPr>
      <w:r>
        <w:rPr>
          <w:rFonts w:ascii="Arial" w:cs="Arial" w:eastAsia="Arial" w:hAnsi="Arial"/>
          <w:color w:val="1A1A2E"/>
          <w:sz w:val="20"/>
          <w:szCs w:val="20"/>
        </w:rPr>
        <w:t xml:space="preserve">Integrate: LIMS + CDS (Empower) + training management system</w:t>
      </w:r>
    </w:p>
    <w:p>
      <w:pPr>
        <w:pStyle w:val="ListParagraph"/>
        <w:numPr>
          <w:ilvl w:val="0"/>
          <w:numId w:val="2"/>
        </w:numPr>
        <w:spacing w:after="40" w:before="40"/>
      </w:pPr>
      <w:r>
        <w:rPr>
          <w:rFonts w:ascii="Arial" w:cs="Arial" w:eastAsia="Arial" w:hAnsi="Arial"/>
          <w:color w:val="1A1A2E"/>
          <w:sz w:val="20"/>
          <w:szCs w:val="20"/>
        </w:rPr>
        <w:t xml:space="preserve">Run shadow mode: agent produces Phase 1 report; analyst produces report independently — compare completeness and accuracy</w:t>
      </w:r>
    </w:p>
    <w:p>
      <w:pPr>
        <w:pStyle w:val="ListParagraph"/>
        <w:numPr>
          <w:ilvl w:val="0"/>
          <w:numId w:val="2"/>
        </w:numPr>
        <w:spacing w:after="40" w:before="40"/>
      </w:pPr>
      <w:r>
        <w:rPr>
          <w:rFonts w:ascii="Arial" w:cs="Arial" w:eastAsia="Arial" w:hAnsi="Arial"/>
          <w:color w:val="1A1A2E"/>
          <w:sz w:val="20"/>
          <w:szCs w:val="20"/>
        </w:rPr>
        <w:t xml:space="preserve">Present to QA for Phase 1 report format approval</w:t>
      </w:r>
    </w:p>
    <w:p>
      <w:pPr>
        <w:pStyle w:val="ListParagraph"/>
        <w:numPr>
          <w:ilvl w:val="0"/>
          <w:numId w:val="2"/>
        </w:numPr>
        <w:spacing w:after="40" w:before="40"/>
      </w:pPr>
      <w:r>
        <w:rPr>
          <w:rFonts w:ascii="Arial" w:cs="Arial" w:eastAsia="Arial" w:hAnsi="Arial"/>
          <w:color w:val="1A1A2E"/>
          <w:sz w:val="20"/>
          <w:szCs w:val="20"/>
        </w:rPr>
        <w:t xml:space="preserve">Investment: ~3 weeks engineering</w:t>
      </w:r>
    </w:p>
    <w:p>
      <w:pPr>
        <w:pStyle w:val="ListParagraph"/>
        <w:numPr>
          <w:ilvl w:val="0"/>
          <w:numId w:val="2"/>
        </w:numPr>
        <w:spacing w:after="40" w:before="40"/>
      </w:pPr>
      <w:r>
        <w:rPr>
          <w:rFonts w:ascii="Arial" w:cs="Arial" w:eastAsia="Arial" w:hAnsi="Arial"/>
          <w:color w:val="1A1A2E"/>
          <w:sz w:val="20"/>
          <w:szCs w:val="20"/>
        </w:rPr>
        <w:t xml:space="preserve">Expected payback: 4 hours per OOS incident + inspection readiness improvement</w:t>
      </w:r>
    </w:p>
    <w:p>
      <w:pPr>
        <w:spacing w:after="100" w:before="60"/>
      </w:pPr>
      <w:r>
        <w:rPr>
          <w:rFonts w:ascii="Arial" w:cs="Arial" w:eastAsia="Arial" w:hAnsi="Arial"/>
          <w:color w:val="1A1A2E"/>
          <w:sz w:val="20"/>
          <w:szCs w:val="20"/>
        </w:rPr>
        <w:t xml:space="preserve">Deliverable: Shadow-mode comparison report + QA-approved Phase 1 report template</w:t>
      </w:r>
    </w:p>
    <w:p>
      <w:pPr>
        <w:spacing w:after="80" w:before="80"/>
      </w:pPr>
    </w:p>
    <w:p>
      <w:r>
        <w:br w:type="page"/>
      </w:r>
    </w:p>
    <w:p>
      <w:pPr>
        <w:pStyle w:val="Heading1"/>
        <w:spacing w:after="160" w:before="480"/>
      </w:pPr>
      <w:r>
        <w:rPr>
          <w:rFonts w:ascii="Arial" w:cs="Arial" w:eastAsia="Arial" w:hAnsi="Arial"/>
          <w:b/>
          <w:bCs/>
          <w:color w:val="1F3864"/>
          <w:sz w:val="32"/>
          <w:szCs w:val="32"/>
        </w:rPr>
        <w:t xml:space="preserve">14.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1200"/>
        <w:gridCol w:w="3280"/>
      </w:tblGrid>
      <w:tr>
        <w:trPr>
          <w:tblHeader/>
        </w:trPr>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28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Hallucinated synthetic precedent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Agent cites non-existent reaction in route scout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citations require DOI link; chemist verifies source before route decision; citation-faithfulness DSPy check</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Proprietary synthesis data via cloud LLM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Agent routes IP-sensitive query through Manus or OpenAI API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Critical</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Hard rule: any agent processing proprietary structures must use local LLM; network policy blocks external LLM APIs for synthesis namespace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Prompt injection via instrument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Malicious content in LC-MS data hijacks agent 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Dual-process architecture; reasoning process sees no credentials; schema-validated Unix socket between processes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Agent modifies validated method autonomously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Method optimization agent overwrites registered conditions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Critical</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Registered methods are read-only in agent namespace; agent can only write to development namespace; separate LIMS access token per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Incorrect ICH Q3A threshold applied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Agent misidentifies degradant 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Threshold logic is rule-based (hard-coded ICH Q3A table), not LLM-generated; flagged for human toxicologist review regardless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Stability shelf life prediction error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Agent uses incorrect model for non-linear degradation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Human statistician sign-off required on shelf life claim; agent proposes model selection; statistician approves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LLM version change alters documentation style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Model update mid-project changes phrasing in CMC document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Pin LLM version per project; model update = formal change control event; version recorded in document metadata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OpenFang/Hermes unaudited security controls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16-layer claim unverified; Hermes plaintext credentials by default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Commission independent security audit before production deployment; implement external credential broker regardless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CDMO knowledge drain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Optimization campaigns run on CDMO's agent trains their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Strategic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Keep all proprietary optimization campaigns on in-house infrastructure; use CDMO agents only for non-IP tasks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Self-improving agent enters unstable loop</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Hermes rewrites its own skills incorrectly, causing cascading failures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8"/>
                <w:szCs w:val="18"/>
              </w:rPr>
              <w:t xml:space="preserve">Version-pin skill files in git; rollback capability required; skill promotion gate (human reviews new skills before activation)</w:t>
            </w:r>
          </w:p>
        </w:tc>
      </w:tr>
    </w:tbl>
    <w:p>
      <w:r>
        <w:br w:type="page"/>
      </w:r>
    </w:p>
    <w:p>
      <w:pPr>
        <w:pStyle w:val="Heading1"/>
        <w:spacing w:after="160" w:before="480"/>
      </w:pPr>
      <w:r>
        <w:rPr>
          <w:rFonts w:ascii="Arial" w:cs="Arial" w:eastAsia="Arial" w:hAnsi="Arial"/>
          <w:b/>
          <w:bCs/>
          <w:color w:val="1F3864"/>
          <w:sz w:val="32"/>
          <w:szCs w:val="32"/>
        </w:rPr>
        <w:t xml:space="preserve">15. Key References</w:t>
      </w:r>
    </w:p>
    <w:p>
      <w:pPr>
        <w:pStyle w:val="Heading2"/>
        <w:spacing w:after="120" w:before="360"/>
      </w:pPr>
      <w:r>
        <w:rPr>
          <w:rFonts w:ascii="Arial" w:cs="Arial" w:eastAsia="Arial" w:hAnsi="Arial"/>
          <w:b/>
          <w:bCs/>
          <w:color w:val="2E75B6"/>
          <w:sz w:val="26"/>
          <w:szCs w:val="26"/>
        </w:rPr>
        <w:t xml:space="preserve">Agent Systems</w:t>
      </w:r>
    </w:p>
    <w:p>
      <w:pPr>
        <w:pStyle w:val="ListParagraph"/>
        <w:numPr>
          <w:ilvl w:val="0"/>
          <w:numId w:val="2"/>
        </w:numPr>
        <w:spacing w:after="40" w:before="40"/>
      </w:pPr>
      <w:r>
        <w:rPr>
          <w:rFonts w:ascii="Arial" w:cs="Arial" w:eastAsia="Arial" w:hAnsi="Arial"/>
          <w:color w:val="1A1A2E"/>
          <w:sz w:val="20"/>
          <w:szCs w:val="20"/>
        </w:rPr>
        <w:t xml:space="preserve">OpenClaw: github.com/openclaw/openclaw</w:t>
      </w:r>
    </w:p>
    <w:p>
      <w:pPr>
        <w:pStyle w:val="ListParagraph"/>
        <w:numPr>
          <w:ilvl w:val="0"/>
          <w:numId w:val="2"/>
        </w:numPr>
        <w:spacing w:after="40" w:before="40"/>
      </w:pPr>
      <w:r>
        <w:rPr>
          <w:rFonts w:ascii="Arial" w:cs="Arial" w:eastAsia="Arial" w:hAnsi="Arial"/>
          <w:color w:val="1A1A2E"/>
          <w:sz w:val="20"/>
          <w:szCs w:val="20"/>
        </w:rPr>
        <w:t xml:space="preserve">OpenFang: github.com/RightNow-AI/openfang (MIT)</w:t>
      </w:r>
    </w:p>
    <w:p>
      <w:pPr>
        <w:pStyle w:val="ListParagraph"/>
        <w:numPr>
          <w:ilvl w:val="0"/>
          <w:numId w:val="2"/>
        </w:numPr>
        <w:spacing w:after="40" w:before="40"/>
      </w:pPr>
      <w:r>
        <w:rPr>
          <w:rFonts w:ascii="Arial" w:cs="Arial" w:eastAsia="Arial" w:hAnsi="Arial"/>
          <w:color w:val="1A1A2E"/>
          <w:sz w:val="20"/>
          <w:szCs w:val="20"/>
        </w:rPr>
        <w:t xml:space="preserve">Hermes Agent: github.com/NousResearch/hermes-agent (MIT); hermes-agent.nousresearch.com</w:t>
      </w:r>
    </w:p>
    <w:p>
      <w:pPr>
        <w:pStyle w:val="ListParagraph"/>
        <w:numPr>
          <w:ilvl w:val="0"/>
          <w:numId w:val="2"/>
        </w:numPr>
        <w:spacing w:after="40" w:before="40"/>
      </w:pPr>
      <w:r>
        <w:rPr>
          <w:rFonts w:ascii="Arial" w:cs="Arial" w:eastAsia="Arial" w:hAnsi="Arial"/>
          <w:color w:val="1A1A2E"/>
          <w:sz w:val="20"/>
          <w:szCs w:val="20"/>
        </w:rPr>
        <w:t xml:space="preserve">NemoClaw: github.com/NVIDIA/NemoClaw; developer.nvidia.com/blog/build-a-secure-always-on-local-ai-agent-with-nvidia-nemoclaw-and-openclaw</w:t>
      </w:r>
    </w:p>
    <w:p>
      <w:pPr>
        <w:pStyle w:val="ListParagraph"/>
        <w:numPr>
          <w:ilvl w:val="0"/>
          <w:numId w:val="2"/>
        </w:numPr>
        <w:spacing w:after="40" w:before="40"/>
      </w:pPr>
      <w:r>
        <w:rPr>
          <w:rFonts w:ascii="Arial" w:cs="Arial" w:eastAsia="Arial" w:hAnsi="Arial"/>
          <w:color w:val="1A1A2E"/>
          <w:sz w:val="20"/>
          <w:szCs w:val="20"/>
        </w:rPr>
        <w:t xml:space="preserve">IronClaw: github.com/nearai/ironclaw</w:t>
      </w:r>
    </w:p>
    <w:p>
      <w:pPr>
        <w:pStyle w:val="ListParagraph"/>
        <w:numPr>
          <w:ilvl w:val="0"/>
          <w:numId w:val="2"/>
        </w:numPr>
        <w:spacing w:after="40" w:before="40"/>
      </w:pPr>
      <w:r>
        <w:rPr>
          <w:rFonts w:ascii="Arial" w:cs="Arial" w:eastAsia="Arial" w:hAnsi="Arial"/>
          <w:color w:val="1A1A2E"/>
          <w:sz w:val="20"/>
          <w:szCs w:val="20"/>
        </w:rPr>
        <w:t xml:space="preserve">Nanobot: HKUDS/nanobot (Python 4K LOC); yukihamada/nanobot (Rust)</w:t>
      </w:r>
    </w:p>
    <w:p>
      <w:pPr>
        <w:pStyle w:val="ListParagraph"/>
        <w:numPr>
          <w:ilvl w:val="0"/>
          <w:numId w:val="2"/>
        </w:numPr>
        <w:spacing w:after="40" w:before="40"/>
      </w:pPr>
      <w:r>
        <w:rPr>
          <w:rFonts w:ascii="Arial" w:cs="Arial" w:eastAsia="Arial" w:hAnsi="Arial"/>
          <w:color w:val="1A1A2E"/>
          <w:sz w:val="20"/>
          <w:szCs w:val="20"/>
        </w:rPr>
        <w:t xml:space="preserve">Adopt AI: adopt.ai</w:t>
      </w:r>
    </w:p>
    <w:p>
      <w:pPr>
        <w:pStyle w:val="ListParagraph"/>
        <w:numPr>
          <w:ilvl w:val="0"/>
          <w:numId w:val="2"/>
        </w:numPr>
        <w:spacing w:after="40" w:before="40"/>
      </w:pPr>
      <w:r>
        <w:rPr>
          <w:rFonts w:ascii="Arial" w:cs="Arial" w:eastAsia="Arial" w:hAnsi="Arial"/>
          <w:color w:val="1A1A2E"/>
          <w:sz w:val="20"/>
          <w:szCs w:val="20"/>
        </w:rPr>
        <w:t xml:space="preserve">Manus AI: manus.im/blog/Context-Engineering-for-AI-Agents-Lessons-from-Building-Manus</w:t>
      </w:r>
    </w:p>
    <w:p>
      <w:pPr>
        <w:pStyle w:val="Heading2"/>
        <w:spacing w:after="120" w:before="360"/>
      </w:pPr>
      <w:r>
        <w:rPr>
          <w:rFonts w:ascii="Arial" w:cs="Arial" w:eastAsia="Arial" w:hAnsi="Arial"/>
          <w:b/>
          <w:bCs/>
          <w:color w:val="2E75B6"/>
          <w:sz w:val="26"/>
          <w:szCs w:val="26"/>
        </w:rPr>
        <w:t xml:space="preserve">Chemistry &amp; Autonomous Lab</w:t>
      </w:r>
    </w:p>
    <w:p>
      <w:pPr>
        <w:pStyle w:val="ListParagraph"/>
        <w:numPr>
          <w:ilvl w:val="0"/>
          <w:numId w:val="2"/>
        </w:numPr>
        <w:spacing w:after="40" w:before="40"/>
      </w:pPr>
      <w:r>
        <w:rPr>
          <w:rFonts w:ascii="Arial" w:cs="Arial" w:eastAsia="Arial" w:hAnsi="Arial"/>
          <w:color w:val="1A1A2E"/>
          <w:sz w:val="20"/>
          <w:szCs w:val="20"/>
        </w:rPr>
        <w:t xml:space="preserve">AstraZeneca ChatInvent: He et al., Drug Discovery Today 31(2):104605, Jan 2026, DOI 10.1016/j.drudis.2026.104605</w:t>
      </w:r>
    </w:p>
    <w:p>
      <w:pPr>
        <w:pStyle w:val="ListParagraph"/>
        <w:numPr>
          <w:ilvl w:val="0"/>
          <w:numId w:val="2"/>
        </w:numPr>
        <w:spacing w:after="40" w:before="40"/>
      </w:pPr>
      <w:r>
        <w:rPr>
          <w:rFonts w:ascii="Arial" w:cs="Arial" w:eastAsia="Arial" w:hAnsi="Arial"/>
          <w:color w:val="1A1A2E"/>
          <w:sz w:val="20"/>
          <w:szCs w:val="20"/>
        </w:rPr>
        <w:t xml:space="preserve">ChemAgents (USTC): Song, Luo et al., JACS 147:12534, 2025, DOI 10.1021/jacs.4c17738</w:t>
      </w:r>
    </w:p>
    <w:p>
      <w:pPr>
        <w:pStyle w:val="ListParagraph"/>
        <w:numPr>
          <w:ilvl w:val="0"/>
          <w:numId w:val="2"/>
        </w:numPr>
        <w:spacing w:after="40" w:before="40"/>
      </w:pPr>
      <w:r>
        <w:rPr>
          <w:rFonts w:ascii="Arial" w:cs="Arial" w:eastAsia="Arial" w:hAnsi="Arial"/>
          <w:color w:val="1A1A2E"/>
          <w:sz w:val="20"/>
          <w:szCs w:val="20"/>
        </w:rPr>
        <w:t xml:space="preserve">Yaghi COF agent: JACS 2026, DOI 10.1021/jacs.5c23233</w:t>
      </w:r>
    </w:p>
    <w:p>
      <w:pPr>
        <w:pStyle w:val="ListParagraph"/>
        <w:numPr>
          <w:ilvl w:val="0"/>
          <w:numId w:val="2"/>
        </w:numPr>
        <w:spacing w:after="40" w:before="40"/>
      </w:pPr>
      <w:r>
        <w:rPr>
          <w:rFonts w:ascii="Arial" w:cs="Arial" w:eastAsia="Arial" w:hAnsi="Arial"/>
          <w:color w:val="1A1A2E"/>
          <w:sz w:val="20"/>
          <w:szCs w:val="20"/>
        </w:rPr>
        <w:t xml:space="preserve">EPFL LIAC: AI-driven autonomous laboratory for accelerating chemical discovery. Chem. Synth. 2025:5:76</w:t>
      </w:r>
    </w:p>
    <w:p>
      <w:pPr>
        <w:pStyle w:val="ListParagraph"/>
        <w:numPr>
          <w:ilvl w:val="0"/>
          <w:numId w:val="2"/>
        </w:numPr>
        <w:spacing w:after="40" w:before="40"/>
      </w:pPr>
      <w:r>
        <w:rPr>
          <w:rFonts w:ascii="Arial" w:cs="Arial" w:eastAsia="Arial" w:hAnsi="Arial"/>
          <w:color w:val="1A1A2E"/>
          <w:sz w:val="20"/>
          <w:szCs w:val="20"/>
        </w:rPr>
        <w:t xml:space="preserve">RoboChem-Flex: Nature Synthesis 2026</w:t>
      </w:r>
    </w:p>
    <w:p>
      <w:pPr>
        <w:pStyle w:val="ListParagraph"/>
        <w:numPr>
          <w:ilvl w:val="0"/>
          <w:numId w:val="2"/>
        </w:numPr>
        <w:spacing w:after="40" w:before="40"/>
      </w:pPr>
      <w:r>
        <w:rPr>
          <w:rFonts w:ascii="Arial" w:cs="Arial" w:eastAsia="Arial" w:hAnsi="Arial"/>
          <w:color w:val="1A1A2E"/>
          <w:sz w:val="20"/>
          <w:szCs w:val="20"/>
        </w:rPr>
        <w:t xml:space="preserve">IBM Molecular Transformer transfer learning: Schwaller et al., ACS Central Science</w:t>
      </w:r>
    </w:p>
    <w:p>
      <w:pPr>
        <w:pStyle w:val="ListParagraph"/>
        <w:numPr>
          <w:ilvl w:val="0"/>
          <w:numId w:val="2"/>
        </w:numPr>
        <w:spacing w:after="40" w:before="40"/>
      </w:pPr>
      <w:r>
        <w:rPr>
          <w:rFonts w:ascii="Arial" w:cs="Arial" w:eastAsia="Arial" w:hAnsi="Arial"/>
          <w:color w:val="1A1A2E"/>
          <w:sz w:val="20"/>
          <w:szCs w:val="20"/>
        </w:rPr>
        <w:t xml:space="preserve">MS2Query: de Jonge et al., Nature Communications 2023</w:t>
      </w:r>
    </w:p>
    <w:p>
      <w:pPr>
        <w:pStyle w:val="ListParagraph"/>
        <w:numPr>
          <w:ilvl w:val="0"/>
          <w:numId w:val="2"/>
        </w:numPr>
        <w:spacing w:after="40" w:before="40"/>
      </w:pPr>
      <w:r>
        <w:rPr>
          <w:rFonts w:ascii="Arial" w:cs="Arial" w:eastAsia="Arial" w:hAnsi="Arial"/>
          <w:color w:val="1A1A2E"/>
          <w:sz w:val="20"/>
          <w:szCs w:val="20"/>
        </w:rPr>
        <w:t xml:space="preserve">OptiHPLCHandler: github.com/novonordisk-research/OptiHPLCHandler</w:t>
      </w:r>
    </w:p>
    <w:p>
      <w:pPr>
        <w:pStyle w:val="ListParagraph"/>
        <w:numPr>
          <w:ilvl w:val="0"/>
          <w:numId w:val="2"/>
        </w:numPr>
        <w:spacing w:after="40" w:before="40"/>
      </w:pPr>
      <w:r>
        <w:rPr>
          <w:rFonts w:ascii="Arial" w:cs="Arial" w:eastAsia="Arial" w:hAnsi="Arial"/>
          <w:color w:val="1A1A2E"/>
          <w:sz w:val="20"/>
          <w:szCs w:val="20"/>
        </w:rPr>
        <w:t xml:space="preserve">SDL maturity review: Materials Horizons D5MH01984B, March 2026</w:t>
      </w:r>
    </w:p>
    <w:p>
      <w:pPr>
        <w:pStyle w:val="Heading2"/>
        <w:spacing w:after="120" w:before="360"/>
      </w:pPr>
      <w:r>
        <w:rPr>
          <w:rFonts w:ascii="Arial" w:cs="Arial" w:eastAsia="Arial" w:hAnsi="Arial"/>
          <w:b/>
          <w:bCs/>
          <w:color w:val="2E75B6"/>
          <w:sz w:val="26"/>
          <w:szCs w:val="26"/>
        </w:rPr>
        <w:t xml:space="preserve">Security</w:t>
      </w:r>
    </w:p>
    <w:p>
      <w:pPr>
        <w:pStyle w:val="ListParagraph"/>
        <w:numPr>
          <w:ilvl w:val="0"/>
          <w:numId w:val="2"/>
        </w:numPr>
        <w:spacing w:after="40" w:before="40"/>
      </w:pPr>
      <w:r>
        <w:rPr>
          <w:rFonts w:ascii="Arial" w:cs="Arial" w:eastAsia="Arial" w:hAnsi="Arial"/>
          <w:color w:val="1A1A2E"/>
          <w:sz w:val="20"/>
          <w:szCs w:val="20"/>
        </w:rPr>
        <w:t xml:space="preserve">Willison S: The lethal trifecta for AI agents, simonw.substack.com</w:t>
      </w:r>
    </w:p>
    <w:p>
      <w:pPr>
        <w:pStyle w:val="ListParagraph"/>
        <w:numPr>
          <w:ilvl w:val="0"/>
          <w:numId w:val="2"/>
        </w:numPr>
        <w:spacing w:after="40" w:before="40"/>
      </w:pPr>
      <w:r>
        <w:rPr>
          <w:rFonts w:ascii="Arial" w:cs="Arial" w:eastAsia="Arial" w:hAnsi="Arial"/>
          <w:color w:val="1A1A2E"/>
          <w:sz w:val="20"/>
          <w:szCs w:val="20"/>
        </w:rPr>
        <w:t xml:space="preserve">Palo Alto Unit 42: OpenClaw telemetry report, March 2026</w:t>
      </w:r>
    </w:p>
    <w:p>
      <w:pPr>
        <w:pStyle w:val="ListParagraph"/>
        <w:numPr>
          <w:ilvl w:val="0"/>
          <w:numId w:val="2"/>
        </w:numPr>
        <w:spacing w:after="40" w:before="40"/>
      </w:pPr>
      <w:r>
        <w:rPr>
          <w:rFonts w:ascii="Arial" w:cs="Arial" w:eastAsia="Arial" w:hAnsi="Arial"/>
          <w:color w:val="1A1A2E"/>
          <w:sz w:val="20"/>
          <w:szCs w:val="20"/>
        </w:rPr>
        <w:t xml:space="preserve">OWASP Top 10 for Agentic Applications 2026</w:t>
      </w:r>
    </w:p>
    <w:p>
      <w:pPr>
        <w:pStyle w:val="ListParagraph"/>
        <w:numPr>
          <w:ilvl w:val="0"/>
          <w:numId w:val="2"/>
        </w:numPr>
        <w:spacing w:after="40" w:before="40"/>
      </w:pPr>
      <w:r>
        <w:rPr>
          <w:rFonts w:ascii="Arial" w:cs="Arial" w:eastAsia="Arial" w:hAnsi="Arial"/>
          <w:color w:val="1A1A2E"/>
          <w:sz w:val="20"/>
          <w:szCs w:val="20"/>
        </w:rPr>
        <w:t xml:space="preserve">Cisco Talos: OpenClaw exposure report, January 2026</w:t>
      </w:r>
    </w:p>
    <w:p>
      <w:pPr>
        <w:pStyle w:val="ListParagraph"/>
        <w:numPr>
          <w:ilvl w:val="0"/>
          <w:numId w:val="2"/>
        </w:numPr>
        <w:spacing w:after="40" w:before="40"/>
      </w:pPr>
      <w:r>
        <w:rPr>
          <w:rFonts w:ascii="Arial" w:cs="Arial" w:eastAsia="Arial" w:hAnsi="Arial"/>
          <w:color w:val="1A1A2E"/>
          <w:sz w:val="20"/>
          <w:szCs w:val="20"/>
        </w:rPr>
        <w:t xml:space="preserve">jgamblin/OpenClawCVEs: independent CVE tracker, github.com</w:t>
      </w:r>
    </w:p>
    <w:p>
      <w:pPr>
        <w:pStyle w:val="ListParagraph"/>
        <w:numPr>
          <w:ilvl w:val="0"/>
          <w:numId w:val="2"/>
        </w:numPr>
        <w:spacing w:after="40" w:before="40"/>
      </w:pPr>
      <w:r>
        <w:rPr>
          <w:rFonts w:ascii="Arial" w:cs="Arial" w:eastAsia="Arial" w:hAnsi="Arial"/>
          <w:color w:val="1A1A2E"/>
          <w:sz w:val="20"/>
          <w:szCs w:val="20"/>
        </w:rPr>
        <w:t xml:space="preserve">Tianpan: Agent Sandboxing and Secure Code Execution, tianpan.co/blog/2026-03-09-agent-sandboxing-secure-code-execution</w:t>
      </w:r>
    </w:p>
    <w:p>
      <w:pPr>
        <w:pStyle w:val="Heading2"/>
        <w:spacing w:after="120" w:before="360"/>
      </w:pPr>
      <w:r>
        <w:rPr>
          <w:rFonts w:ascii="Arial" w:cs="Arial" w:eastAsia="Arial" w:hAnsi="Arial"/>
          <w:b/>
          <w:bCs/>
          <w:color w:val="2E75B6"/>
          <w:sz w:val="26"/>
          <w:szCs w:val="26"/>
        </w:rPr>
        <w:t xml:space="preserve">Knowledge &amp; Documentation</w:t>
      </w:r>
    </w:p>
    <w:p>
      <w:pPr>
        <w:pStyle w:val="ListParagraph"/>
        <w:numPr>
          <w:ilvl w:val="0"/>
          <w:numId w:val="2"/>
        </w:numPr>
        <w:spacing w:after="40" w:before="40"/>
      </w:pPr>
      <w:r>
        <w:rPr>
          <w:rFonts w:ascii="Arial" w:cs="Arial" w:eastAsia="Arial" w:hAnsi="Arial"/>
          <w:color w:val="1A1A2E"/>
          <w:sz w:val="20"/>
          <w:szCs w:val="20"/>
        </w:rPr>
        <w:t xml:space="preserve">Graphiti / Zep: getzep/graphiti, Apache-2.0, github.com</w:t>
      </w:r>
    </w:p>
    <w:p>
      <w:pPr>
        <w:pStyle w:val="ListParagraph"/>
        <w:numPr>
          <w:ilvl w:val="0"/>
          <w:numId w:val="2"/>
        </w:numPr>
        <w:spacing w:after="40" w:before="40"/>
      </w:pPr>
      <w:r>
        <w:rPr>
          <w:rFonts w:ascii="Arial" w:cs="Arial" w:eastAsia="Arial" w:hAnsi="Arial"/>
          <w:color w:val="1A1A2E"/>
          <w:sz w:val="20"/>
          <w:szCs w:val="20"/>
        </w:rPr>
        <w:t xml:space="preserve">ChemDataExtractor v2: MIT, Cambridge; Swain &amp; Cole, JCIM 2016</w:t>
      </w:r>
    </w:p>
    <w:p>
      <w:pPr>
        <w:pStyle w:val="ListParagraph"/>
        <w:numPr>
          <w:ilvl w:val="0"/>
          <w:numId w:val="2"/>
        </w:numPr>
        <w:spacing w:after="40" w:before="40"/>
      </w:pPr>
      <w:r>
        <w:rPr>
          <w:rFonts w:ascii="Arial" w:cs="Arial" w:eastAsia="Arial" w:hAnsi="Arial"/>
          <w:color w:val="1A1A2E"/>
          <w:sz w:val="20"/>
          <w:szCs w:val="20"/>
        </w:rPr>
        <w:t xml:space="preserve">Marker: github.com/VikParuchuri/marker</w:t>
      </w:r>
    </w:p>
    <w:p>
      <w:pPr>
        <w:pStyle w:val="ListParagraph"/>
        <w:numPr>
          <w:ilvl w:val="0"/>
          <w:numId w:val="2"/>
        </w:numPr>
        <w:spacing w:after="40" w:before="40"/>
      </w:pPr>
      <w:r>
        <w:rPr>
          <w:rFonts w:ascii="Arial" w:cs="Arial" w:eastAsia="Arial" w:hAnsi="Arial"/>
          <w:color w:val="1A1A2E"/>
          <w:sz w:val="20"/>
          <w:szCs w:val="20"/>
        </w:rPr>
        <w:t xml:space="preserve">Open Reaction Database (ORD): open-reaction-database.org</w:t>
      </w:r>
    </w:p>
    <w:p>
      <w:pPr>
        <w:pStyle w:val="ListParagraph"/>
        <w:numPr>
          <w:ilvl w:val="0"/>
          <w:numId w:val="2"/>
        </w:numPr>
        <w:spacing w:after="40" w:before="40"/>
      </w:pPr>
      <w:r>
        <w:rPr>
          <w:rFonts w:ascii="Arial" w:cs="Arial" w:eastAsia="Arial" w:hAnsi="Arial"/>
          <w:color w:val="1A1A2E"/>
          <w:sz w:val="20"/>
          <w:szCs w:val="20"/>
        </w:rPr>
        <w:t xml:space="preserve">BCG: Agentic AI in Biopharma: Game-changing Efficiency, December 2025</w:t>
      </w:r>
    </w:p>
    <w:p>
      <w:pPr>
        <w:pStyle w:val="ListParagraph"/>
        <w:numPr>
          <w:ilvl w:val="0"/>
          <w:numId w:val="2"/>
        </w:numPr>
        <w:spacing w:after="40" w:before="40"/>
      </w:pPr>
      <w:r>
        <w:rPr>
          <w:rFonts w:ascii="Arial" w:cs="Arial" w:eastAsia="Arial" w:hAnsi="Arial"/>
          <w:color w:val="1A1A2E"/>
          <w:sz w:val="20"/>
          <w:szCs w:val="20"/>
        </w:rPr>
        <w:t xml:space="preserve">C&amp;EN: Chemical industry to bet on agentic AI, February 2026</w:t>
      </w:r>
    </w:p>
    <w:p>
      <w:pPr>
        <w:pStyle w:val="ListParagraph"/>
        <w:numPr>
          <w:ilvl w:val="0"/>
          <w:numId w:val="2"/>
        </w:numPr>
        <w:spacing w:after="40" w:before="40"/>
      </w:pPr>
      <w:r>
        <w:rPr>
          <w:rFonts w:ascii="Arial" w:cs="Arial" w:eastAsia="Arial" w:hAnsi="Arial"/>
          <w:color w:val="1A1A2E"/>
          <w:sz w:val="20"/>
          <w:szCs w:val="20"/>
        </w:rPr>
        <w:t xml:space="preserve">Sakara Digital: Agentic AI in Life Sciences: Pilots to Production, April 2026</w:t>
      </w:r>
    </w:p>
    <w:p>
      <w:pPr>
        <w:pStyle w:val="Heading2"/>
        <w:spacing w:after="120" w:before="360"/>
      </w:pPr>
      <w:r>
        <w:rPr>
          <w:rFonts w:ascii="Arial" w:cs="Arial" w:eastAsia="Arial" w:hAnsi="Arial"/>
          <w:b/>
          <w:bCs/>
          <w:color w:val="2E75B6"/>
          <w:sz w:val="26"/>
          <w:szCs w:val="26"/>
        </w:rPr>
        <w:t xml:space="preserve">Agent Communication Standards</w:t>
      </w:r>
    </w:p>
    <w:p>
      <w:pPr>
        <w:pStyle w:val="ListParagraph"/>
        <w:numPr>
          <w:ilvl w:val="0"/>
          <w:numId w:val="2"/>
        </w:numPr>
        <w:spacing w:after="40" w:before="40"/>
      </w:pPr>
      <w:r>
        <w:rPr>
          <w:rFonts w:ascii="Arial" w:cs="Arial" w:eastAsia="Arial" w:hAnsi="Arial"/>
          <w:color w:val="1A1A2E"/>
          <w:sz w:val="20"/>
          <w:szCs w:val="20"/>
        </w:rPr>
        <w:t xml:space="preserve">MCP specification: spec.modelcontextprotocol.io</w:t>
      </w:r>
    </w:p>
    <w:p>
      <w:pPr>
        <w:pStyle w:val="ListParagraph"/>
        <w:numPr>
          <w:ilvl w:val="0"/>
          <w:numId w:val="2"/>
        </w:numPr>
        <w:spacing w:after="40" w:before="40"/>
      </w:pPr>
      <w:r>
        <w:rPr>
          <w:rFonts w:ascii="Arial" w:cs="Arial" w:eastAsia="Arial" w:hAnsi="Arial"/>
          <w:color w:val="1A1A2E"/>
          <w:sz w:val="20"/>
          <w:szCs w:val="20"/>
        </w:rPr>
        <w:t xml:space="preserve">A2A protocol: a2a-protocol.org/latest/specification</w:t>
      </w:r>
    </w:p>
    <w:p>
      <w:pPr>
        <w:pStyle w:val="ListParagraph"/>
        <w:numPr>
          <w:ilvl w:val="0"/>
          <w:numId w:val="2"/>
        </w:numPr>
        <w:spacing w:after="40" w:before="40"/>
      </w:pPr>
      <w:r>
        <w:rPr>
          <w:rFonts w:ascii="Arial" w:cs="Arial" w:eastAsia="Arial" w:hAnsi="Arial"/>
          <w:color w:val="1A1A2E"/>
          <w:sz w:val="20"/>
          <w:szCs w:val="20"/>
        </w:rPr>
        <w:t xml:space="preserve">SiLA 2: sila2.org; gitlab.com/sila2/sila_python</w:t>
      </w:r>
    </w:p>
    <w:p>
      <w:pPr>
        <w:pStyle w:val="ListParagraph"/>
        <w:numPr>
          <w:ilvl w:val="0"/>
          <w:numId w:val="2"/>
        </w:numPr>
        <w:spacing w:after="40" w:before="40"/>
      </w:pPr>
      <w:r>
        <w:rPr>
          <w:rFonts w:ascii="Arial" w:cs="Arial" w:eastAsia="Arial" w:hAnsi="Arial"/>
          <w:color w:val="1A1A2E"/>
          <w:sz w:val="20"/>
          <w:szCs w:val="20"/>
        </w:rPr>
        <w:t xml:space="preserve">OPC-UA + LADS: reference.opcfoundation.org/LADS/v100</w:t>
      </w:r>
    </w:p>
    <w:p>
      <w:pPr>
        <w:pStyle w:val="ListParagraph"/>
        <w:numPr>
          <w:ilvl w:val="0"/>
          <w:numId w:val="2"/>
        </w:numPr>
        <w:spacing w:after="40" w:before="40"/>
      </w:pPr>
      <w:r>
        <w:rPr>
          <w:rFonts w:ascii="Arial" w:cs="Arial" w:eastAsia="Arial" w:hAnsi="Arial"/>
          <w:color w:val="1A1A2E"/>
          <w:sz w:val="20"/>
          <w:szCs w:val="20"/>
        </w:rPr>
        <w:t xml:space="preserve">asyncua (Python OPC-UA): github.com/FreeOpcUa/opcua-asyncio</w:t>
      </w:r>
    </w:p>
    <w:p>
      <w:r>
        <w:br w:type="page"/>
      </w:r>
    </w:p>
    <w:p>
      <w:pPr>
        <w:spacing w:after="120" w:before="1440"/>
        <w:jc w:val="center"/>
      </w:pPr>
      <w:r>
        <w:rPr>
          <w:rFonts w:ascii="Arial" w:cs="Arial" w:eastAsia="Arial" w:hAnsi="Arial"/>
          <w:i/>
          <w:iCs/>
          <w:color w:val="888888"/>
          <w:sz w:val="18"/>
          <w:szCs w:val="18"/>
        </w:rPr>
        <w:t xml:space="preserve">This document synthesises research, architecture analysis, and business case development</w:t>
      </w:r>
    </w:p>
    <w:p>
      <w:pPr>
        <w:spacing w:after="60" w:before="0"/>
        <w:jc w:val="center"/>
      </w:pPr>
      <w:r>
        <w:rPr>
          <w:rFonts w:ascii="Arial" w:cs="Arial" w:eastAsia="Arial" w:hAnsi="Arial"/>
          <w:i/>
          <w:iCs/>
          <w:color w:val="888888"/>
          <w:sz w:val="18"/>
          <w:szCs w:val="18"/>
        </w:rPr>
        <w:t xml:space="preserve">from conversations conducted April 2026.</w:t>
      </w:r>
    </w:p>
    <w:p>
      <w:pPr>
        <w:spacing w:after="0" w:before="120"/>
        <w:jc w:val="center"/>
      </w:pPr>
      <w:r>
        <w:rPr>
          <w:rFonts w:ascii="Arial" w:cs="Arial" w:eastAsia="Arial" w:hAnsi="Arial"/>
          <w:i/>
          <w:iCs/>
          <w:color w:val="888888"/>
          <w:sz w:val="18"/>
          <w:szCs w:val="18"/>
        </w:rPr>
        <w:t xml:space="preserve">All CVE and deployment data reflects information available as of the document 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888888"/>
        <w:sz w:val="16"/>
        <w:szCs w:val="16"/>
      </w:rPr>
      <w:t xml:space="preserve">© Confidential — Not for external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888888"/>
        <w:sz w:val="16"/>
        <w:szCs w:val="16"/>
      </w:rPr>
      <w:t xml:space="preserve">Fully Autonomous Agent Systems for Pharmaceutical CD/AD  |  2026</w:t>
    </w:r>
    <w:r>
      <w:rPr>
        <w:rFonts w:ascii="Arial" w:cs="Arial" w:eastAsia="Arial" w:hAnsi="Arial"/>
        <w:b/>
        <w:bCs/>
        <w:color w:val="C55A11"/>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2026-04-22T18:17:17.287Z</dcterms:created>
  <dcterms:modified xsi:type="dcterms:W3CDTF">2026-04-22T18:17:17.290Z</dcterms:modified>
</cp:coreProperties>
</file>

<file path=docProps/custom.xml><?xml version="1.0" encoding="utf-8"?>
<Properties xmlns="http://schemas.openxmlformats.org/officeDocument/2006/custom-properties" xmlns:vt="http://schemas.openxmlformats.org/officeDocument/2006/docPropsVTypes"/>
</file>