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0D7C8C" w:sz="12" w:space="6"/>
        </w:pBdr>
        <w:spacing w:after="280"/>
        <w:jc w:val="center"/>
      </w:pPr>
      <w:r>
        <w:rPr>
          <w:rFonts w:ascii="Arial" w:cs="Arial" w:eastAsia="Arial" w:hAnsi="Arial"/>
          <w:b/>
          <w:bCs/>
          <w:color w:val="1B3A5C"/>
          <w:sz w:val="60"/>
          <w:szCs w:val="60"/>
        </w:rPr>
        <w:t xml:space="preserve">AUTONOMOUS PHARMACEUTICAL R&amp;D</w:t>
      </w:r>
    </w:p>
    <w:p>
      <w:pPr>
        <w:spacing w:after="200"/>
        <w:jc w:val="center"/>
      </w:pPr>
      <w:r>
        <w:rPr>
          <w:rFonts w:ascii="Arial" w:cs="Arial" w:eastAsia="Arial" w:hAnsi="Arial"/>
          <w:color w:val="3A7CA5"/>
          <w:sz w:val="30"/>
          <w:szCs w:val="30"/>
        </w:rPr>
        <w:t xml:space="preserve">NemoClaw · Paperclip · Hermes · OpenFang · Agent Security · Autonomous Chemistry</w:t>
      </w:r>
    </w:p>
    <w:p>
      <w:pPr>
        <w:spacing w:after="160"/>
        <w:jc w:val="center"/>
      </w:pPr>
      <w:r>
        <w:rPr>
          <w:rFonts w:ascii="Arial" w:cs="Arial" w:eastAsia="Arial" w:hAnsi="Arial"/>
          <w:color w:val="4A5568"/>
          <w:sz w:val="26"/>
          <w:szCs w:val="26"/>
        </w:rPr>
        <w:t xml:space="preserve">A Comprehensive Technical and Strategic Whitepaper</w:t>
      </w:r>
    </w:p>
    <w:p>
      <w:pPr>
        <w:spacing w:after="600"/>
        <w:jc w:val="center"/>
      </w:pPr>
      <w:r>
        <w:rPr>
          <w:rFonts w:ascii="Arial" w:cs="Arial" w:eastAsia="Arial" w:hAnsi="Arial"/>
          <w:color w:val="4A5568"/>
          <w:sz w:val="20"/>
          <w:szCs w:val="20"/>
        </w:rPr>
        <w:t xml:space="preserve">Version 6.0  ·  April 2026  ·  CONFIDENTIAL DRAFT</w:t>
      </w:r>
    </w:p>
    <w:p>
      <w:pPr>
        <w:pBdr>
          <w:top w:val="single" w:color="D1D9E3" w:sz="1"/>
          <w:bottom w:val="single" w:color="D1D9E3" w:sz="1"/>
          <w:left w:val="single" w:color="C8882A" w:sz="12"/>
          <w:right w:val="single" w:color="D1D9E3" w:sz="1"/>
        </w:pBdr>
        <w:shd w:fill="FFF9F0" w:val="clear"/>
        <w:spacing w:after="160" w:before="160"/>
        <w:ind w:left="360" w:right="360"/>
      </w:pPr>
      <w:r>
        <w:rPr>
          <w:rFonts w:ascii="Arial" w:cs="Arial" w:eastAsia="Arial" w:hAnsi="Arial"/>
          <w:b/>
          <w:bCs/>
          <w:color w:val="C8882A"/>
          <w:sz w:val="20"/>
          <w:szCs w:val="20"/>
        </w:rPr>
        <w:t xml:space="preserve">⚠  NemoClaw (alpha), Paperclip (launched March 2026), and Hermes Agent (v0.10.0) are pre-production software. This document is an architectural evaluation. NemoClaw and Paperclip chapter depths have been equalized with all other chapters in this v6 revision.</w:t>
      </w:r>
    </w:p>
    <w:p>
      <w:pPr>
        <w:spacing w:after="300"/>
      </w:pPr>
    </w:p>
    <w:p>
      <w:pPr>
        <w:jc w:val="center"/>
      </w:pPr>
      <w:r>
        <w:rPr>
          <w:rFonts w:ascii="Arial" w:cs="Arial" w:eastAsia="Arial" w:hAnsi="Arial"/>
          <w:color w:val="4A5568"/>
          <w:sz w:val="20"/>
          <w:szCs w:val="20"/>
        </w:rPr>
        <w:t xml:space="preserve">For: VP R&amp;D · CTO · Head of Digital Chemistry · AI Platform Team · InfoSec · QA</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Table of Contents</w:t>
      </w:r>
    </w:p>
    <w:p>
      <w:pPr>
        <w:tabs>
          <w:tab w:val="right" w:pos="9000" w:leader="dot"/>
        </w:tabs>
        <w:spacing w:after="100"/>
      </w:pPr>
      <w:r>
        <w:rPr>
          <w:rFonts w:ascii="Arial" w:cs="Arial" w:eastAsia="Arial" w:hAnsi="Arial"/>
          <w:b/>
          <w:bCs/>
          <w:color w:val="1B3A5C"/>
          <w:sz w:val="21"/>
          <w:szCs w:val="21"/>
        </w:rPr>
        <w:t xml:space="preserve">Executive Summary</w:t>
      </w:r>
      <w:r>
        <w:rPr>
          <w:rFonts w:ascii="Arial" w:cs="Arial" w:eastAsia="Arial" w:hAnsi="Arial"/>
          <w:color w:val="4A5568"/>
          <w:sz w:val="19"/>
          <w:szCs w:val="19"/>
        </w:rPr>
        <w:t xml:space="preserve">	4</w:t>
      </w:r>
    </w:p>
    <w:p>
      <w:pPr>
        <w:tabs>
          <w:tab w:val="right" w:pos="9000" w:leader="dot"/>
        </w:tabs>
        <w:spacing w:after="100"/>
      </w:pPr>
      <w:r>
        <w:rPr>
          <w:rFonts w:ascii="Arial" w:cs="Arial" w:eastAsia="Arial" w:hAnsi="Arial"/>
          <w:b/>
          <w:bCs/>
          <w:color w:val="1B3A5C"/>
          <w:sz w:val="21"/>
          <w:szCs w:val="21"/>
        </w:rPr>
        <w:t xml:space="preserve">Part I — NemoClaw: Complete Technical Architecture</w:t>
      </w:r>
      <w:r>
        <w:rPr>
          <w:rFonts w:ascii="Arial" w:cs="Arial" w:eastAsia="Arial" w:hAnsi="Arial"/>
          <w:color w:val="4A5568"/>
          <w:sz w:val="19"/>
          <w:szCs w:val="19"/>
        </w:rPr>
        <w:t xml:space="preserve">	8</w:t>
      </w:r>
    </w:p>
    <w:p>
      <w:pPr>
        <w:tabs>
          <w:tab w:val="right" w:pos="9000" w:leader="dot"/>
        </w:tabs>
        <w:spacing w:after="60"/>
      </w:pPr>
      <w:r>
        <w:rPr>
          <w:rFonts w:ascii="Arial" w:cs="Arial" w:eastAsia="Arial" w:hAnsi="Arial"/>
          <w:b w:val="false"/>
          <w:bCs w:val="false"/>
          <w:color w:val="4A5568"/>
          <w:sz w:val="19"/>
          <w:szCs w:val="19"/>
        </w:rPr>
        <w:t xml:space="preserve">  1. Strategic Context</w:t>
      </w:r>
      <w:r>
        <w:rPr>
          <w:rFonts w:ascii="Arial" w:cs="Arial" w:eastAsia="Arial" w:hAnsi="Arial"/>
          <w:color w:val="4A5568"/>
          <w:sz w:val="19"/>
          <w:szCs w:val="19"/>
        </w:rPr>
        <w:t xml:space="preserve">	8</w:t>
      </w:r>
    </w:p>
    <w:p>
      <w:pPr>
        <w:tabs>
          <w:tab w:val="right" w:pos="9000" w:leader="dot"/>
        </w:tabs>
        <w:spacing w:after="60"/>
      </w:pPr>
      <w:r>
        <w:rPr>
          <w:rFonts w:ascii="Arial" w:cs="Arial" w:eastAsia="Arial" w:hAnsi="Arial"/>
          <w:b w:val="false"/>
          <w:bCs w:val="false"/>
          <w:color w:val="4A5568"/>
          <w:sz w:val="19"/>
          <w:szCs w:val="19"/>
        </w:rPr>
        <w:t xml:space="preserve">  2. Installation and the onboard Wizard</w:t>
      </w:r>
      <w:r>
        <w:rPr>
          <w:rFonts w:ascii="Arial" w:cs="Arial" w:eastAsia="Arial" w:hAnsi="Arial"/>
          <w:color w:val="4A5568"/>
          <w:sz w:val="19"/>
          <w:szCs w:val="19"/>
        </w:rPr>
        <w:t xml:space="preserve">	9</w:t>
      </w:r>
    </w:p>
    <w:p>
      <w:pPr>
        <w:tabs>
          <w:tab w:val="right" w:pos="9000" w:leader="dot"/>
        </w:tabs>
        <w:spacing w:after="60"/>
      </w:pPr>
      <w:r>
        <w:rPr>
          <w:rFonts w:ascii="Arial" w:cs="Arial" w:eastAsia="Arial" w:hAnsi="Arial"/>
          <w:b w:val="false"/>
          <w:bCs w:val="false"/>
          <w:color w:val="4A5568"/>
          <w:sz w:val="19"/>
          <w:szCs w:val="19"/>
        </w:rPr>
        <w:t xml:space="preserve">  3. OpenShell: Landlock, seccomp-BPF, Network Namespaces</w:t>
      </w:r>
      <w:r>
        <w:rPr>
          <w:rFonts w:ascii="Arial" w:cs="Arial" w:eastAsia="Arial" w:hAnsi="Arial"/>
          <w:color w:val="4A5568"/>
          <w:sz w:val="19"/>
          <w:szCs w:val="19"/>
        </w:rPr>
        <w:t xml:space="preserve">	10</w:t>
      </w:r>
    </w:p>
    <w:p>
      <w:pPr>
        <w:tabs>
          <w:tab w:val="right" w:pos="9000" w:leader="dot"/>
        </w:tabs>
        <w:spacing w:after="60"/>
      </w:pPr>
      <w:r>
        <w:rPr>
          <w:rFonts w:ascii="Arial" w:cs="Arial" w:eastAsia="Arial" w:hAnsi="Arial"/>
          <w:b w:val="false"/>
          <w:bCs w:val="false"/>
          <w:color w:val="4A5568"/>
          <w:sz w:val="19"/>
          <w:szCs w:val="19"/>
        </w:rPr>
        <w:t xml:space="preserve">  4. The Policy System and Per-Binary Egress Pinning</w:t>
      </w:r>
      <w:r>
        <w:rPr>
          <w:rFonts w:ascii="Arial" w:cs="Arial" w:eastAsia="Arial" w:hAnsi="Arial"/>
          <w:color w:val="4A5568"/>
          <w:sz w:val="19"/>
          <w:szCs w:val="19"/>
        </w:rPr>
        <w:t xml:space="preserve">	12</w:t>
      </w:r>
    </w:p>
    <w:p>
      <w:pPr>
        <w:tabs>
          <w:tab w:val="right" w:pos="9000" w:leader="dot"/>
        </w:tabs>
        <w:spacing w:after="60"/>
      </w:pPr>
      <w:r>
        <w:rPr>
          <w:rFonts w:ascii="Arial" w:cs="Arial" w:eastAsia="Arial" w:hAnsi="Arial"/>
          <w:b w:val="false"/>
          <w:bCs w:val="false"/>
          <w:color w:val="4A5568"/>
          <w:sz w:val="19"/>
          <w:szCs w:val="19"/>
        </w:rPr>
        <w:t xml:space="preserve">  5. Workspace-as-Code: SOUL.md, HEARTBEAT.md, MEMORY.md</w:t>
      </w:r>
      <w:r>
        <w:rPr>
          <w:rFonts w:ascii="Arial" w:cs="Arial" w:eastAsia="Arial" w:hAnsi="Arial"/>
          <w:color w:val="4A5568"/>
          <w:sz w:val="19"/>
          <w:szCs w:val="19"/>
        </w:rPr>
        <w:t xml:space="preserve">	14</w:t>
      </w:r>
    </w:p>
    <w:p>
      <w:pPr>
        <w:tabs>
          <w:tab w:val="right" w:pos="9000" w:leader="dot"/>
        </w:tabs>
        <w:spacing w:after="60"/>
      </w:pPr>
      <w:r>
        <w:rPr>
          <w:rFonts w:ascii="Arial" w:cs="Arial" w:eastAsia="Arial" w:hAnsi="Arial"/>
          <w:b w:val="false"/>
          <w:bCs w:val="false"/>
          <w:color w:val="4A5568"/>
          <w:sz w:val="19"/>
          <w:szCs w:val="19"/>
        </w:rPr>
        <w:t xml:space="preserve">  6. Inference Architecture: The Privacy Router</w:t>
      </w:r>
      <w:r>
        <w:rPr>
          <w:rFonts w:ascii="Arial" w:cs="Arial" w:eastAsia="Arial" w:hAnsi="Arial"/>
          <w:color w:val="4A5568"/>
          <w:sz w:val="19"/>
          <w:szCs w:val="19"/>
        </w:rPr>
        <w:t xml:space="preserve">	16</w:t>
      </w:r>
    </w:p>
    <w:p>
      <w:pPr>
        <w:tabs>
          <w:tab w:val="right" w:pos="9000" w:leader="dot"/>
        </w:tabs>
        <w:spacing w:after="60"/>
      </w:pPr>
      <w:r>
        <w:rPr>
          <w:rFonts w:ascii="Arial" w:cs="Arial" w:eastAsia="Arial" w:hAnsi="Arial"/>
          <w:b w:val="false"/>
          <w:bCs w:val="false"/>
          <w:color w:val="4A5568"/>
          <w:sz w:val="19"/>
          <w:szCs w:val="19"/>
        </w:rPr>
        <w:t xml:space="preserve">  7. Multi-Agent Deployment and DGX Spark Sizing</w:t>
      </w:r>
      <w:r>
        <w:rPr>
          <w:rFonts w:ascii="Arial" w:cs="Arial" w:eastAsia="Arial" w:hAnsi="Arial"/>
          <w:color w:val="4A5568"/>
          <w:sz w:val="19"/>
          <w:szCs w:val="19"/>
        </w:rPr>
        <w:t xml:space="preserve">	17</w:t>
      </w:r>
    </w:p>
    <w:p>
      <w:pPr>
        <w:tabs>
          <w:tab w:val="right" w:pos="9000" w:leader="dot"/>
        </w:tabs>
        <w:spacing w:after="60"/>
      </w:pPr>
      <w:r>
        <w:rPr>
          <w:rFonts w:ascii="Arial" w:cs="Arial" w:eastAsia="Arial" w:hAnsi="Arial"/>
          <w:b w:val="false"/>
          <w:bCs w:val="false"/>
          <w:color w:val="4A5568"/>
          <w:sz w:val="19"/>
          <w:szCs w:val="19"/>
        </w:rPr>
        <w:t xml:space="preserve">  8. Dashboard, CLI Command Reference</w:t>
      </w:r>
      <w:r>
        <w:rPr>
          <w:rFonts w:ascii="Arial" w:cs="Arial" w:eastAsia="Arial" w:hAnsi="Arial"/>
          <w:color w:val="4A5568"/>
          <w:sz w:val="19"/>
          <w:szCs w:val="19"/>
        </w:rPr>
        <w:t xml:space="preserve">	18</w:t>
      </w:r>
    </w:p>
    <w:p>
      <w:pPr>
        <w:tabs>
          <w:tab w:val="right" w:pos="9000" w:leader="dot"/>
        </w:tabs>
        <w:spacing w:after="60"/>
      </w:pPr>
      <w:r>
        <w:rPr>
          <w:rFonts w:ascii="Arial" w:cs="Arial" w:eastAsia="Arial" w:hAnsi="Arial"/>
          <w:b w:val="false"/>
          <w:bCs w:val="false"/>
          <w:color w:val="4A5568"/>
          <w:sz w:val="19"/>
          <w:szCs w:val="19"/>
        </w:rPr>
        <w:t xml:space="preserve">  9. The Lobster Workflow Engine</w:t>
      </w:r>
      <w:r>
        <w:rPr>
          <w:rFonts w:ascii="Arial" w:cs="Arial" w:eastAsia="Arial" w:hAnsi="Arial"/>
          <w:color w:val="4A5568"/>
          <w:sz w:val="19"/>
          <w:szCs w:val="19"/>
        </w:rPr>
        <w:t xml:space="preserve">	20</w:t>
      </w:r>
    </w:p>
    <w:p>
      <w:pPr>
        <w:tabs>
          <w:tab w:val="right" w:pos="9000" w:leader="dot"/>
        </w:tabs>
        <w:spacing w:after="60"/>
      </w:pPr>
      <w:r>
        <w:rPr>
          <w:rFonts w:ascii="Arial" w:cs="Arial" w:eastAsia="Arial" w:hAnsi="Arial"/>
          <w:b w:val="false"/>
          <w:bCs w:val="false"/>
          <w:color w:val="4A5568"/>
          <w:sz w:val="19"/>
          <w:szCs w:val="19"/>
        </w:rPr>
        <w:t xml:space="preserve">  10. Security Incidents, Known Issues and CVE Record</w:t>
      </w:r>
      <w:r>
        <w:rPr>
          <w:rFonts w:ascii="Arial" w:cs="Arial" w:eastAsia="Arial" w:hAnsi="Arial"/>
          <w:color w:val="4A5568"/>
          <w:sz w:val="19"/>
          <w:szCs w:val="19"/>
        </w:rPr>
        <w:t xml:space="preserve">	22</w:t>
      </w:r>
    </w:p>
    <w:p>
      <w:pPr>
        <w:tabs>
          <w:tab w:val="right" w:pos="9000" w:leader="dot"/>
        </w:tabs>
        <w:spacing w:after="60"/>
      </w:pPr>
      <w:r>
        <w:rPr>
          <w:rFonts w:ascii="Arial" w:cs="Arial" w:eastAsia="Arial" w:hAnsi="Arial"/>
          <w:b w:val="false"/>
          <w:bCs w:val="false"/>
          <w:color w:val="4A5568"/>
          <w:sz w:val="19"/>
          <w:szCs w:val="19"/>
        </w:rPr>
        <w:t xml:space="preserve">  11. NemoClaw vs. Alternative Sandboxes</w:t>
      </w:r>
      <w:r>
        <w:rPr>
          <w:rFonts w:ascii="Arial" w:cs="Arial" w:eastAsia="Arial" w:hAnsi="Arial"/>
          <w:color w:val="4A5568"/>
          <w:sz w:val="19"/>
          <w:szCs w:val="19"/>
        </w:rPr>
        <w:t xml:space="preserve">	25</w:t>
      </w:r>
    </w:p>
    <w:p>
      <w:pPr>
        <w:tabs>
          <w:tab w:val="right" w:pos="9000" w:leader="dot"/>
        </w:tabs>
        <w:spacing w:after="100"/>
      </w:pPr>
      <w:r>
        <w:rPr>
          <w:rFonts w:ascii="Arial" w:cs="Arial" w:eastAsia="Arial" w:hAnsi="Arial"/>
          <w:b/>
          <w:bCs/>
          <w:color w:val="1B3A5C"/>
          <w:sz w:val="21"/>
          <w:szCs w:val="21"/>
        </w:rPr>
        <w:t xml:space="preserve">Part II — Paperclip: Complete Technical Architecture</w:t>
      </w:r>
      <w:r>
        <w:rPr>
          <w:rFonts w:ascii="Arial" w:cs="Arial" w:eastAsia="Arial" w:hAnsi="Arial"/>
          <w:color w:val="4A5568"/>
          <w:sz w:val="19"/>
          <w:szCs w:val="19"/>
        </w:rPr>
        <w:t xml:space="preserve">	26</w:t>
      </w:r>
    </w:p>
    <w:p>
      <w:pPr>
        <w:tabs>
          <w:tab w:val="right" w:pos="9000" w:leader="dot"/>
        </w:tabs>
        <w:spacing w:after="60"/>
      </w:pPr>
      <w:r>
        <w:rPr>
          <w:rFonts w:ascii="Arial" w:cs="Arial" w:eastAsia="Arial" w:hAnsi="Arial"/>
          <w:b w:val="false"/>
          <w:bCs w:val="false"/>
          <w:color w:val="4A5568"/>
          <w:sz w:val="19"/>
          <w:szCs w:val="19"/>
        </w:rPr>
        <w:t xml:space="preserve">  5. What Paperclip Is — Corrected and Expanded</w:t>
      </w:r>
      <w:r>
        <w:rPr>
          <w:rFonts w:ascii="Arial" w:cs="Arial" w:eastAsia="Arial" w:hAnsi="Arial"/>
          <w:color w:val="4A5568"/>
          <w:sz w:val="19"/>
          <w:szCs w:val="19"/>
        </w:rPr>
        <w:t xml:space="preserve">	26</w:t>
      </w:r>
    </w:p>
    <w:p>
      <w:pPr>
        <w:tabs>
          <w:tab w:val="right" w:pos="9000" w:leader="dot"/>
        </w:tabs>
        <w:spacing w:after="60"/>
      </w:pPr>
      <w:r>
        <w:rPr>
          <w:rFonts w:ascii="Arial" w:cs="Arial" w:eastAsia="Arial" w:hAnsi="Arial"/>
          <w:b w:val="false"/>
          <w:bCs w:val="false"/>
          <w:color w:val="4A5568"/>
          <w:sz w:val="19"/>
          <w:szCs w:val="19"/>
        </w:rPr>
        <w:t xml:space="preserve">  6. Complete company.yaml Schema</w:t>
      </w:r>
      <w:r>
        <w:rPr>
          <w:rFonts w:ascii="Arial" w:cs="Arial" w:eastAsia="Arial" w:hAnsi="Arial"/>
          <w:color w:val="4A5568"/>
          <w:sz w:val="19"/>
          <w:szCs w:val="19"/>
        </w:rPr>
        <w:t xml:space="preserve">	27</w:t>
      </w:r>
    </w:p>
    <w:p>
      <w:pPr>
        <w:tabs>
          <w:tab w:val="right" w:pos="9000" w:leader="dot"/>
        </w:tabs>
        <w:spacing w:after="60"/>
      </w:pPr>
      <w:r>
        <w:rPr>
          <w:rFonts w:ascii="Arial" w:cs="Arial" w:eastAsia="Arial" w:hAnsi="Arial"/>
          <w:b w:val="false"/>
          <w:bCs w:val="false"/>
          <w:color w:val="4A5568"/>
          <w:sz w:val="19"/>
          <w:szCs w:val="19"/>
        </w:rPr>
        <w:t xml:space="preserve">  7. Complete Agent Definition Field Reference</w:t>
      </w:r>
      <w:r>
        <w:rPr>
          <w:rFonts w:ascii="Arial" w:cs="Arial" w:eastAsia="Arial" w:hAnsi="Arial"/>
          <w:color w:val="4A5568"/>
          <w:sz w:val="19"/>
          <w:szCs w:val="19"/>
        </w:rPr>
        <w:t xml:space="preserve">	29</w:t>
      </w:r>
    </w:p>
    <w:p>
      <w:pPr>
        <w:tabs>
          <w:tab w:val="right" w:pos="9000" w:leader="dot"/>
        </w:tabs>
        <w:spacing w:after="60"/>
      </w:pPr>
      <w:r>
        <w:rPr>
          <w:rFonts w:ascii="Arial" w:cs="Arial" w:eastAsia="Arial" w:hAnsi="Arial"/>
          <w:b w:val="false"/>
          <w:bCs w:val="false"/>
          <w:color w:val="4A5568"/>
          <w:sz w:val="19"/>
          <w:szCs w:val="19"/>
        </w:rPr>
        <w:t xml:space="preserve">  8. Session Strategies and Pharma Implications</w:t>
      </w:r>
      <w:r>
        <w:rPr>
          <w:rFonts w:ascii="Arial" w:cs="Arial" w:eastAsia="Arial" w:hAnsi="Arial"/>
          <w:color w:val="4A5568"/>
          <w:sz w:val="19"/>
          <w:szCs w:val="19"/>
        </w:rPr>
        <w:t xml:space="preserve">	31</w:t>
      </w:r>
    </w:p>
    <w:p>
      <w:pPr>
        <w:tabs>
          <w:tab w:val="right" w:pos="9000" w:leader="dot"/>
        </w:tabs>
        <w:spacing w:after="60"/>
      </w:pPr>
      <w:r>
        <w:rPr>
          <w:rFonts w:ascii="Arial" w:cs="Arial" w:eastAsia="Arial" w:hAnsi="Arial"/>
          <w:b w:val="false"/>
          <w:bCs w:val="false"/>
          <w:color w:val="4A5568"/>
          <w:sz w:val="19"/>
          <w:szCs w:val="19"/>
        </w:rPr>
        <w:t xml:space="preserve">  9. The Heartbeat and Wake Mechanism — All Wake Reasons</w:t>
      </w:r>
      <w:r>
        <w:rPr>
          <w:rFonts w:ascii="Arial" w:cs="Arial" w:eastAsia="Arial" w:hAnsi="Arial"/>
          <w:color w:val="4A5568"/>
          <w:sz w:val="19"/>
          <w:szCs w:val="19"/>
        </w:rPr>
        <w:t xml:space="preserve">	32</w:t>
      </w:r>
    </w:p>
    <w:p>
      <w:pPr>
        <w:tabs>
          <w:tab w:val="right" w:pos="9000" w:leader="dot"/>
        </w:tabs>
        <w:spacing w:after="60"/>
      </w:pPr>
      <w:r>
        <w:rPr>
          <w:rFonts w:ascii="Arial" w:cs="Arial" w:eastAsia="Arial" w:hAnsi="Arial"/>
          <w:b w:val="false"/>
          <w:bCs w:val="false"/>
          <w:color w:val="4A5568"/>
          <w:sz w:val="19"/>
          <w:szCs w:val="19"/>
        </w:rPr>
        <w:t xml:space="preserve">  10. Issue Lifecycle: Full State Machine</w:t>
      </w:r>
      <w:r>
        <w:rPr>
          <w:rFonts w:ascii="Arial" w:cs="Arial" w:eastAsia="Arial" w:hAnsi="Arial"/>
          <w:color w:val="4A5568"/>
          <w:sz w:val="19"/>
          <w:szCs w:val="19"/>
        </w:rPr>
        <w:t xml:space="preserve">	34</w:t>
      </w:r>
    </w:p>
    <w:p>
      <w:pPr>
        <w:tabs>
          <w:tab w:val="right" w:pos="9000" w:leader="dot"/>
        </w:tabs>
        <w:spacing w:after="60"/>
      </w:pPr>
      <w:r>
        <w:rPr>
          <w:rFonts w:ascii="Arial" w:cs="Arial" w:eastAsia="Arial" w:hAnsi="Arial"/>
          <w:b w:val="false"/>
          <w:bCs w:val="false"/>
          <w:color w:val="4A5568"/>
          <w:sz w:val="19"/>
          <w:szCs w:val="19"/>
        </w:rPr>
        <w:t xml:space="preserve">  11. SKILL.md Format, Trigger System and Frontmatter Schema</w:t>
      </w:r>
      <w:r>
        <w:rPr>
          <w:rFonts w:ascii="Arial" w:cs="Arial" w:eastAsia="Arial" w:hAnsi="Arial"/>
          <w:color w:val="4A5568"/>
          <w:sz w:val="19"/>
          <w:szCs w:val="19"/>
        </w:rPr>
        <w:t xml:space="preserve">	35</w:t>
      </w:r>
    </w:p>
    <w:p>
      <w:pPr>
        <w:tabs>
          <w:tab w:val="right" w:pos="9000" w:leader="dot"/>
        </w:tabs>
        <w:spacing w:after="60"/>
      </w:pPr>
      <w:r>
        <w:rPr>
          <w:rFonts w:ascii="Arial" w:cs="Arial" w:eastAsia="Arial" w:hAnsi="Arial"/>
          <w:b w:val="false"/>
          <w:bCs w:val="false"/>
          <w:color w:val="4A5568"/>
          <w:sz w:val="19"/>
          <w:szCs w:val="19"/>
        </w:rPr>
        <w:t xml:space="preserve">  12. Known Issues — Pre-Production Blockers (#2553, #1089, #958)</w:t>
      </w:r>
      <w:r>
        <w:rPr>
          <w:rFonts w:ascii="Arial" w:cs="Arial" w:eastAsia="Arial" w:hAnsi="Arial"/>
          <w:color w:val="4A5568"/>
          <w:sz w:val="19"/>
          <w:szCs w:val="19"/>
        </w:rPr>
        <w:t xml:space="preserve">	37</w:t>
      </w:r>
    </w:p>
    <w:p>
      <w:pPr>
        <w:tabs>
          <w:tab w:val="right" w:pos="9000" w:leader="dot"/>
        </w:tabs>
        <w:spacing w:after="60"/>
      </w:pPr>
      <w:r>
        <w:rPr>
          <w:rFonts w:ascii="Arial" w:cs="Arial" w:eastAsia="Arial" w:hAnsi="Arial"/>
          <w:b w:val="false"/>
          <w:bCs w:val="false"/>
          <w:color w:val="4A5568"/>
          <w:sz w:val="19"/>
          <w:szCs w:val="19"/>
        </w:rPr>
        <w:t xml:space="preserve">  13. REST API Endpoints, Database Schema, Multi-Company Architecture</w:t>
      </w:r>
      <w:r>
        <w:rPr>
          <w:rFonts w:ascii="Arial" w:cs="Arial" w:eastAsia="Arial" w:hAnsi="Arial"/>
          <w:color w:val="4A5568"/>
          <w:sz w:val="19"/>
          <w:szCs w:val="19"/>
        </w:rPr>
        <w:t xml:space="preserve">	39</w:t>
      </w:r>
    </w:p>
    <w:p>
      <w:pPr>
        <w:tabs>
          <w:tab w:val="right" w:pos="9000" w:leader="dot"/>
        </w:tabs>
        <w:spacing w:after="100"/>
      </w:pPr>
      <w:r>
        <w:rPr>
          <w:rFonts w:ascii="Arial" w:cs="Arial" w:eastAsia="Arial" w:hAnsi="Arial"/>
          <w:b/>
          <w:bCs/>
          <w:color w:val="1B3A5C"/>
          <w:sz w:val="21"/>
          <w:szCs w:val="21"/>
        </w:rPr>
        <w:t xml:space="preserve">Part III — Alternative Orchestration Stacks</w:t>
      </w:r>
      <w:r>
        <w:rPr>
          <w:rFonts w:ascii="Arial" w:cs="Arial" w:eastAsia="Arial" w:hAnsi="Arial"/>
          <w:color w:val="4A5568"/>
          <w:sz w:val="19"/>
          <w:szCs w:val="19"/>
        </w:rPr>
        <w:t xml:space="preserve">	42</w:t>
      </w:r>
    </w:p>
    <w:p>
      <w:pPr>
        <w:tabs>
          <w:tab w:val="right" w:pos="9000" w:leader="dot"/>
        </w:tabs>
        <w:spacing w:after="60"/>
      </w:pPr>
      <w:r>
        <w:rPr>
          <w:rFonts w:ascii="Arial" w:cs="Arial" w:eastAsia="Arial" w:hAnsi="Arial"/>
          <w:b w:val="false"/>
          <w:bCs w:val="false"/>
          <w:color w:val="4A5568"/>
          <w:sz w:val="19"/>
          <w:szCs w:val="19"/>
        </w:rPr>
        <w:t xml:space="preserve">  14–18. Bedrock AgentCore, MAF 1.0, Temporal.io, Antfarm, Selection Guide</w:t>
      </w:r>
      <w:r>
        <w:rPr>
          <w:rFonts w:ascii="Arial" w:cs="Arial" w:eastAsia="Arial" w:hAnsi="Arial"/>
          <w:color w:val="4A5568"/>
          <w:sz w:val="19"/>
          <w:szCs w:val="19"/>
        </w:rPr>
        <w:t xml:space="preserve">	42</w:t>
      </w:r>
    </w:p>
    <w:p>
      <w:pPr>
        <w:tabs>
          <w:tab w:val="right" w:pos="9000" w:leader="dot"/>
        </w:tabs>
        <w:spacing w:after="100"/>
      </w:pPr>
      <w:r>
        <w:rPr>
          <w:rFonts w:ascii="Arial" w:cs="Arial" w:eastAsia="Arial" w:hAnsi="Arial"/>
          <w:b/>
          <w:bCs/>
          <w:color w:val="1B3A5C"/>
          <w:sz w:val="21"/>
          <w:szCs w:val="21"/>
        </w:rPr>
        <w:t xml:space="preserve">Part IV — Scientific Tool Suite</w:t>
      </w:r>
      <w:r>
        <w:rPr>
          <w:rFonts w:ascii="Arial" w:cs="Arial" w:eastAsia="Arial" w:hAnsi="Arial"/>
          <w:color w:val="4A5568"/>
          <w:sz w:val="19"/>
          <w:szCs w:val="19"/>
        </w:rPr>
        <w:t xml:space="preserve">	51</w:t>
      </w:r>
    </w:p>
    <w:p>
      <w:pPr>
        <w:tabs>
          <w:tab w:val="right" w:pos="9000" w:leader="dot"/>
        </w:tabs>
        <w:spacing w:after="60"/>
      </w:pPr>
      <w:r>
        <w:rPr>
          <w:rFonts w:ascii="Arial" w:cs="Arial" w:eastAsia="Arial" w:hAnsi="Arial"/>
          <w:b w:val="false"/>
          <w:bCs w:val="false"/>
          <w:color w:val="4A5568"/>
          <w:sz w:val="19"/>
          <w:szCs w:val="19"/>
        </w:rPr>
        <w:t xml:space="preserve">  19–24. Quantum Chemistry Ladder, Cheminformatics, Analytical, BoFire, TabPFN v2, SiLA 2</w:t>
      </w:r>
      <w:r>
        <w:rPr>
          <w:rFonts w:ascii="Arial" w:cs="Arial" w:eastAsia="Arial" w:hAnsi="Arial"/>
          <w:color w:val="4A5568"/>
          <w:sz w:val="19"/>
          <w:szCs w:val="19"/>
        </w:rPr>
        <w:t xml:space="preserve">	51</w:t>
      </w:r>
    </w:p>
    <w:p>
      <w:pPr>
        <w:tabs>
          <w:tab w:val="right" w:pos="9000" w:leader="dot"/>
        </w:tabs>
        <w:spacing w:after="100"/>
      </w:pPr>
      <w:r>
        <w:rPr>
          <w:rFonts w:ascii="Arial" w:cs="Arial" w:eastAsia="Arial" w:hAnsi="Arial"/>
          <w:b/>
          <w:bCs/>
          <w:color w:val="1B3A5C"/>
          <w:sz w:val="21"/>
          <w:szCs w:val="21"/>
        </w:rPr>
        <w:t xml:space="preserve">Part V — Agentic Data Architecture and Ontologies</w:t>
      </w:r>
      <w:r>
        <w:rPr>
          <w:rFonts w:ascii="Arial" w:cs="Arial" w:eastAsia="Arial" w:hAnsi="Arial"/>
          <w:color w:val="4A5568"/>
          <w:sz w:val="19"/>
          <w:szCs w:val="19"/>
        </w:rPr>
        <w:t xml:space="preserve">	64</w:t>
      </w:r>
    </w:p>
    <w:p>
      <w:pPr>
        <w:tabs>
          <w:tab w:val="right" w:pos="9000" w:leader="dot"/>
        </w:tabs>
        <w:spacing w:after="60"/>
      </w:pPr>
      <w:r>
        <w:rPr>
          <w:rFonts w:ascii="Arial" w:cs="Arial" w:eastAsia="Arial" w:hAnsi="Arial"/>
          <w:b w:val="false"/>
          <w:bCs w:val="false"/>
          <w:color w:val="4A5568"/>
          <w:sz w:val="19"/>
          <w:szCs w:val="19"/>
        </w:rPr>
        <w:t xml:space="preserve">  25–27. Five-Store Architecture, Ontology Stack, FAIR and GxP Immutability</w:t>
      </w:r>
      <w:r>
        <w:rPr>
          <w:rFonts w:ascii="Arial" w:cs="Arial" w:eastAsia="Arial" w:hAnsi="Arial"/>
          <w:color w:val="4A5568"/>
          <w:sz w:val="19"/>
          <w:szCs w:val="19"/>
        </w:rPr>
        <w:t xml:space="preserve">	64</w:t>
      </w:r>
    </w:p>
    <w:p>
      <w:pPr>
        <w:tabs>
          <w:tab w:val="right" w:pos="9000" w:leader="dot"/>
        </w:tabs>
        <w:spacing w:after="100"/>
      </w:pPr>
      <w:r>
        <w:rPr>
          <w:rFonts w:ascii="Arial" w:cs="Arial" w:eastAsia="Arial" w:hAnsi="Arial"/>
          <w:b/>
          <w:bCs/>
          <w:color w:val="1B3A5C"/>
          <w:sz w:val="21"/>
          <w:szCs w:val="21"/>
        </w:rPr>
        <w:t xml:space="preserve">Part VI — Observability, Governance and Compliance</w:t>
      </w:r>
      <w:r>
        <w:rPr>
          <w:rFonts w:ascii="Arial" w:cs="Arial" w:eastAsia="Arial" w:hAnsi="Arial"/>
          <w:color w:val="4A5568"/>
          <w:sz w:val="19"/>
          <w:szCs w:val="19"/>
        </w:rPr>
        <w:t xml:space="preserve">	74</w:t>
      </w:r>
    </w:p>
    <w:p>
      <w:pPr>
        <w:tabs>
          <w:tab w:val="right" w:pos="9000" w:leader="dot"/>
        </w:tabs>
        <w:spacing w:after="60"/>
      </w:pPr>
      <w:r>
        <w:rPr>
          <w:rFonts w:ascii="Arial" w:cs="Arial" w:eastAsia="Arial" w:hAnsi="Arial"/>
          <w:b w:val="false"/>
          <w:bCs w:val="false"/>
          <w:color w:val="4A5568"/>
          <w:sz w:val="19"/>
          <w:szCs w:val="19"/>
        </w:rPr>
        <w:t xml:space="preserve">  28–31. Langfuse/Phoenix/OTEL, Token Budgets, 21 CFR Part 11, Drift Detection</w:t>
      </w:r>
      <w:r>
        <w:rPr>
          <w:rFonts w:ascii="Arial" w:cs="Arial" w:eastAsia="Arial" w:hAnsi="Arial"/>
          <w:color w:val="4A5568"/>
          <w:sz w:val="19"/>
          <w:szCs w:val="19"/>
        </w:rPr>
        <w:t xml:space="preserve">	74</w:t>
      </w:r>
    </w:p>
    <w:p>
      <w:pPr>
        <w:tabs>
          <w:tab w:val="right" w:pos="9000" w:leader="dot"/>
        </w:tabs>
        <w:spacing w:after="100"/>
      </w:pPr>
      <w:r>
        <w:rPr>
          <w:rFonts w:ascii="Arial" w:cs="Arial" w:eastAsia="Arial" w:hAnsi="Arial"/>
          <w:b/>
          <w:bCs/>
          <w:color w:val="1B3A5C"/>
          <w:sz w:val="21"/>
          <w:szCs w:val="21"/>
        </w:rPr>
        <w:t xml:space="preserve">Part VII — The State of Autonomous Science (April 2026)</w:t>
      </w:r>
      <w:r>
        <w:rPr>
          <w:rFonts w:ascii="Arial" w:cs="Arial" w:eastAsia="Arial" w:hAnsi="Arial"/>
          <w:color w:val="4A5568"/>
          <w:sz w:val="19"/>
          <w:szCs w:val="19"/>
        </w:rPr>
        <w:t xml:space="preserve">	85</w:t>
      </w:r>
    </w:p>
    <w:p>
      <w:pPr>
        <w:tabs>
          <w:tab w:val="right" w:pos="9000" w:leader="dot"/>
        </w:tabs>
        <w:spacing w:after="60"/>
      </w:pPr>
      <w:r>
        <w:rPr>
          <w:rFonts w:ascii="Arial" w:cs="Arial" w:eastAsia="Arial" w:hAnsi="Arial"/>
          <w:b w:val="false"/>
          <w:bCs w:val="false"/>
          <w:color w:val="4A5568"/>
          <w:sz w:val="19"/>
          <w:szCs w:val="19"/>
        </w:rPr>
        <w:t xml:space="preserve">  32–35. Self-Driving Labs, AI Drugs in Clinic, ChemBench, TRL Scores</w:t>
      </w:r>
      <w:r>
        <w:rPr>
          <w:rFonts w:ascii="Arial" w:cs="Arial" w:eastAsia="Arial" w:hAnsi="Arial"/>
          <w:color w:val="4A5568"/>
          <w:sz w:val="19"/>
          <w:szCs w:val="19"/>
        </w:rPr>
        <w:t xml:space="preserve">	85</w:t>
      </w:r>
    </w:p>
    <w:p>
      <w:pPr>
        <w:tabs>
          <w:tab w:val="right" w:pos="9000" w:leader="dot"/>
        </w:tabs>
        <w:spacing w:after="100"/>
      </w:pPr>
      <w:r>
        <w:rPr>
          <w:rFonts w:ascii="Arial" w:cs="Arial" w:eastAsia="Arial" w:hAnsi="Arial"/>
          <w:b/>
          <w:bCs/>
          <w:color w:val="1B3A5C"/>
          <w:sz w:val="21"/>
          <w:szCs w:val="21"/>
        </w:rPr>
        <w:t xml:space="preserve">Part VIII — Hermes Agent: Model-Agnostic Runtime and Self-Evolution</w:t>
      </w:r>
      <w:r>
        <w:rPr>
          <w:rFonts w:ascii="Arial" w:cs="Arial" w:eastAsia="Arial" w:hAnsi="Arial"/>
          <w:color w:val="4A5568"/>
          <w:sz w:val="19"/>
          <w:szCs w:val="19"/>
        </w:rPr>
        <w:t xml:space="preserve">	95</w:t>
      </w:r>
    </w:p>
    <w:p>
      <w:pPr>
        <w:tabs>
          <w:tab w:val="right" w:pos="9000" w:leader="dot"/>
        </w:tabs>
        <w:spacing w:after="60"/>
      </w:pPr>
      <w:r>
        <w:rPr>
          <w:rFonts w:ascii="Arial" w:cs="Arial" w:eastAsia="Arial" w:hAnsi="Arial"/>
          <w:b w:val="false"/>
          <w:bCs w:val="false"/>
          <w:color w:val="4A5568"/>
          <w:sz w:val="19"/>
          <w:szCs w:val="19"/>
        </w:rPr>
        <w:t xml:space="preserve">  38–47. Corrected Architecture, Nous Ecosystem, GEPA Evolution, Benchmarks, Integration Blueprint</w:t>
      </w:r>
      <w:r>
        <w:rPr>
          <w:rFonts w:ascii="Arial" w:cs="Arial" w:eastAsia="Arial" w:hAnsi="Arial"/>
          <w:color w:val="4A5568"/>
          <w:sz w:val="19"/>
          <w:szCs w:val="19"/>
        </w:rPr>
        <w:t xml:space="preserve">	95</w:t>
      </w:r>
    </w:p>
    <w:p>
      <w:pPr>
        <w:tabs>
          <w:tab w:val="right" w:pos="9000" w:leader="dot"/>
        </w:tabs>
        <w:spacing w:after="100"/>
      </w:pPr>
      <w:r>
        <w:rPr>
          <w:rFonts w:ascii="Arial" w:cs="Arial" w:eastAsia="Arial" w:hAnsi="Arial"/>
          <w:b/>
          <w:bCs/>
          <w:color w:val="1B3A5C"/>
          <w:sz w:val="21"/>
          <w:szCs w:val="21"/>
        </w:rPr>
        <w:t xml:space="preserve">Part IX — The Autonomous Agent Landscape for Pharma Chemistry</w:t>
      </w:r>
      <w:r>
        <w:rPr>
          <w:rFonts w:ascii="Arial" w:cs="Arial" w:eastAsia="Arial" w:hAnsi="Arial"/>
          <w:color w:val="4A5568"/>
          <w:sz w:val="19"/>
          <w:szCs w:val="19"/>
        </w:rPr>
        <w:t xml:space="preserve">	125</w:t>
      </w:r>
    </w:p>
    <w:p>
      <w:pPr>
        <w:tabs>
          <w:tab w:val="right" w:pos="9000" w:leader="dot"/>
        </w:tabs>
        <w:spacing w:after="60"/>
      </w:pPr>
      <w:r>
        <w:rPr>
          <w:rFonts w:ascii="Arial" w:cs="Arial" w:eastAsia="Arial" w:hAnsi="Arial"/>
          <w:b w:val="false"/>
          <w:bCs w:val="false"/>
          <w:color w:val="4A5568"/>
          <w:sz w:val="19"/>
          <w:szCs w:val="19"/>
        </w:rPr>
        <w:t xml:space="preserve">  15–16. The OpenClaw Ecosystem, Six Forks, OpenFang Deep Dive</w:t>
      </w:r>
      <w:r>
        <w:rPr>
          <w:rFonts w:ascii="Arial" w:cs="Arial" w:eastAsia="Arial" w:hAnsi="Arial"/>
          <w:color w:val="4A5568"/>
          <w:sz w:val="19"/>
          <w:szCs w:val="19"/>
        </w:rPr>
        <w:t xml:space="preserve">	125</w:t>
      </w:r>
    </w:p>
    <w:p>
      <w:pPr>
        <w:tabs>
          <w:tab w:val="right" w:pos="9000" w:leader="dot"/>
        </w:tabs>
        <w:spacing w:after="60"/>
      </w:pPr>
      <w:r>
        <w:rPr>
          <w:rFonts w:ascii="Arial" w:cs="Arial" w:eastAsia="Arial" w:hAnsi="Arial"/>
          <w:b w:val="false"/>
          <w:bCs w:val="false"/>
          <w:color w:val="4A5568"/>
          <w:sz w:val="19"/>
          <w:szCs w:val="19"/>
        </w:rPr>
        <w:t xml:space="preserve">  17. Enterprise Platforms: Veeva AI, Agentforce, NVIDIA/IQVIA.ai, Eli Lilly</w:t>
      </w:r>
      <w:r>
        <w:rPr>
          <w:rFonts w:ascii="Arial" w:cs="Arial" w:eastAsia="Arial" w:hAnsi="Arial"/>
          <w:color w:val="4A5568"/>
          <w:sz w:val="19"/>
          <w:szCs w:val="19"/>
        </w:rPr>
        <w:t xml:space="preserve">	133</w:t>
      </w:r>
    </w:p>
    <w:p>
      <w:pPr>
        <w:tabs>
          <w:tab w:val="right" w:pos="9000" w:leader="dot"/>
        </w:tabs>
        <w:spacing w:after="60"/>
      </w:pPr>
      <w:r>
        <w:rPr>
          <w:rFonts w:ascii="Arial" w:cs="Arial" w:eastAsia="Arial" w:hAnsi="Arial"/>
          <w:b w:val="false"/>
          <w:bCs w:val="false"/>
          <w:color w:val="4A5568"/>
          <w:sz w:val="19"/>
          <w:szCs w:val="19"/>
        </w:rPr>
        <w:t xml:space="preserve">  18. Computer-Use Agents and the GxP Compatibility Barrier</w:t>
      </w:r>
      <w:r>
        <w:rPr>
          <w:rFonts w:ascii="Arial" w:cs="Arial" w:eastAsia="Arial" w:hAnsi="Arial"/>
          <w:color w:val="4A5568"/>
          <w:sz w:val="19"/>
          <w:szCs w:val="19"/>
        </w:rPr>
        <w:t xml:space="preserve">	137</w:t>
      </w:r>
    </w:p>
    <w:p>
      <w:pPr>
        <w:tabs>
          <w:tab w:val="right" w:pos="9000" w:leader="dot"/>
        </w:tabs>
        <w:spacing w:after="60"/>
      </w:pPr>
      <w:r>
        <w:rPr>
          <w:rFonts w:ascii="Arial" w:cs="Arial" w:eastAsia="Arial" w:hAnsi="Arial"/>
          <w:b w:val="false"/>
          <w:bCs w:val="false"/>
          <w:color w:val="4A5568"/>
          <w:sz w:val="19"/>
          <w:szCs w:val="19"/>
        </w:rPr>
        <w:t xml:space="preserve">  19–22. Eight Pharma Use Cases, Self-Driving Labs, Regulatory Compliance, Competitive Landscape</w:t>
      </w:r>
      <w:r>
        <w:rPr>
          <w:rFonts w:ascii="Arial" w:cs="Arial" w:eastAsia="Arial" w:hAnsi="Arial"/>
          <w:color w:val="4A5568"/>
          <w:sz w:val="19"/>
          <w:szCs w:val="19"/>
        </w:rPr>
        <w:t xml:space="preserve">	139</w:t>
      </w:r>
    </w:p>
    <w:p>
      <w:pPr>
        <w:tabs>
          <w:tab w:val="right" w:pos="9000" w:leader="dot"/>
        </w:tabs>
        <w:spacing w:after="100"/>
      </w:pPr>
      <w:r>
        <w:rPr>
          <w:rFonts w:ascii="Arial" w:cs="Arial" w:eastAsia="Arial" w:hAnsi="Arial"/>
          <w:b/>
          <w:bCs/>
          <w:color w:val="1B3A5C"/>
          <w:sz w:val="21"/>
          <w:szCs w:val="21"/>
        </w:rPr>
        <w:t xml:space="preserve">Part X — Safely Running Autonomous Agents in a Company Environment</w:t>
      </w:r>
      <w:r>
        <w:rPr>
          <w:rFonts w:ascii="Arial" w:cs="Arial" w:eastAsia="Arial" w:hAnsi="Arial"/>
          <w:color w:val="4A5568"/>
          <w:sz w:val="19"/>
          <w:szCs w:val="19"/>
        </w:rPr>
        <w:t xml:space="preserve">	158</w:t>
      </w:r>
    </w:p>
    <w:p>
      <w:pPr>
        <w:tabs>
          <w:tab w:val="right" w:pos="9000" w:leader="dot"/>
        </w:tabs>
        <w:spacing w:after="60"/>
      </w:pPr>
      <w:r>
        <w:rPr>
          <w:rFonts w:ascii="Arial" w:cs="Arial" w:eastAsia="Arial" w:hAnsi="Arial"/>
          <w:b w:val="false"/>
          <w:bCs w:val="false"/>
          <w:color w:val="4A5568"/>
          <w:sz w:val="19"/>
          <w:szCs w:val="19"/>
        </w:rPr>
        <w:t xml:space="preserve">  48–59. Threats, Sandboxing, Egress, AI Security Tools, Supply Chain, Governance, HITL, Identity, Secrets, Authorization, Commercial Platforms, Recommended Architecture</w:t>
      </w:r>
      <w:r>
        <w:rPr>
          <w:rFonts w:ascii="Arial" w:cs="Arial" w:eastAsia="Arial" w:hAnsi="Arial"/>
          <w:color w:val="4A5568"/>
          <w:sz w:val="19"/>
          <w:szCs w:val="19"/>
        </w:rPr>
        <w:t xml:space="preserve">	158</w:t>
      </w:r>
    </w:p>
    <w:p>
      <w:pPr>
        <w:tabs>
          <w:tab w:val="right" w:pos="9000" w:leader="dot"/>
        </w:tabs>
        <w:spacing w:after="100"/>
      </w:pPr>
      <w:r>
        <w:rPr>
          <w:rFonts w:ascii="Arial" w:cs="Arial" w:eastAsia="Arial" w:hAnsi="Arial"/>
          <w:b/>
          <w:bCs/>
          <w:color w:val="1B3A5C"/>
          <w:sz w:val="21"/>
          <w:szCs w:val="21"/>
        </w:rPr>
        <w:t xml:space="preserve">Part XI — Senior Management Pitch</w:t>
      </w:r>
      <w:r>
        <w:rPr>
          <w:rFonts w:ascii="Arial" w:cs="Arial" w:eastAsia="Arial" w:hAnsi="Arial"/>
          <w:color w:val="4A5568"/>
          <w:sz w:val="19"/>
          <w:szCs w:val="19"/>
        </w:rPr>
        <w:t xml:space="preserve">	192</w:t>
      </w:r>
    </w:p>
    <w:p>
      <w:pPr>
        <w:tabs>
          <w:tab w:val="right" w:pos="9000" w:leader="dot"/>
        </w:tabs>
        <w:spacing w:after="60"/>
      </w:pPr>
      <w:r>
        <w:rPr>
          <w:rFonts w:ascii="Arial" w:cs="Arial" w:eastAsia="Arial" w:hAnsi="Arial"/>
          <w:b w:val="false"/>
          <w:bCs w:val="false"/>
          <w:color w:val="4A5568"/>
          <w:sz w:val="19"/>
          <w:szCs w:val="19"/>
        </w:rPr>
        <w:t xml:space="preserve">  32–37. Competitor Moves, Six Use Cases, NPV Model, FTE Analysis, Speed, Risk Register</w:t>
      </w:r>
      <w:r>
        <w:rPr>
          <w:rFonts w:ascii="Arial" w:cs="Arial" w:eastAsia="Arial" w:hAnsi="Arial"/>
          <w:color w:val="4A5568"/>
          <w:sz w:val="19"/>
          <w:szCs w:val="19"/>
        </w:rPr>
        <w:t xml:space="preserve">	192</w:t>
      </w:r>
    </w:p>
    <w:p>
      <w:pPr>
        <w:tabs>
          <w:tab w:val="right" w:pos="9000" w:leader="dot"/>
        </w:tabs>
        <w:spacing w:after="100"/>
      </w:pPr>
      <w:r>
        <w:rPr>
          <w:rFonts w:ascii="Arial" w:cs="Arial" w:eastAsia="Arial" w:hAnsi="Arial"/>
          <w:b/>
          <w:bCs/>
          <w:color w:val="1B3A5C"/>
          <w:sz w:val="21"/>
          <w:szCs w:val="21"/>
        </w:rPr>
        <w:t xml:space="preserve">Appendix A — Deployment Runbook and Production Gates</w:t>
      </w:r>
      <w:r>
        <w:rPr>
          <w:rFonts w:ascii="Arial" w:cs="Arial" w:eastAsia="Arial" w:hAnsi="Arial"/>
          <w:color w:val="4A5568"/>
          <w:sz w:val="19"/>
          <w:szCs w:val="19"/>
        </w:rPr>
        <w:t xml:space="preserve">	210</w:t>
      </w:r>
    </w:p>
    <w:p>
      <w:pPr>
        <w:tabs>
          <w:tab w:val="right" w:pos="9000" w:leader="dot"/>
        </w:tabs>
        <w:spacing w:after="100"/>
      </w:pPr>
      <w:r>
        <w:rPr>
          <w:rFonts w:ascii="Arial" w:cs="Arial" w:eastAsia="Arial" w:hAnsi="Arial"/>
          <w:b/>
          <w:bCs/>
          <w:color w:val="1B3A5C"/>
          <w:sz w:val="21"/>
          <w:szCs w:val="21"/>
        </w:rPr>
        <w:t xml:space="preserve">Appendix B — Acronym Reference</w:t>
      </w:r>
      <w:r>
        <w:rPr>
          <w:rFonts w:ascii="Arial" w:cs="Arial" w:eastAsia="Arial" w:hAnsi="Arial"/>
          <w:color w:val="4A5568"/>
          <w:sz w:val="19"/>
          <w:szCs w:val="19"/>
        </w:rPr>
        <w:t xml:space="preserve">	214</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Executive Summary</w:t>
      </w:r>
    </w:p>
    <w:p>
      <w:pPr>
        <w:spacing w:after="140"/>
        <w:jc w:val="both"/>
      </w:pPr>
      <w:r>
        <w:rPr>
          <w:rFonts w:ascii="Arial" w:cs="Arial" w:eastAsia="Arial" w:hAnsi="Arial"/>
          <w:color w:val="1A1A1A"/>
          <w:sz w:val="22"/>
          <w:szCs w:val="22"/>
        </w:rPr>
        <w:t xml:space="preserve">This whitepaper is the most comprehensive publicly available technical and strategic analysis of autonomous AI agent stacks for pharmaceutical chemical R&amp;D, covering ten research sweeps across April 2026. It integrates five principal technology stacks — NemoClaw (NVIDIA sandboxed OpenClaw runtime), Paperclip (zero-human company OS), Hermes Agent (Nous Research model-agnostic Python runtime), OpenFang (Rust security-first alternative), and the enterprise platforms (Veeva AI Agents, Salesforce Agentforce, NVIDIA/IQVIA.ai) — with twelve pharma-specific topics: the nine-specialist agent team configuration, scientific tool suite from GFN2-xTB through AiZynthFinder and BoFire, five-store agentic data architecture, 21 CFR Part 11 and EU AI Act compliance, autonomous science state of the art, the complete OpenClaw ecosystem and its six security forks, computer-use agents and their GxP incompatibility, eight documented pharma chemistry use cases, self-driving lab architectures, enterprise agent security (gVisor, Kata, SPIFFE/SPIRE, Cedar, Vault), and the senior management NPV pitch.</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Version 6.0 corrects the structural inequality between chapters. NemoClaw (Part I) and Paperclip (Part II) now receive the same technical depth as Parts VIII–X: complete CLI references, full schema documentation, known-issue technical details, and concrete configuration examples. The autonomous agent landscape (Part IX) is new and covers OpenClaw history and forks, OpenFang's 16 security layers, enterprise platform deployments, computer-use agent GxP limitations, all eight pharma use cases, self-driving lab integration patterns, and the full regulatory compliance framework.</w:t>
      </w:r>
    </w:p>
    <w:p>
      <w:pPr>
        <w:spacing w:after="140"/>
        <w:jc w:val="both"/>
      </w:pPr>
      <w:r>
        <w:rPr>
          <w:rFonts w:ascii="Arial" w:cs="Arial" w:eastAsia="Arial" w:hAnsi="Arial"/>
          <w:color w:val="1A1A1A"/>
          <w:sz w:val="22"/>
          <w:szCs w:val="22"/>
        </w:rPr>
        <w:t xml:space="preserve">The document's core thesis remains: Paperclip provides the org chart, budgets, and approval governance that NemoClaw and Hermes lack. Hermes Agent provides the model-agnostic Python runtime with progressive-disclosure skills and AWS Bedrock native support that OpenClaw lacks. A layered security architecture (Part X) — gVisor process isolation, Cilium egress control, SPIFFE/SPIRE workload identity, Vault dynamic secrets, ProtectAI LLM Guard, and Invariant Labs trajectory monitoring — provides the GxP-auditable safety substrate that no agent framework provides natively.</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Financial summary: €2.5M investment over 18 months yields €1.4M/year base-case operational savings plus €500–900M NPV speed premium if one programme enters Phase 1 twelve months faster. The security architecture (Part X) adds €350K/year — justified against a single compound series IP exfiltration event (€500M+ exclusivity exposure) or a hallucinated assay result in a GxP record.</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I — NemoClaw: Complete Technical Architecture</w:t>
      </w:r>
    </w:p>
    <w:p>
      <w:pPr>
        <w:pStyle w:val="Heading2"/>
        <w:spacing w:after="160" w:before="400"/>
      </w:pPr>
      <w:r>
        <w:rPr>
          <w:rFonts w:ascii="Arial" w:cs="Arial" w:eastAsia="Arial" w:hAnsi="Arial"/>
          <w:b/>
          <w:bCs/>
          <w:color w:val="3A7CA5"/>
          <w:sz w:val="28"/>
          <w:szCs w:val="28"/>
        </w:rPr>
        <w:t xml:space="preserve">1. Strategic Context: Why NVIDIA Built NemoClaw</w:t>
      </w:r>
    </w:p>
    <w:p>
      <w:pPr>
        <w:spacing w:after="140"/>
        <w:jc w:val="both"/>
      </w:pPr>
      <w:r>
        <w:rPr>
          <w:rFonts w:ascii="Arial" w:cs="Arial" w:eastAsia="Arial" w:hAnsi="Arial"/>
          <w:color w:val="1A1A1A"/>
          <w:sz w:val="22"/>
          <w:szCs w:val="22"/>
        </w:rPr>
        <w:t xml:space="preserve">NVIDIA introduced NemoClaw at GTC 2026 (March 16–19, 2026) as the enterprise answer to a specific problem: OpenClaw had become the fastest-growing software repository in GitHub history (346,000+ stars) while simultaneously suffering a catastrophic supply-chain attack, five CVEs in eight weeks, and documented data exfiltration incidents on corporate endpoints. NemoClaw is NVIDIA's bet that the pharmaceutical, financial services, and enterprise AI markets will pay for a managed, security-hardened agent runtime layered over OpenClaw's skill and gateway ecosystem — rather than migrating to an entirely different stack. It is not a replacement for OpenClaw; it is a security substrate underneath it, analogous to how VMware ESXi is a security substrate underneath Windows VMs.</w:t>
      </w:r>
    </w:p>
    <w:p>
      <w:pPr>
        <w:spacing w:after="140"/>
        <w:jc w:val="both"/>
      </w:pPr>
      <w:r>
        <w:rPr>
          <w:rFonts w:ascii="Arial" w:cs="Arial" w:eastAsia="Arial" w:hAnsi="Arial"/>
          <w:color w:val="1A1A1A"/>
          <w:sz w:val="22"/>
          <w:szCs w:val="22"/>
        </w:rPr>
        <w:t xml:space="preserve">The strategic value proposition has three components. First, kernel-level process isolation: NemoClaw's OpenShell enforces policy at the Linux Security Module layer, below the agent process — a compromised skill or MCP tool cannot disable its own security controls. Second, NVIDIA inference privacy: the privacy router intercepts every outbound API call, applies a fine-tuned NER model to detect and redact PII and IP-sensitive patterns, and routes to on-device Nemotron inference or approved cloud endpoints based on data classification — compound structures and patient identifiers stay on-premise. Third, workspace-as-code identity: every agent is fully defined by a versioned directory of Markdown files that can be reviewed, change-controlled, and reproduced identically — the foundational property that makes GAMP 5 Category 4 validation tractable.</w:t>
      </w:r>
    </w:p>
    <w:p>
      <w:pPr>
        <w:pStyle w:val="Heading2"/>
        <w:spacing w:after="160" w:before="400"/>
      </w:pPr>
      <w:r>
        <w:rPr>
          <w:rFonts w:ascii="Arial" w:cs="Arial" w:eastAsia="Arial" w:hAnsi="Arial"/>
          <w:b/>
          <w:bCs/>
          <w:color w:val="3A7CA5"/>
          <w:sz w:val="28"/>
          <w:szCs w:val="28"/>
        </w:rPr>
        <w:t xml:space="preserve">2. Installation and the onboard Wizard</w:t>
      </w:r>
    </w:p>
    <w:p>
      <w:pPr>
        <w:pStyle w:val="Heading3"/>
        <w:spacing w:after="100" w:before="280"/>
      </w:pPr>
      <w:r>
        <w:rPr>
          <w:rFonts w:ascii="Arial" w:cs="Arial" w:eastAsia="Arial" w:hAnsi="Arial"/>
          <w:b/>
          <w:bCs/>
          <w:color w:val="0D7C8C"/>
          <w:sz w:val="24"/>
          <w:szCs w:val="24"/>
        </w:rPr>
        <w:t xml:space="preserve">2.1 Single-command installation</w:t>
      </w:r>
    </w:p>
    <w:p>
      <w:pPr>
        <w:spacing w:after="140"/>
        <w:jc w:val="both"/>
      </w:pPr>
      <w:r>
        <w:rPr>
          <w:rFonts w:ascii="Arial" w:cs="Arial" w:eastAsia="Arial" w:hAnsi="Arial"/>
          <w:color w:val="1A1A1A"/>
          <w:sz w:val="22"/>
          <w:szCs w:val="22"/>
        </w:rPr>
        <w:t xml:space="preserve">NemoClaw installs with one curl command that orchestrates the full bootstrap sequence. The installer confirms Node.js version compatibility (Node 22 LTS required), installs NemoClaw as a user-local npm package under ~/.npm-global, and immediately launches the interactive onboard wizard. The entire sequence completes in 3–8 minutes on a DGX Spark with a pre-pulled Docker image layer cache; 15–25 minutes on first install without the cache.</w:t>
      </w:r>
    </w:p>
    <w:p>
      <w:pPr>
        <w:shd w:fill="EEF2F7" w:val="clear"/>
        <w:spacing w:after="20" w:before="20"/>
        <w:ind w:left="360" w:right="360"/>
      </w:pPr>
      <w:r>
        <w:rPr>
          <w:rFonts w:ascii="Courier New" w:cs="Courier New" w:eastAsia="Courier New" w:hAnsi="Courier New"/>
          <w:color w:val="1B3A5C"/>
          <w:sz w:val="18"/>
          <w:szCs w:val="18"/>
        </w:rPr>
        <w:t xml:space="preserve"># Install NemoClaw — single command</w:t>
      </w:r>
    </w:p>
    <w:p>
      <w:pPr>
        <w:shd w:fill="EEF2F7" w:val="clear"/>
        <w:spacing w:after="20" w:before="20"/>
        <w:ind w:left="360" w:right="360"/>
      </w:pPr>
      <w:r>
        <w:rPr>
          <w:rFonts w:ascii="Courier New" w:cs="Courier New" w:eastAsia="Courier New" w:hAnsi="Courier New"/>
          <w:color w:val="1B3A5C"/>
          <w:sz w:val="18"/>
          <w:szCs w:val="18"/>
        </w:rPr>
        <w:t xml:space="preserve">curl -fsSL https://nemoclaw.run/install.sh | bash</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The installer performs these steps automatically:</w:t>
      </w:r>
    </w:p>
    <w:p>
      <w:pPr>
        <w:shd w:fill="EEF2F7" w:val="clear"/>
        <w:spacing w:after="20" w:before="20"/>
        <w:ind w:left="360" w:right="360"/>
      </w:pPr>
      <w:r>
        <w:rPr>
          <w:rFonts w:ascii="Courier New" w:cs="Courier New" w:eastAsia="Courier New" w:hAnsi="Courier New"/>
          <w:color w:val="1B3A5C"/>
          <w:sz w:val="18"/>
          <w:szCs w:val="18"/>
        </w:rPr>
        <w:t xml:space="preserve"># 1. Checks Node.js 22 LTS</w:t>
      </w:r>
    </w:p>
    <w:p>
      <w:pPr>
        <w:shd w:fill="EEF2F7" w:val="clear"/>
        <w:spacing w:after="20" w:before="20"/>
        <w:ind w:left="360" w:right="360"/>
      </w:pPr>
      <w:r>
        <w:rPr>
          <w:rFonts w:ascii="Courier New" w:cs="Courier New" w:eastAsia="Courier New" w:hAnsi="Courier New"/>
          <w:color w:val="1B3A5C"/>
          <w:sz w:val="18"/>
          <w:szCs w:val="18"/>
        </w:rPr>
        <w:t xml:space="preserve"># 2. npm install -g nemoclaw</w:t>
      </w:r>
    </w:p>
    <w:p>
      <w:pPr>
        <w:shd w:fill="EEF2F7" w:val="clear"/>
        <w:spacing w:after="20" w:before="20"/>
        <w:ind w:left="360" w:right="360"/>
      </w:pPr>
      <w:r>
        <w:rPr>
          <w:rFonts w:ascii="Courier New" w:cs="Courier New" w:eastAsia="Courier New" w:hAnsi="Courier New"/>
          <w:color w:val="1B3A5C"/>
          <w:sz w:val="18"/>
          <w:szCs w:val="18"/>
        </w:rPr>
        <w:t xml:space="preserve"># 3. Launches: nemoclaw onboard</w:t>
      </w:r>
    </w:p>
    <w:p>
      <w:pPr>
        <w:pStyle w:val="Heading3"/>
        <w:spacing w:after="100" w:before="280"/>
      </w:pPr>
      <w:r>
        <w:rPr>
          <w:rFonts w:ascii="Arial" w:cs="Arial" w:eastAsia="Arial" w:hAnsi="Arial"/>
          <w:b/>
          <w:bCs/>
          <w:color w:val="0D7C8C"/>
          <w:sz w:val="24"/>
          <w:szCs w:val="24"/>
        </w:rPr>
        <w:t xml:space="preserve">2.2 The onboard wizard — step by step</w:t>
      </w:r>
    </w:p>
    <w:p>
      <w:pPr>
        <w:spacing w:after="140"/>
        <w:jc w:val="both"/>
      </w:pPr>
      <w:r>
        <w:rPr>
          <w:rFonts w:ascii="Arial" w:cs="Arial" w:eastAsia="Arial" w:hAnsi="Arial"/>
          <w:color w:val="1A1A1A"/>
          <w:sz w:val="22"/>
          <w:szCs w:val="22"/>
        </w:rPr>
        <w:t xml:space="preserve">The onboard wizard is the single most important operational step and the source of most production configuration. It performs fourteen distinct operations: (1) Detects available hardware (GPU model, VRAM, memory bandwidth) and selects the appropriate Nemotron model configuration. (2) Provisions a k3s single-node Kubernetes cluster with NVIDIA GPU Operator pre-installed. (3) Builds or pulls the OpenShell sandbox base image — a minimal Alpine Linux rootfs with a custom-compiled Linux kernel (5.15 LTS minimum for Landlock support). (4) Generates a unique Ed25519 device keypair, stores the private key in the system keychain (macOS Keychain / Linux kernel keyring / DPAPI on Windows), and registers the public key with the NemoClaw identity service for gateway authentication. (5) Configures the OpenShell gateway proxy on port 8080 (mTLS with the device certificate). (6) Configures the NemoClaw dashboard on port 18789 (HTTPS, localhost-bound by default). (7) Sets up inference routing: prompts for NVIDIA API key for cloud routing, configures local Nemotron 3 Super endpoint if sufficient VRAM is detected. (8) Creates the default workspace directory at ~/.openclaw/. (9) Runs a connectivity self-test to NVIDIA telemetry and update endpoints. (10) Optionally imports an existing OpenClaw workspace if ~/.openclaw/ already exists. (11) Configures the NemoClaw system service (launchd on macOS, systemd on Linux, Windows Service on Windows). (12) Generates an initial sandbox policy YAML based on the selected deployment profile (development, research, or production). (13) Runs a sandbox smoke test — a known-good OpenClaw session is executed inside the sandbox and the output is validated. (14) Displays the dashboard URL and the first-run instructions.</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GxP implication: steps 4 (device keypair generation), 9 (telemetry connectivity), and 12 (initial policy generation) are the three steps requiring security review before production deployment. The device keypair is the agent's cryptographic identity; its backup and rotation procedure must be documented as a controlled procedure. Telemetry should be disabled or pointed at an internal endpoint for air-gapped deployments. The initial policy YAML should be reviewed and customized before any sensitive data is processed.</w:t>
      </w:r>
    </w:p>
    <w:p>
      <w:pPr>
        <w:pStyle w:val="Heading2"/>
        <w:spacing w:after="160" w:before="400"/>
      </w:pPr>
      <w:r>
        <w:rPr>
          <w:rFonts w:ascii="Arial" w:cs="Arial" w:eastAsia="Arial" w:hAnsi="Arial"/>
          <w:b/>
          <w:bCs/>
          <w:color w:val="3A7CA5"/>
          <w:sz w:val="28"/>
          <w:szCs w:val="28"/>
        </w:rPr>
        <w:t xml:space="preserve">3. OpenShell: The Isolation Architecture</w:t>
      </w:r>
    </w:p>
    <w:p>
      <w:pPr>
        <w:pStyle w:val="Heading3"/>
        <w:spacing w:after="100" w:before="280"/>
      </w:pPr>
      <w:r>
        <w:rPr>
          <w:rFonts w:ascii="Arial" w:cs="Arial" w:eastAsia="Arial" w:hAnsi="Arial"/>
          <w:b/>
          <w:bCs/>
          <w:color w:val="0D7C8C"/>
          <w:sz w:val="24"/>
          <w:szCs w:val="24"/>
        </w:rPr>
        <w:t xml:space="preserve">3.1 The three-layer isolation stack</w:t>
      </w:r>
    </w:p>
    <w:p>
      <w:pPr>
        <w:spacing w:after="140"/>
        <w:jc w:val="both"/>
      </w:pPr>
      <w:r>
        <w:rPr>
          <w:rFonts w:ascii="Arial" w:cs="Arial" w:eastAsia="Arial" w:hAnsi="Arial"/>
          <w:color w:val="1A1A1A"/>
          <w:sz w:val="22"/>
          <w:szCs w:val="22"/>
        </w:rPr>
        <w:t xml:space="preserve">NVIDIA OpenShell implements three Linux kernel security mechanisms in combination, each addressing a different attack surface. The combination is deliberately redundant: each mechanism catches what the others miss, and all three must be compromised simultaneously for a full sandbox escape.</w:t>
      </w:r>
    </w:p>
    <w:p>
      <w:pPr>
        <w:pStyle w:val="Heading3"/>
        <w:spacing w:after="100" w:before="280"/>
      </w:pPr>
      <w:r>
        <w:rPr>
          <w:rFonts w:ascii="Arial" w:cs="Arial" w:eastAsia="Arial" w:hAnsi="Arial"/>
          <w:b/>
          <w:bCs/>
          <w:color w:val="0D7C8C"/>
          <w:sz w:val="24"/>
          <w:szCs w:val="24"/>
        </w:rPr>
        <w:t xml:space="preserve">3.2 Landlock LSM — filesystem access control</w:t>
      </w:r>
    </w:p>
    <w:p>
      <w:pPr>
        <w:spacing w:after="140"/>
        <w:jc w:val="both"/>
      </w:pPr>
      <w:r>
        <w:rPr>
          <w:rFonts w:ascii="Arial" w:cs="Arial" w:eastAsia="Arial" w:hAnsi="Arial"/>
          <w:color w:val="1A1A1A"/>
          <w:sz w:val="22"/>
          <w:szCs w:val="22"/>
        </w:rPr>
        <w:t xml:space="preserve">Landlock (Linux Security Module, merged in kernel 5.13, June 2021) implements filesystem access control at the path level using a capability-based model. An OpenShell sandbox agent is launched with a Landlock ruleset specifying exactly which paths it may read, write, and execute — and no others. The ruleset is inherited by all child processes created via fork() or execve(), surviving privilege changes, making it impossible for a child process to gain filesystem access the parent does not have. The Landlock ruleset is applied before the agent starts and cannot be modified by the agent process itself.</w:t>
      </w:r>
    </w:p>
    <w:p>
      <w:pPr>
        <w:spacing w:after="140"/>
        <w:jc w:val="both"/>
      </w:pPr>
      <w:r>
        <w:rPr>
          <w:rFonts w:ascii="Arial" w:cs="Arial" w:eastAsia="Arial" w:hAnsi="Arial"/>
          <w:color w:val="1A1A1A"/>
          <w:sz w:val="22"/>
          <w:szCs w:val="22"/>
        </w:rPr>
        <w:t xml:space="preserve">The default NemoClaw Landlock configuration grants: read access to the workspace directory (~/.openclaw/agents/&lt;id&gt;/), read-write access to the artifacts directory (/sandbox/artifacts/), read access to the bundled tool binaries (/usr/local/bin/openclaw-tools/), and read access to /etc/ssl/certs for TLS validation. All other filesystem paths are denied. The filesystem_policy.add_workdir_to_read_write configuration option in openclaw-sandbox.yaml controls whether the entire working directory gets read-write access — the default is false, and setting it to true is a known privilege-escalation vector documented in the NemoClaw security advisories.</w:t>
      </w:r>
    </w:p>
    <w:p>
      <w:pPr>
        <w:pStyle w:val="Heading3"/>
        <w:spacing w:after="100" w:before="280"/>
      </w:pPr>
      <w:r>
        <w:rPr>
          <w:rFonts w:ascii="Arial" w:cs="Arial" w:eastAsia="Arial" w:hAnsi="Arial"/>
          <w:b/>
          <w:bCs/>
          <w:color w:val="0D7C8C"/>
          <w:sz w:val="24"/>
          <w:szCs w:val="24"/>
        </w:rPr>
        <w:t xml:space="preserve">3.3 seccomp-BPF — system call filtering</w:t>
      </w:r>
    </w:p>
    <w:p>
      <w:pPr>
        <w:spacing w:after="140"/>
        <w:jc w:val="both"/>
      </w:pPr>
      <w:r>
        <w:rPr>
          <w:rFonts w:ascii="Arial" w:cs="Arial" w:eastAsia="Arial" w:hAnsi="Arial"/>
          <w:color w:val="1A1A1A"/>
          <w:sz w:val="22"/>
          <w:szCs w:val="22"/>
        </w:rPr>
        <w:t xml:space="preserve">seccomp-BPF (secure computing with Berkeley Packet Filter, available since kernel 3.5, 2012) filters the system call surface available to the sandboxed process. OpenShell maintains a BPF program that is loaded into the kernel before the agent starts and cannot be modified by the agent. The NemoClaw default allowlist permits approximately 180 of Linux's ~340 system calls. Key denials include: ptrace (prevents debugger attachment and /proc/mem access), process_vm_readv/writev (prevents cross-process memory access), kexec_load (prevents kernel replacement), perf_event_open (prevents side-channel attacks via hardware performance counters), keyctl (prevents access to the kernel keyring), and raw socket system calls (prevents network-level bypasses). The seccomp profile is applied with SECCOMP_RET_ERRNO for most denials (returning EPERM to the calling process) and SECCOMP_RET_KILL_PROCESS for a small set of highest-risk calls.</w:t>
      </w:r>
    </w:p>
    <w:p>
      <w:pPr>
        <w:pStyle w:val="Heading3"/>
        <w:spacing w:after="100" w:before="280"/>
      </w:pPr>
      <w:r>
        <w:rPr>
          <w:rFonts w:ascii="Arial" w:cs="Arial" w:eastAsia="Arial" w:hAnsi="Arial"/>
          <w:b/>
          <w:bCs/>
          <w:color w:val="0D7C8C"/>
          <w:sz w:val="24"/>
          <w:szCs w:val="24"/>
        </w:rPr>
        <w:t xml:space="preserve">3.4 Network namespaces — complete network isolation</w:t>
      </w:r>
    </w:p>
    <w:p>
      <w:pPr>
        <w:spacing w:after="140"/>
        <w:jc w:val="both"/>
      </w:pPr>
      <w:r>
        <w:rPr>
          <w:rFonts w:ascii="Arial" w:cs="Arial" w:eastAsia="Arial" w:hAnsi="Arial"/>
          <w:color w:val="1A1A1A"/>
          <w:sz w:val="22"/>
          <w:szCs w:val="22"/>
        </w:rPr>
        <w:t xml:space="preserve">Linux network namespaces (available since kernel 3.0) give the sandboxed process an entirely separate networking stack — its own network interfaces, routing tables, iptables rules, and /proc/net entries. The sandbox has no direct access to the host's network interfaces. All network communication routes through a gateway CONNECT proxy running at 10.200.0.1:3128 on the host, which enforces the sandbox's egress policy. DNS queries are forwarded to an internal resolver that implements the allowlist at the DNS level — domains not on the allowlist return NXDOMAIN. The IMDS endpoint (169.254.169.254) is explicitly denied in the network namespace configuration, closing the classic cloud credential theft vector.</w:t>
      </w:r>
    </w:p>
    <w:p>
      <w:pPr>
        <w:pStyle w:val="Heading2"/>
        <w:spacing w:after="160" w:before="400"/>
      </w:pPr>
      <w:r>
        <w:rPr>
          <w:rFonts w:ascii="Arial" w:cs="Arial" w:eastAsia="Arial" w:hAnsi="Arial"/>
          <w:b/>
          <w:bCs/>
          <w:color w:val="3A7CA5"/>
          <w:sz w:val="28"/>
          <w:szCs w:val="28"/>
        </w:rPr>
        <w:t xml:space="preserve">4. The Policy System</w:t>
      </w:r>
    </w:p>
    <w:p>
      <w:pPr>
        <w:pStyle w:val="Heading3"/>
        <w:spacing w:after="100" w:before="280"/>
      </w:pPr>
      <w:r>
        <w:rPr>
          <w:rFonts w:ascii="Arial" w:cs="Arial" w:eastAsia="Arial" w:hAnsi="Arial"/>
          <w:b/>
          <w:bCs/>
          <w:color w:val="0D7C8C"/>
          <w:sz w:val="24"/>
          <w:szCs w:val="24"/>
        </w:rPr>
        <w:t xml:space="preserve">4.1 Policy YAML format</w:t>
      </w:r>
    </w:p>
    <w:p>
      <w:pPr>
        <w:spacing w:after="140"/>
        <w:jc w:val="both"/>
      </w:pPr>
      <w:r>
        <w:rPr>
          <w:rFonts w:ascii="Arial" w:cs="Arial" w:eastAsia="Arial" w:hAnsi="Arial"/>
          <w:color w:val="1A1A1A"/>
          <w:sz w:val="22"/>
          <w:szCs w:val="22"/>
        </w:rPr>
        <w:t xml:space="preserve">OpenShell policies are declarative YAML files that define the egress rules for a sandbox. They are hot-reloadable via openshell policy set without restarting the agent. The policy schema version is 1 as of NemoClaw v2026.1.29.</w:t>
      </w:r>
    </w:p>
    <w:p>
      <w:pPr>
        <w:shd w:fill="EEF2F7" w:val="clear"/>
        <w:spacing w:after="20" w:before="20"/>
        <w:ind w:left="360" w:right="360"/>
      </w:pPr>
      <w:r>
        <w:rPr>
          <w:rFonts w:ascii="Courier New" w:cs="Courier New" w:eastAsia="Courier New" w:hAnsi="Courier New"/>
          <w:color w:val="1B3A5C"/>
          <w:sz w:val="18"/>
          <w:szCs w:val="18"/>
        </w:rPr>
        <w:t xml:space="preserve"># openclaw-sandbox.yaml — NemoClaw policy file example</w:t>
      </w:r>
    </w:p>
    <w:p>
      <w:pPr>
        <w:shd w:fill="EEF2F7" w:val="clear"/>
        <w:spacing w:after="20" w:before="20"/>
        <w:ind w:left="360" w:right="360"/>
      </w:pPr>
      <w:r>
        <w:rPr>
          <w:rFonts w:ascii="Courier New" w:cs="Courier New" w:eastAsia="Courier New" w:hAnsi="Courier New"/>
          <w:color w:val="1B3A5C"/>
          <w:sz w:val="18"/>
          <w:szCs w:val="18"/>
        </w:rPr>
        <w:t xml:space="preserve"># For a Literature Harvester agent in a pharma R&amp;D deployment</w:t>
      </w:r>
    </w:p>
    <w:p>
      <w:pPr>
        <w:shd w:fill="EEF2F7" w:val="clear"/>
        <w:spacing w:after="20" w:before="20"/>
        <w:ind w:left="360" w:right="360"/>
      </w:pPr>
      <w:r>
        <w:rPr>
          <w:rFonts w:ascii="Courier New" w:cs="Courier New" w:eastAsia="Courier New" w:hAnsi="Courier New"/>
          <w:color w:val="1B3A5C"/>
          <w:sz w:val="18"/>
          <w:szCs w:val="18"/>
        </w:rPr>
        <w:t xml:space="preserve">schema_version: 1</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filesystem_policy:</w:t>
      </w:r>
    </w:p>
    <w:p>
      <w:pPr>
        <w:shd w:fill="EEF2F7" w:val="clear"/>
        <w:spacing w:after="20" w:before="20"/>
        <w:ind w:left="360" w:right="360"/>
      </w:pPr>
      <w:r>
        <w:rPr>
          <w:rFonts w:ascii="Courier New" w:cs="Courier New" w:eastAsia="Courier New" w:hAnsi="Courier New"/>
          <w:color w:val="1B3A5C"/>
          <w:sz w:val="18"/>
          <w:szCs w:val="18"/>
        </w:rPr>
        <w:t xml:space="preserve">  add_workdir_to_read_write: false   # CRITICAL: keep false</w:t>
      </w:r>
    </w:p>
    <w:p>
      <w:pPr>
        <w:shd w:fill="EEF2F7" w:val="clear"/>
        <w:spacing w:after="20" w:before="20"/>
        <w:ind w:left="360" w:right="360"/>
      </w:pPr>
      <w:r>
        <w:rPr>
          <w:rFonts w:ascii="Courier New" w:cs="Courier New" w:eastAsia="Courier New" w:hAnsi="Courier New"/>
          <w:color w:val="1B3A5C"/>
          <w:sz w:val="18"/>
          <w:szCs w:val="18"/>
        </w:rPr>
        <w:t xml:space="preserve">  extra_read_paths:</w:t>
      </w:r>
    </w:p>
    <w:p>
      <w:pPr>
        <w:shd w:fill="EEF2F7" w:val="clear"/>
        <w:spacing w:after="20" w:before="20"/>
        <w:ind w:left="360" w:right="360"/>
      </w:pPr>
      <w:r>
        <w:rPr>
          <w:rFonts w:ascii="Courier New" w:cs="Courier New" w:eastAsia="Courier New" w:hAnsi="Courier New"/>
          <w:color w:val="1B3A5C"/>
          <w:sz w:val="18"/>
          <w:szCs w:val="18"/>
        </w:rPr>
        <w:t xml:space="preserve">    - /usr/share/ca-certificates</w:t>
      </w:r>
    </w:p>
    <w:p>
      <w:pPr>
        <w:shd w:fill="EEF2F7" w:val="clear"/>
        <w:spacing w:after="20" w:before="20"/>
        <w:ind w:left="360" w:right="360"/>
      </w:pPr>
      <w:r>
        <w:rPr>
          <w:rFonts w:ascii="Courier New" w:cs="Courier New" w:eastAsia="Courier New" w:hAnsi="Courier New"/>
          <w:color w:val="1B3A5C"/>
          <w:sz w:val="18"/>
          <w:szCs w:val="18"/>
        </w:rPr>
        <w:t xml:space="preserve">    - /etc/resolv.conf</w:t>
      </w:r>
    </w:p>
    <w:p>
      <w:pPr>
        <w:shd w:fill="EEF2F7" w:val="clear"/>
        <w:spacing w:after="20" w:before="20"/>
        <w:ind w:left="360" w:right="360"/>
      </w:pPr>
      <w:r>
        <w:rPr>
          <w:rFonts w:ascii="Courier New" w:cs="Courier New" w:eastAsia="Courier New" w:hAnsi="Courier New"/>
          <w:color w:val="1B3A5C"/>
          <w:sz w:val="18"/>
          <w:szCs w:val="18"/>
        </w:rPr>
        <w:t xml:space="preserve">  extra_write_paths:</w:t>
      </w:r>
    </w:p>
    <w:p>
      <w:pPr>
        <w:shd w:fill="EEF2F7" w:val="clear"/>
        <w:spacing w:after="20" w:before="20"/>
        <w:ind w:left="360" w:right="360"/>
      </w:pPr>
      <w:r>
        <w:rPr>
          <w:rFonts w:ascii="Courier New" w:cs="Courier New" w:eastAsia="Courier New" w:hAnsi="Courier New"/>
          <w:color w:val="1B3A5C"/>
          <w:sz w:val="18"/>
          <w:szCs w:val="18"/>
        </w:rPr>
        <w:t xml:space="preserve">    - /sandbox/artifacts/literature</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network_policy:</w:t>
      </w:r>
    </w:p>
    <w:p>
      <w:pPr>
        <w:shd w:fill="EEF2F7" w:val="clear"/>
        <w:spacing w:after="20" w:before="20"/>
        <w:ind w:left="360" w:right="360"/>
      </w:pPr>
      <w:r>
        <w:rPr>
          <w:rFonts w:ascii="Courier New" w:cs="Courier New" w:eastAsia="Courier New" w:hAnsi="Courier New"/>
          <w:color w:val="1B3A5C"/>
          <w:sz w:val="18"/>
          <w:szCs w:val="18"/>
        </w:rPr>
        <w:t xml:space="preserve">  # Default: deny all egress</w:t>
      </w:r>
    </w:p>
    <w:p>
      <w:pPr>
        <w:shd w:fill="EEF2F7" w:val="clear"/>
        <w:spacing w:after="20" w:before="20"/>
        <w:ind w:left="360" w:right="360"/>
      </w:pPr>
      <w:r>
        <w:rPr>
          <w:rFonts w:ascii="Courier New" w:cs="Courier New" w:eastAsia="Courier New" w:hAnsi="Courier New"/>
          <w:color w:val="1B3A5C"/>
          <w:sz w:val="18"/>
          <w:szCs w:val="18"/>
        </w:rPr>
        <w:t xml:space="preserve">  # Each rule pins the process binary by SHA-256</w:t>
      </w:r>
    </w:p>
    <w:p>
      <w:pPr>
        <w:shd w:fill="EEF2F7" w:val="clear"/>
        <w:spacing w:after="20" w:before="20"/>
        <w:ind w:left="360" w:right="360"/>
      </w:pPr>
      <w:r>
        <w:rPr>
          <w:rFonts w:ascii="Courier New" w:cs="Courier New" w:eastAsia="Courier New" w:hAnsi="Courier New"/>
          <w:color w:val="1B3A5C"/>
          <w:sz w:val="18"/>
          <w:szCs w:val="18"/>
        </w:rPr>
        <w:t xml:space="preserve">  egress_rules:</w:t>
      </w:r>
    </w:p>
    <w:p>
      <w:pPr>
        <w:shd w:fill="EEF2F7" w:val="clear"/>
        <w:spacing w:after="20" w:before="20"/>
        <w:ind w:left="360" w:right="360"/>
      </w:pPr>
      <w:r>
        <w:rPr>
          <w:rFonts w:ascii="Courier New" w:cs="Courier New" w:eastAsia="Courier New" w:hAnsi="Courier New"/>
          <w:color w:val="1B3A5C"/>
          <w:sz w:val="18"/>
          <w:szCs w:val="18"/>
        </w:rPr>
        <w:t xml:space="preserve">    - name: pubmed-api</w:t>
      </w:r>
    </w:p>
    <w:p>
      <w:pPr>
        <w:shd w:fill="EEF2F7" w:val="clear"/>
        <w:spacing w:after="20" w:before="20"/>
        <w:ind w:left="360" w:right="360"/>
      </w:pPr>
      <w:r>
        <w:rPr>
          <w:rFonts w:ascii="Courier New" w:cs="Courier New" w:eastAsia="Courier New" w:hAnsi="Courier New"/>
          <w:color w:val="1B3A5C"/>
          <w:sz w:val="18"/>
          <w:szCs w:val="18"/>
        </w:rPr>
        <w:t xml:space="preserve">      binary_sha256: "a3f2..."    # SHA-256 of /usr/bin/node</w:t>
      </w:r>
    </w:p>
    <w:p>
      <w:pPr>
        <w:shd w:fill="EEF2F7" w:val="clear"/>
        <w:spacing w:after="20" w:before="20"/>
        <w:ind w:left="360" w:right="360"/>
      </w:pPr>
      <w:r>
        <w:rPr>
          <w:rFonts w:ascii="Courier New" w:cs="Courier New" w:eastAsia="Courier New" w:hAnsi="Courier New"/>
          <w:color w:val="1B3A5C"/>
          <w:sz w:val="18"/>
          <w:szCs w:val="18"/>
        </w:rPr>
        <w:t xml:space="preserve">      allowed_hosts:</w:t>
      </w:r>
    </w:p>
    <w:p>
      <w:pPr>
        <w:shd w:fill="EEF2F7" w:val="clear"/>
        <w:spacing w:after="20" w:before="20"/>
        <w:ind w:left="360" w:right="360"/>
      </w:pPr>
      <w:r>
        <w:rPr>
          <w:rFonts w:ascii="Courier New" w:cs="Courier New" w:eastAsia="Courier New" w:hAnsi="Courier New"/>
          <w:color w:val="1B3A5C"/>
          <w:sz w:val="18"/>
          <w:szCs w:val="18"/>
        </w:rPr>
        <w:t xml:space="preserve">        - eutils.ncbi.nlm.nih.gov</w:t>
      </w:r>
    </w:p>
    <w:p>
      <w:pPr>
        <w:shd w:fill="EEF2F7" w:val="clear"/>
        <w:spacing w:after="20" w:before="20"/>
        <w:ind w:left="360" w:right="360"/>
      </w:pPr>
      <w:r>
        <w:rPr>
          <w:rFonts w:ascii="Courier New" w:cs="Courier New" w:eastAsia="Courier New" w:hAnsi="Courier New"/>
          <w:color w:val="1B3A5C"/>
          <w:sz w:val="18"/>
          <w:szCs w:val="18"/>
        </w:rPr>
        <w:t xml:space="preserve">        - www.ncbi.nlm.nih.gov</w:t>
      </w:r>
    </w:p>
    <w:p>
      <w:pPr>
        <w:shd w:fill="EEF2F7" w:val="clear"/>
        <w:spacing w:after="20" w:before="20"/>
        <w:ind w:left="360" w:right="360"/>
      </w:pPr>
      <w:r>
        <w:rPr>
          <w:rFonts w:ascii="Courier New" w:cs="Courier New" w:eastAsia="Courier New" w:hAnsi="Courier New"/>
          <w:color w:val="1B3A5C"/>
          <w:sz w:val="18"/>
          <w:szCs w:val="18"/>
        </w:rPr>
        <w:t xml:space="preserve">      allowed_ports: [443]</w:t>
      </w:r>
    </w:p>
    <w:p>
      <w:pPr>
        <w:shd w:fill="EEF2F7" w:val="clear"/>
        <w:spacing w:after="20" w:before="20"/>
        <w:ind w:left="360" w:right="360"/>
      </w:pPr>
      <w:r>
        <w:rPr>
          <w:rFonts w:ascii="Courier New" w:cs="Courier New" w:eastAsia="Courier New" w:hAnsi="Courier New"/>
          <w:color w:val="1B3A5C"/>
          <w:sz w:val="18"/>
          <w:szCs w:val="18"/>
        </w:rPr>
        <w:t xml:space="preserve">      protocol: https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name: europepmc</w:t>
      </w:r>
    </w:p>
    <w:p>
      <w:pPr>
        <w:shd w:fill="EEF2F7" w:val="clear"/>
        <w:spacing w:after="20" w:before="20"/>
        <w:ind w:left="360" w:right="360"/>
      </w:pPr>
      <w:r>
        <w:rPr>
          <w:rFonts w:ascii="Courier New" w:cs="Courier New" w:eastAsia="Courier New" w:hAnsi="Courier New"/>
          <w:color w:val="1B3A5C"/>
          <w:sz w:val="18"/>
          <w:szCs w:val="18"/>
        </w:rPr>
        <w:t xml:space="preserve">      binary_sha256: "a3f2..."    # same node binary</w:t>
      </w:r>
    </w:p>
    <w:p>
      <w:pPr>
        <w:shd w:fill="EEF2F7" w:val="clear"/>
        <w:spacing w:after="20" w:before="20"/>
        <w:ind w:left="360" w:right="360"/>
      </w:pPr>
      <w:r>
        <w:rPr>
          <w:rFonts w:ascii="Courier New" w:cs="Courier New" w:eastAsia="Courier New" w:hAnsi="Courier New"/>
          <w:color w:val="1B3A5C"/>
          <w:sz w:val="18"/>
          <w:szCs w:val="18"/>
        </w:rPr>
        <w:t xml:space="preserve">      allowed_hosts:</w:t>
      </w:r>
    </w:p>
    <w:p>
      <w:pPr>
        <w:shd w:fill="EEF2F7" w:val="clear"/>
        <w:spacing w:after="20" w:before="20"/>
        <w:ind w:left="360" w:right="360"/>
      </w:pPr>
      <w:r>
        <w:rPr>
          <w:rFonts w:ascii="Courier New" w:cs="Courier New" w:eastAsia="Courier New" w:hAnsi="Courier New"/>
          <w:color w:val="1B3A5C"/>
          <w:sz w:val="18"/>
          <w:szCs w:val="18"/>
        </w:rPr>
        <w:t xml:space="preserve">        - www.ebi.ac.uk</w:t>
      </w:r>
    </w:p>
    <w:p>
      <w:pPr>
        <w:shd w:fill="EEF2F7" w:val="clear"/>
        <w:spacing w:after="20" w:before="20"/>
        <w:ind w:left="360" w:right="360"/>
      </w:pPr>
      <w:r>
        <w:rPr>
          <w:rFonts w:ascii="Courier New" w:cs="Courier New" w:eastAsia="Courier New" w:hAnsi="Courier New"/>
          <w:color w:val="1B3A5C"/>
          <w:sz w:val="18"/>
          <w:szCs w:val="18"/>
        </w:rPr>
        <w:t xml:space="preserve">        - europepmc.org</w:t>
      </w:r>
    </w:p>
    <w:p>
      <w:pPr>
        <w:shd w:fill="EEF2F7" w:val="clear"/>
        <w:spacing w:after="20" w:before="20"/>
        <w:ind w:left="360" w:right="360"/>
      </w:pPr>
      <w:r>
        <w:rPr>
          <w:rFonts w:ascii="Courier New" w:cs="Courier New" w:eastAsia="Courier New" w:hAnsi="Courier New"/>
          <w:color w:val="1B3A5C"/>
          <w:sz w:val="18"/>
          <w:szCs w:val="18"/>
        </w:rPr>
        <w:t xml:space="preserve">      allowed_ports: [443]</w:t>
      </w:r>
    </w:p>
    <w:p>
      <w:pPr>
        <w:shd w:fill="EEF2F7" w:val="clear"/>
        <w:spacing w:after="20" w:before="20"/>
        <w:ind w:left="360" w:right="360"/>
      </w:pPr>
      <w:r>
        <w:rPr>
          <w:rFonts w:ascii="Courier New" w:cs="Courier New" w:eastAsia="Courier New" w:hAnsi="Courier New"/>
          <w:color w:val="1B3A5C"/>
          <w:sz w:val="18"/>
          <w:szCs w:val="18"/>
        </w:rPr>
        <w:t xml:space="preserve">      protocol: https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name: nvidia-inference</w:t>
      </w:r>
    </w:p>
    <w:p>
      <w:pPr>
        <w:shd w:fill="EEF2F7" w:val="clear"/>
        <w:spacing w:after="20" w:before="20"/>
        <w:ind w:left="360" w:right="360"/>
      </w:pPr>
      <w:r>
        <w:rPr>
          <w:rFonts w:ascii="Courier New" w:cs="Courier New" w:eastAsia="Courier New" w:hAnsi="Courier New"/>
          <w:color w:val="1B3A5C"/>
          <w:sz w:val="18"/>
          <w:szCs w:val="18"/>
        </w:rPr>
        <w:t xml:space="preserve">      binary_sha256: "a3f2..."</w:t>
      </w:r>
    </w:p>
    <w:p>
      <w:pPr>
        <w:shd w:fill="EEF2F7" w:val="clear"/>
        <w:spacing w:after="20" w:before="20"/>
        <w:ind w:left="360" w:right="360"/>
      </w:pPr>
      <w:r>
        <w:rPr>
          <w:rFonts w:ascii="Courier New" w:cs="Courier New" w:eastAsia="Courier New" w:hAnsi="Courier New"/>
          <w:color w:val="1B3A5C"/>
          <w:sz w:val="18"/>
          <w:szCs w:val="18"/>
        </w:rPr>
        <w:t xml:space="preserve">      allowed_hosts:</w:t>
      </w:r>
    </w:p>
    <w:p>
      <w:pPr>
        <w:shd w:fill="EEF2F7" w:val="clear"/>
        <w:spacing w:after="20" w:before="20"/>
        <w:ind w:left="360" w:right="360"/>
      </w:pPr>
      <w:r>
        <w:rPr>
          <w:rFonts w:ascii="Courier New" w:cs="Courier New" w:eastAsia="Courier New" w:hAnsi="Courier New"/>
          <w:color w:val="1B3A5C"/>
          <w:sz w:val="18"/>
          <w:szCs w:val="18"/>
        </w:rPr>
        <w:t xml:space="preserve">        - integrate.api.nvidia.com</w:t>
      </w:r>
    </w:p>
    <w:p>
      <w:pPr>
        <w:shd w:fill="EEF2F7" w:val="clear"/>
        <w:spacing w:after="20" w:before="20"/>
        <w:ind w:left="360" w:right="360"/>
      </w:pPr>
      <w:r>
        <w:rPr>
          <w:rFonts w:ascii="Courier New" w:cs="Courier New" w:eastAsia="Courier New" w:hAnsi="Courier New"/>
          <w:color w:val="1B3A5C"/>
          <w:sz w:val="18"/>
          <w:szCs w:val="18"/>
        </w:rPr>
        <w:t xml:space="preserve">      allowed_ports: [443]</w:t>
      </w:r>
    </w:p>
    <w:p>
      <w:pPr>
        <w:shd w:fill="EEF2F7" w:val="clear"/>
        <w:spacing w:after="20" w:before="20"/>
        <w:ind w:left="360" w:right="360"/>
      </w:pPr>
      <w:r>
        <w:rPr>
          <w:rFonts w:ascii="Courier New" w:cs="Courier New" w:eastAsia="Courier New" w:hAnsi="Courier New"/>
          <w:color w:val="1B3A5C"/>
          <w:sz w:val="18"/>
          <w:szCs w:val="18"/>
        </w:rPr>
        <w:t xml:space="preserve">      protocol: https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name: paperclip-internal</w:t>
      </w:r>
    </w:p>
    <w:p>
      <w:pPr>
        <w:shd w:fill="EEF2F7" w:val="clear"/>
        <w:spacing w:after="20" w:before="20"/>
        <w:ind w:left="360" w:right="360"/>
      </w:pPr>
      <w:r>
        <w:rPr>
          <w:rFonts w:ascii="Courier New" w:cs="Courier New" w:eastAsia="Courier New" w:hAnsi="Courier New"/>
          <w:color w:val="1B3A5C"/>
          <w:sz w:val="18"/>
          <w:szCs w:val="18"/>
        </w:rPr>
        <w:t xml:space="preserve">      binary_sha256: "a3f2..."</w:t>
      </w:r>
    </w:p>
    <w:p>
      <w:pPr>
        <w:shd w:fill="EEF2F7" w:val="clear"/>
        <w:spacing w:after="20" w:before="20"/>
        <w:ind w:left="360" w:right="360"/>
      </w:pPr>
      <w:r>
        <w:rPr>
          <w:rFonts w:ascii="Courier New" w:cs="Courier New" w:eastAsia="Courier New" w:hAnsi="Courier New"/>
          <w:color w:val="1B3A5C"/>
          <w:sz w:val="18"/>
          <w:szCs w:val="18"/>
        </w:rPr>
        <w:t xml:space="preserve">      allowed_hosts:</w:t>
      </w:r>
    </w:p>
    <w:p>
      <w:pPr>
        <w:shd w:fill="EEF2F7" w:val="clear"/>
        <w:spacing w:after="20" w:before="20"/>
        <w:ind w:left="360" w:right="360"/>
      </w:pPr>
      <w:r>
        <w:rPr>
          <w:rFonts w:ascii="Courier New" w:cs="Courier New" w:eastAsia="Courier New" w:hAnsi="Courier New"/>
          <w:color w:val="1B3A5C"/>
          <w:sz w:val="18"/>
          <w:szCs w:val="18"/>
        </w:rPr>
        <w:t xml:space="preserve">        - paperclip.rnd.nucleon.internal</w:t>
      </w:r>
    </w:p>
    <w:p>
      <w:pPr>
        <w:shd w:fill="EEF2F7" w:val="clear"/>
        <w:spacing w:after="20" w:before="20"/>
        <w:ind w:left="360" w:right="360"/>
      </w:pPr>
      <w:r>
        <w:rPr>
          <w:rFonts w:ascii="Courier New" w:cs="Courier New" w:eastAsia="Courier New" w:hAnsi="Courier New"/>
          <w:color w:val="1B3A5C"/>
          <w:sz w:val="18"/>
          <w:szCs w:val="18"/>
        </w:rPr>
        <w:t xml:space="preserve">      allowed_ports: [3000]</w:t>
      </w:r>
    </w:p>
    <w:p>
      <w:pPr>
        <w:shd w:fill="EEF2F7" w:val="clear"/>
        <w:spacing w:after="20" w:before="20"/>
        <w:ind w:left="360" w:right="360"/>
      </w:pPr>
      <w:r>
        <w:rPr>
          <w:rFonts w:ascii="Courier New" w:cs="Courier New" w:eastAsia="Courier New" w:hAnsi="Courier New"/>
          <w:color w:val="1B3A5C"/>
          <w:sz w:val="18"/>
          <w:szCs w:val="18"/>
        </w:rPr>
        <w:t xml:space="preserve">      protocol: http</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All other egress: hard deny, no TTY prompt</w:t>
      </w:r>
    </w:p>
    <w:p>
      <w:pPr>
        <w:shd w:fill="EEF2F7" w:val="clear"/>
        <w:spacing w:after="20" w:before="20"/>
        <w:ind w:left="360" w:right="360"/>
      </w:pPr>
      <w:r>
        <w:rPr>
          <w:rFonts w:ascii="Courier New" w:cs="Courier New" w:eastAsia="Courier New" w:hAnsi="Courier New"/>
          <w:color w:val="1B3A5C"/>
          <w:sz w:val="18"/>
          <w:szCs w:val="18"/>
        </w:rPr>
        <w:t xml:space="preserve">  default_egress: deny</w:t>
      </w:r>
    </w:p>
    <w:p>
      <w:pPr>
        <w:shd w:fill="EEF2F7" w:val="clear"/>
        <w:spacing w:after="20" w:before="20"/>
        <w:ind w:left="360" w:right="360"/>
      </w:pPr>
      <w:r>
        <w:rPr>
          <w:rFonts w:ascii="Courier New" w:cs="Courier New" w:eastAsia="Courier New" w:hAnsi="Courier New"/>
          <w:color w:val="1B3A5C"/>
          <w:sz w:val="18"/>
          <w:szCs w:val="18"/>
        </w:rPr>
        <w:t xml:space="preserve">  deny_prompt_mode: silent_block  # never prompt in production</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process_policy:</w:t>
      </w:r>
    </w:p>
    <w:p>
      <w:pPr>
        <w:shd w:fill="EEF2F7" w:val="clear"/>
        <w:spacing w:after="20" w:before="20"/>
        <w:ind w:left="360" w:right="360"/>
      </w:pPr>
      <w:r>
        <w:rPr>
          <w:rFonts w:ascii="Courier New" w:cs="Courier New" w:eastAsia="Courier New" w:hAnsi="Courier New"/>
          <w:color w:val="1B3A5C"/>
          <w:sz w:val="18"/>
          <w:szCs w:val="18"/>
        </w:rPr>
        <w:t xml:space="preserve">  max_children: 8</w:t>
      </w:r>
    </w:p>
    <w:p>
      <w:pPr>
        <w:shd w:fill="EEF2F7" w:val="clear"/>
        <w:spacing w:after="20" w:before="20"/>
        <w:ind w:left="360" w:right="360"/>
      </w:pPr>
      <w:r>
        <w:rPr>
          <w:rFonts w:ascii="Courier New" w:cs="Courier New" w:eastAsia="Courier New" w:hAnsi="Courier New"/>
          <w:color w:val="1B3A5C"/>
          <w:sz w:val="18"/>
          <w:szCs w:val="18"/>
        </w:rPr>
        <w:t xml:space="preserve">  deny_ptrace: true</w:t>
      </w:r>
    </w:p>
    <w:p>
      <w:pPr>
        <w:shd w:fill="EEF2F7" w:val="clear"/>
        <w:spacing w:after="20" w:before="20"/>
        <w:ind w:left="360" w:right="360"/>
      </w:pPr>
      <w:r>
        <w:rPr>
          <w:rFonts w:ascii="Courier New" w:cs="Courier New" w:eastAsia="Courier New" w:hAnsi="Courier New"/>
          <w:color w:val="1B3A5C"/>
          <w:sz w:val="18"/>
          <w:szCs w:val="18"/>
        </w:rPr>
        <w:t xml:space="preserve">  deny_raw_sockets: true</w:t>
      </w:r>
    </w:p>
    <w:p>
      <w:pPr>
        <w:shd w:fill="EEF2F7" w:val="clear"/>
        <w:spacing w:after="20" w:before="20"/>
        <w:ind w:left="360" w:right="360"/>
      </w:pPr>
      <w:r>
        <w:rPr>
          <w:rFonts w:ascii="Courier New" w:cs="Courier New" w:eastAsia="Courier New" w:hAnsi="Courier New"/>
          <w:color w:val="1B3A5C"/>
          <w:sz w:val="18"/>
          <w:szCs w:val="18"/>
        </w:rPr>
        <w:t xml:space="preserve">  deny_kexec: true</w:t>
      </w:r>
    </w:p>
    <w:p>
      <w:pPr>
        <w:pStyle w:val="Heading3"/>
        <w:spacing w:after="100" w:before="280"/>
      </w:pPr>
      <w:r>
        <w:rPr>
          <w:rFonts w:ascii="Arial" w:cs="Arial" w:eastAsia="Arial" w:hAnsi="Arial"/>
          <w:b/>
          <w:bCs/>
          <w:color w:val="0D7C8C"/>
          <w:sz w:val="24"/>
          <w:szCs w:val="24"/>
        </w:rPr>
        <w:t xml:space="preserve">4.2 Per-binary egress pinning</w:t>
      </w:r>
    </w:p>
    <w:p>
      <w:pPr>
        <w:spacing w:after="140"/>
        <w:jc w:val="both"/>
      </w:pPr>
      <w:r>
        <w:rPr>
          <w:rFonts w:ascii="Arial" w:cs="Arial" w:eastAsia="Arial" w:hAnsi="Arial"/>
          <w:color w:val="1A1A1A"/>
          <w:sz w:val="22"/>
          <w:szCs w:val="22"/>
        </w:rPr>
        <w:t xml:space="preserve">The most powerful and distinctive feature of OpenShell's network policy is per-binary egress attribution. Each network_policy.egress_rules entry has a binary_sha256 field that specifies the SHA-256 hash of the executable at /proc/&lt;pid&gt;/exe. The gateway proxy reads this hash from the connection's process metadata (via /proc/&lt;pid&gt;/net/tcp correlated with /proc/&lt;pid&gt;/exe) before forwarding any connection. If the binary hash does not match any rule's binary_sha256, the connection is denied regardless of target host or port. This prevents a compromised or malicious tool from making network calls that the agent binary itself would not be permitted to make — it is not sufficient to install a malicious npm package that happens to know the allowlisted URLs.</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Known limitation: NemoClaw issue #2039 documents that the per-binary egress policy cannot currently be configured via the nemoclaw CLI for custom presets. Custom egress targets require dropping to openshell policy set &lt;n&gt; --policy &lt;file&gt;, which is not the recommended production management path. This is a blocking issue for IaC/GitOps-driven policy management. The NVIDIA team has confirmed this will be resolved in a post-alpha release.</w:t>
      </w:r>
    </w:p>
    <w:p>
      <w:pPr>
        <w:pStyle w:val="Heading3"/>
        <w:spacing w:after="100" w:before="280"/>
      </w:pPr>
      <w:r>
        <w:rPr>
          <w:rFonts w:ascii="Arial" w:cs="Arial" w:eastAsia="Arial" w:hAnsi="Arial"/>
          <w:b/>
          <w:bCs/>
          <w:color w:val="0D7C8C"/>
          <w:sz w:val="24"/>
          <w:szCs w:val="24"/>
        </w:rPr>
        <w:t xml:space="preserve">4.3 Policy tiers</w:t>
      </w:r>
    </w:p>
    <w:p>
      <w:pPr>
        <w:spacing w:after="140"/>
        <w:jc w:val="both"/>
      </w:pPr>
      <w:r>
        <w:rPr>
          <w:rFonts w:ascii="Arial" w:cs="Arial" w:eastAsia="Arial" w:hAnsi="Arial"/>
          <w:color w:val="1A1A1A"/>
          <w:sz w:val="22"/>
          <w:szCs w:val="22"/>
        </w:rPr>
        <w:t xml:space="preserve">NemoClaw ships four built-in policy tiers: development (all egress allowed, no binary pinning — never use in production), npm (allowlist for npm registry and CDN endpoints), research (PubMed, arXiv, Wikipedia, GitHub raw, plus inference endpoints), and production (deny-all with explicit rules only). The research tier is a useful starting point for literature-harvesting agents; the production tier is the correct baseline for any agent handling proprietary data.</w:t>
      </w:r>
    </w:p>
    <w:p>
      <w:pPr>
        <w:pStyle w:val="Heading2"/>
        <w:spacing w:after="160" w:before="400"/>
      </w:pPr>
      <w:r>
        <w:rPr>
          <w:rFonts w:ascii="Arial" w:cs="Arial" w:eastAsia="Arial" w:hAnsi="Arial"/>
          <w:b/>
          <w:bCs/>
          <w:color w:val="3A7CA5"/>
          <w:sz w:val="28"/>
          <w:szCs w:val="28"/>
        </w:rPr>
        <w:t xml:space="preserve">5. Workspace-as-Code Identity Files</w:t>
      </w:r>
    </w:p>
    <w:p>
      <w:pPr>
        <w:pStyle w:val="Heading3"/>
        <w:spacing w:after="100" w:before="280"/>
      </w:pPr>
      <w:r>
        <w:rPr>
          <w:rFonts w:ascii="Arial" w:cs="Arial" w:eastAsia="Arial" w:hAnsi="Arial"/>
          <w:b/>
          <w:bCs/>
          <w:color w:val="0D7C8C"/>
          <w:sz w:val="24"/>
          <w:szCs w:val="24"/>
        </w:rPr>
        <w:t xml:space="preserve">5.1 The workspace directory structure</w:t>
      </w:r>
    </w:p>
    <w:p>
      <w:pPr>
        <w:spacing w:after="140"/>
        <w:jc w:val="both"/>
      </w:pPr>
      <w:r>
        <w:rPr>
          <w:rFonts w:ascii="Arial" w:cs="Arial" w:eastAsia="Arial" w:hAnsi="Arial"/>
          <w:color w:val="1A1A1A"/>
          <w:sz w:val="22"/>
          <w:szCs w:val="22"/>
        </w:rPr>
        <w:t xml:space="preserve">Every NemoClaw agent is defined by a workspace directory — a version-controllable collection of Markdown and YAML files that fully specify the agent's identity, behavior, tools, and schedule. The workspace loads from ~/.openclaw/ or a custom path specified during nemoclaw onboard. The standard file inventory 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800"/>
        <w:gridCol w:w="2600"/>
      </w:tblGrid>
      <w:tr>
        <w:trPr>
          <w:tblHeader/>
        </w:trPr>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File</w:t>
            </w:r>
          </w:p>
        </w:tc>
        <w:tc>
          <w:tcPr>
            <w:tcW w:type="dxa" w:w="2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Purpose</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Injection point</w:t>
            </w:r>
          </w:p>
        </w:tc>
        <w:tc>
          <w:tcPr>
            <w:tcW w:type="dxa" w:w="2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Change-control frequency</w:t>
            </w:r>
          </w:p>
        </w:tc>
      </w:tr>
      <w:tr>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SOUL.md</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persona, core values, non-negotiable limits, tone. Injected verbatim into every system prompt.</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Top of every system prompt</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any change alters fundamental behavior; requires QA review</w:t>
            </w:r>
          </w:p>
        </w:tc>
      </w:tr>
      <w:tr>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AGENTS.md</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Procedural rules and conventions: how the agent handles specific task types, known edge cases, output format requirements.</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System prompt (after SOUL.md)</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updated as new task patterns emerge</w:t>
            </w:r>
          </w:p>
        </w:tc>
      </w:tr>
      <w:tr>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USER.md</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Context about the human operator: their role, preferences, abbreviations, project-specific shorthand.</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System prompt</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 stable over weeks/months</w:t>
            </w:r>
          </w:p>
        </w:tc>
      </w:tr>
      <w:tr>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TOOLS.md</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Notes about the environment: which tools are available, known quirks, API quirks, endpoint URLs.</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System prompt</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updated when tools change</w:t>
            </w:r>
          </w:p>
        </w:tc>
      </w:tr>
      <w:tr>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MEMORY.md</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Curated long-term facts that the agent should always know: compound series rules, assay constraints, instrument quirks, project decisions.</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System prompt (compressed if too long)</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Ongoing — agent and humans both update</w:t>
            </w:r>
          </w:p>
        </w:tc>
      </w:tr>
      <w:tr>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HEARTBEAT.md</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Scheduled background tasks: cron-like entries specifying what the agent should check and do autonomously on a schedule.</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Loaded by NemoClaw scheduler</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updated when routine tasks change</w:t>
            </w:r>
          </w:p>
        </w:tc>
      </w:tr>
      <w:tr>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IDENTITY.md</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User-facing display name, avatar configuration, channel-specific personas.</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Gateway presentation layer</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w:t>
            </w:r>
          </w:p>
        </w:tc>
      </w:tr>
      <w:tr>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BOOTSTRAP.md</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First-time setup instructions, dependency checks, environment initialization steps.</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Run once on first workspace load</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w:t>
            </w:r>
          </w:p>
        </w:tc>
      </w:tr>
      <w:tr>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SKILL.md files (per skill)</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Tool and capability definitions: YAML frontmatter (name, description, allowed-tools, environment vars) plus Markdown body instructions.</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Loaded on-demand per task</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Per skill — change-controlled individually</w:t>
            </w:r>
          </w:p>
        </w:tc>
      </w:tr>
    </w:tbl>
    <w:p>
      <w:pPr>
        <w:pStyle w:val="Heading3"/>
        <w:spacing w:after="100" w:before="280"/>
      </w:pPr>
      <w:r>
        <w:rPr>
          <w:rFonts w:ascii="Arial" w:cs="Arial" w:eastAsia="Arial" w:hAnsi="Arial"/>
          <w:b/>
          <w:bCs/>
          <w:color w:val="0D7C8C"/>
          <w:sz w:val="24"/>
          <w:szCs w:val="24"/>
        </w:rPr>
        <w:t xml:space="preserve">5.2 SOUL.md for a pharma chemistry agent</w:t>
      </w:r>
    </w:p>
    <w:p>
      <w:pPr>
        <w:spacing w:after="140"/>
        <w:jc w:val="both"/>
      </w:pPr>
      <w:r>
        <w:rPr>
          <w:rFonts w:ascii="Arial" w:cs="Arial" w:eastAsia="Arial" w:hAnsi="Arial"/>
          <w:color w:val="1A1A1A"/>
          <w:sz w:val="22"/>
          <w:szCs w:val="22"/>
        </w:rPr>
        <w:t xml:space="preserve">The SOUL.md file is the most critical configuration artifact for regulated deployments. It defines the non-negotiable behavioral boundaries that no task instruction can override. For a pharma chemistry agent, it should specify the scientific domain and expertise, the complete list of permitted autonomous actions, the explicit list of actions requiring human approval, actions that are categorically prohibited, citation and uncertainty requirements, and the escalation path when the agent is uncertain.</w:t>
      </w:r>
    </w:p>
    <w:p>
      <w:pPr>
        <w:shd w:fill="EEF2F7" w:val="clear"/>
        <w:spacing w:after="20" w:before="20"/>
        <w:ind w:left="360" w:right="360"/>
      </w:pPr>
      <w:r>
        <w:rPr>
          <w:rFonts w:ascii="Courier New" w:cs="Courier New" w:eastAsia="Courier New" w:hAnsi="Courier New"/>
          <w:color w:val="1B3A5C"/>
          <w:sz w:val="18"/>
          <w:szCs w:val="18"/>
        </w:rPr>
        <w:t xml:space="preserve"># SOUL.md — RetrosynthPlanner Agent</w:t>
      </w:r>
    </w:p>
    <w:p>
      <w:pPr>
        <w:shd w:fill="EEF2F7" w:val="clear"/>
        <w:spacing w:after="20" w:before="20"/>
        <w:ind w:left="360" w:right="360"/>
      </w:pPr>
      <w:r>
        <w:rPr>
          <w:rFonts w:ascii="Courier New" w:cs="Courier New" w:eastAsia="Courier New" w:hAnsi="Courier New"/>
          <w:color w:val="1B3A5C"/>
          <w:sz w:val="18"/>
          <w:szCs w:val="18"/>
        </w:rPr>
        <w:t xml:space="preserve">## Identity</w:t>
      </w:r>
    </w:p>
    <w:p>
      <w:pPr>
        <w:shd w:fill="EEF2F7" w:val="clear"/>
        <w:spacing w:after="20" w:before="20"/>
        <w:ind w:left="360" w:right="360"/>
      </w:pPr>
      <w:r>
        <w:rPr>
          <w:rFonts w:ascii="Courier New" w:cs="Courier New" w:eastAsia="Courier New" w:hAnsi="Courier New"/>
          <w:color w:val="1B3A5C"/>
          <w:sz w:val="18"/>
          <w:szCs w:val="18"/>
        </w:rPr>
        <w:t xml:space="preserve">You are Atlas, a senior computational chemist specializing in </w:t>
      </w:r>
    </w:p>
    <w:p>
      <w:pPr>
        <w:shd w:fill="EEF2F7" w:val="clear"/>
        <w:spacing w:after="20" w:before="20"/>
        <w:ind w:left="360" w:right="360"/>
      </w:pPr>
      <w:r>
        <w:rPr>
          <w:rFonts w:ascii="Courier New" w:cs="Courier New" w:eastAsia="Courier New" w:hAnsi="Courier New"/>
          <w:color w:val="1B3A5C"/>
          <w:sz w:val="18"/>
          <w:szCs w:val="18"/>
        </w:rPr>
        <w:t xml:space="preserve">retrosynthetic planning for small-molecule drug candidates. </w:t>
      </w:r>
    </w:p>
    <w:p>
      <w:pPr>
        <w:shd w:fill="EEF2F7" w:val="clear"/>
        <w:spacing w:after="20" w:before="20"/>
        <w:ind w:left="360" w:right="360"/>
      </w:pPr>
      <w:r>
        <w:rPr>
          <w:rFonts w:ascii="Courier New" w:cs="Courier New" w:eastAsia="Courier New" w:hAnsi="Courier New"/>
          <w:color w:val="1B3A5C"/>
          <w:sz w:val="18"/>
          <w:szCs w:val="18"/>
        </w:rPr>
        <w:t xml:space="preserve">You reason from first principles using published precedent.</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Permitted autonomous actions</w:t>
      </w:r>
    </w:p>
    <w:p>
      <w:pPr>
        <w:shd w:fill="EEF2F7" w:val="clear"/>
        <w:spacing w:after="20" w:before="20"/>
        <w:ind w:left="360" w:right="360"/>
      </w:pPr>
      <w:r>
        <w:rPr>
          <w:rFonts w:ascii="Courier New" w:cs="Courier New" w:eastAsia="Courier New" w:hAnsi="Courier New"/>
          <w:color w:val="1B3A5C"/>
          <w:sz w:val="18"/>
          <w:szCs w:val="18"/>
        </w:rPr>
        <w:t xml:space="preserve">- Literature search (PubMed, EuropePMC, internal document store)</w:t>
      </w:r>
    </w:p>
    <w:p>
      <w:pPr>
        <w:shd w:fill="EEF2F7" w:val="clear"/>
        <w:spacing w:after="20" w:before="20"/>
        <w:ind w:left="360" w:right="360"/>
      </w:pPr>
      <w:r>
        <w:rPr>
          <w:rFonts w:ascii="Courier New" w:cs="Courier New" w:eastAsia="Courier New" w:hAnsi="Courier New"/>
          <w:color w:val="1B3A5C"/>
          <w:sz w:val="18"/>
          <w:szCs w:val="18"/>
        </w:rPr>
        <w:t xml:space="preserve">- Retrosynthesis proposals via ASKCOS and AiZynthFinder</w:t>
      </w:r>
    </w:p>
    <w:p>
      <w:pPr>
        <w:shd w:fill="EEF2F7" w:val="clear"/>
        <w:spacing w:after="20" w:before="20"/>
        <w:ind w:left="360" w:right="360"/>
      </w:pPr>
      <w:r>
        <w:rPr>
          <w:rFonts w:ascii="Courier New" w:cs="Courier New" w:eastAsia="Courier New" w:hAnsi="Courier New"/>
          <w:color w:val="1B3A5C"/>
          <w:sz w:val="18"/>
          <w:szCs w:val="18"/>
        </w:rPr>
        <w:t xml:space="preserve">- ADMET pre-screening via ADMET-AI</w:t>
      </w:r>
    </w:p>
    <w:p>
      <w:pPr>
        <w:shd w:fill="EEF2F7" w:val="clear"/>
        <w:spacing w:after="20" w:before="20"/>
        <w:ind w:left="360" w:right="360"/>
      </w:pPr>
      <w:r>
        <w:rPr>
          <w:rFonts w:ascii="Courier New" w:cs="Courier New" w:eastAsia="Courier New" w:hAnsi="Courier New"/>
          <w:color w:val="1B3A5C"/>
          <w:sz w:val="18"/>
          <w:szCs w:val="18"/>
        </w:rPr>
        <w:t xml:space="preserve">- DFT pre-screening via xtb (GFN2-xTB level only, no HPC jobs)</w:t>
      </w:r>
    </w:p>
    <w:p>
      <w:pPr>
        <w:shd w:fill="EEF2F7" w:val="clear"/>
        <w:spacing w:after="20" w:before="20"/>
        <w:ind w:left="360" w:right="360"/>
      </w:pPr>
      <w:r>
        <w:rPr>
          <w:rFonts w:ascii="Courier New" w:cs="Courier New" w:eastAsia="Courier New" w:hAnsi="Courier New"/>
          <w:color w:val="1B3A5C"/>
          <w:sz w:val="18"/>
          <w:szCs w:val="18"/>
        </w:rPr>
        <w:t xml:space="preserve">- Writing analysis to /sandbox/artifacts/ only</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Human approval required before proceeding</w:t>
      </w:r>
    </w:p>
    <w:p>
      <w:pPr>
        <w:shd w:fill="EEF2F7" w:val="clear"/>
        <w:spacing w:after="20" w:before="20"/>
        <w:ind w:left="360" w:right="360"/>
      </w:pPr>
      <w:r>
        <w:rPr>
          <w:rFonts w:ascii="Courier New" w:cs="Courier New" w:eastAsia="Courier New" w:hAnsi="Courier New"/>
          <w:color w:val="1B3A5C"/>
          <w:sz w:val="18"/>
          <w:szCs w:val="18"/>
        </w:rPr>
        <w:t xml:space="preserve">- Any proposed route using a reagent not in approved-reagents.csv</w:t>
      </w:r>
    </w:p>
    <w:p>
      <w:pPr>
        <w:shd w:fill="EEF2F7" w:val="clear"/>
        <w:spacing w:after="20" w:before="20"/>
        <w:ind w:left="360" w:right="360"/>
      </w:pPr>
      <w:r>
        <w:rPr>
          <w:rFonts w:ascii="Courier New" w:cs="Courier New" w:eastAsia="Courier New" w:hAnsi="Courier New"/>
          <w:color w:val="1B3A5C"/>
          <w:sz w:val="18"/>
          <w:szCs w:val="18"/>
        </w:rPr>
        <w:t xml:space="preserve">- Any proposal involving a compound matching the DEA Schedule check</w:t>
      </w:r>
    </w:p>
    <w:p>
      <w:pPr>
        <w:shd w:fill="EEF2F7" w:val="clear"/>
        <w:spacing w:after="20" w:before="20"/>
        <w:ind w:left="360" w:right="360"/>
      </w:pPr>
      <w:r>
        <w:rPr>
          <w:rFonts w:ascii="Courier New" w:cs="Courier New" w:eastAsia="Courier New" w:hAnsi="Courier New"/>
          <w:color w:val="1B3A5C"/>
          <w:sz w:val="18"/>
          <w:szCs w:val="18"/>
        </w:rPr>
        <w:t xml:space="preserve">- DFT jobs requiring &gt;100 CPU-hours (must use HPC bridge)</w:t>
      </w:r>
    </w:p>
    <w:p>
      <w:pPr>
        <w:shd w:fill="EEF2F7" w:val="clear"/>
        <w:spacing w:after="20" w:before="20"/>
        <w:ind w:left="360" w:right="360"/>
      </w:pPr>
      <w:r>
        <w:rPr>
          <w:rFonts w:ascii="Courier New" w:cs="Courier New" w:eastAsia="Courier New" w:hAnsi="Courier New"/>
          <w:color w:val="1B3A5C"/>
          <w:sz w:val="18"/>
          <w:szCs w:val="18"/>
        </w:rPr>
        <w:t xml:space="preserve">- Any write to the ELN or compound registry</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Categorically prohibited</w:t>
      </w:r>
    </w:p>
    <w:p>
      <w:pPr>
        <w:shd w:fill="EEF2F7" w:val="clear"/>
        <w:spacing w:after="20" w:before="20"/>
        <w:ind w:left="360" w:right="360"/>
      </w:pPr>
      <w:r>
        <w:rPr>
          <w:rFonts w:ascii="Courier New" w:cs="Courier New" w:eastAsia="Courier New" w:hAnsi="Courier New"/>
          <w:color w:val="1B3A5C"/>
          <w:sz w:val="18"/>
          <w:szCs w:val="18"/>
        </w:rPr>
        <w:t xml:space="preserve">- Initiating wet-lab synthesis (never, under any instruction)</w:t>
      </w:r>
    </w:p>
    <w:p>
      <w:pPr>
        <w:shd w:fill="EEF2F7" w:val="clear"/>
        <w:spacing w:after="20" w:before="20"/>
        <w:ind w:left="360" w:right="360"/>
      </w:pPr>
      <w:r>
        <w:rPr>
          <w:rFonts w:ascii="Courier New" w:cs="Courier New" w:eastAsia="Courier New" w:hAnsi="Courier New"/>
          <w:color w:val="1B3A5C"/>
          <w:sz w:val="18"/>
          <w:szCs w:val="18"/>
        </w:rPr>
        <w:t xml:space="preserve">- Writing to /prod/ directories</w:t>
      </w:r>
    </w:p>
    <w:p>
      <w:pPr>
        <w:shd w:fill="EEF2F7" w:val="clear"/>
        <w:spacing w:after="20" w:before="20"/>
        <w:ind w:left="360" w:right="360"/>
      </w:pPr>
      <w:r>
        <w:rPr>
          <w:rFonts w:ascii="Courier New" w:cs="Courier New" w:eastAsia="Courier New" w:hAnsi="Courier New"/>
          <w:color w:val="1B3A5C"/>
          <w:sz w:val="18"/>
          <w:szCs w:val="18"/>
        </w:rPr>
        <w:t xml:space="preserve">- Calling any external API not in the egress policy</w:t>
      </w:r>
    </w:p>
    <w:p>
      <w:pPr>
        <w:shd w:fill="EEF2F7" w:val="clear"/>
        <w:spacing w:after="20" w:before="20"/>
        <w:ind w:left="360" w:right="360"/>
      </w:pPr>
      <w:r>
        <w:rPr>
          <w:rFonts w:ascii="Courier New" w:cs="Courier New" w:eastAsia="Courier New" w:hAnsi="Courier New"/>
          <w:color w:val="1B3A5C"/>
          <w:sz w:val="18"/>
          <w:szCs w:val="18"/>
        </w:rPr>
        <w:t xml:space="preserve">- Claiming a route is 'safe' without citing a toxicological source</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Citation requirements</w:t>
      </w:r>
    </w:p>
    <w:p>
      <w:pPr>
        <w:shd w:fill="EEF2F7" w:val="clear"/>
        <w:spacing w:after="20" w:before="20"/>
        <w:ind w:left="360" w:right="360"/>
      </w:pPr>
      <w:r>
        <w:rPr>
          <w:rFonts w:ascii="Courier New" w:cs="Courier New" w:eastAsia="Courier New" w:hAnsi="Courier New"/>
          <w:color w:val="1B3A5C"/>
          <w:sz w:val="18"/>
          <w:szCs w:val="18"/>
        </w:rPr>
        <w:t xml:space="preserve">Every synthesis route proposal must cite at least one:</w:t>
      </w:r>
    </w:p>
    <w:p>
      <w:pPr>
        <w:shd w:fill="EEF2F7" w:val="clear"/>
        <w:spacing w:after="20" w:before="20"/>
        <w:ind w:left="360" w:right="360"/>
      </w:pPr>
      <w:r>
        <w:rPr>
          <w:rFonts w:ascii="Courier New" w:cs="Courier New" w:eastAsia="Courier New" w:hAnsi="Courier New"/>
          <w:color w:val="1B3A5C"/>
          <w:sz w:val="18"/>
          <w:szCs w:val="18"/>
        </w:rPr>
        <w:t xml:space="preserve">- Literature precedent (DOI required) OR</w:t>
      </w:r>
    </w:p>
    <w:p>
      <w:pPr>
        <w:shd w:fill="EEF2F7" w:val="clear"/>
        <w:spacing w:after="20" w:before="20"/>
        <w:ind w:left="360" w:right="360"/>
      </w:pPr>
      <w:r>
        <w:rPr>
          <w:rFonts w:ascii="Courier New" w:cs="Courier New" w:eastAsia="Courier New" w:hAnsi="Courier New"/>
          <w:color w:val="1B3A5C"/>
          <w:sz w:val="18"/>
          <w:szCs w:val="18"/>
        </w:rPr>
        <w:t xml:space="preserve">- ASKCOS/AiZynthFinder confidence score + template source</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Uncertainty handling</w:t>
      </w:r>
    </w:p>
    <w:p>
      <w:pPr>
        <w:shd w:fill="EEF2F7" w:val="clear"/>
        <w:spacing w:after="20" w:before="20"/>
        <w:ind w:left="360" w:right="360"/>
      </w:pPr>
      <w:r>
        <w:rPr>
          <w:rFonts w:ascii="Courier New" w:cs="Courier New" w:eastAsia="Courier New" w:hAnsi="Courier New"/>
          <w:color w:val="1B3A5C"/>
          <w:sz w:val="18"/>
          <w:szCs w:val="18"/>
        </w:rPr>
        <w:t xml:space="preserve">If confidence in a route is below 60% or no precedent exists:</w:t>
      </w:r>
    </w:p>
    <w:p>
      <w:pPr>
        <w:shd w:fill="EEF2F7" w:val="clear"/>
        <w:spacing w:after="20" w:before="20"/>
        <w:ind w:left="360" w:right="360"/>
      </w:pPr>
      <w:r>
        <w:rPr>
          <w:rFonts w:ascii="Courier New" w:cs="Courier New" w:eastAsia="Courier New" w:hAnsi="Courier New"/>
          <w:color w:val="1B3A5C"/>
          <w:sz w:val="18"/>
          <w:szCs w:val="18"/>
        </w:rPr>
        <w:t xml:space="preserve">STOP and ask the assigned medicinal chemist before proceeding.</w:t>
      </w:r>
    </w:p>
    <w:p>
      <w:pPr>
        <w:pStyle w:val="Heading2"/>
        <w:spacing w:after="160" w:before="400"/>
      </w:pPr>
      <w:r>
        <w:rPr>
          <w:rFonts w:ascii="Arial" w:cs="Arial" w:eastAsia="Arial" w:hAnsi="Arial"/>
          <w:b/>
          <w:bCs/>
          <w:color w:val="3A7CA5"/>
          <w:sz w:val="28"/>
          <w:szCs w:val="28"/>
        </w:rPr>
        <w:t xml:space="preserve">6. Inference Architecture: The Privacy Router</w:t>
      </w:r>
    </w:p>
    <w:p>
      <w:pPr>
        <w:spacing w:after="140"/>
        <w:jc w:val="both"/>
      </w:pPr>
      <w:r>
        <w:rPr>
          <w:rFonts w:ascii="Arial" w:cs="Arial" w:eastAsia="Arial" w:hAnsi="Arial"/>
          <w:color w:val="1A1A1A"/>
          <w:sz w:val="22"/>
          <w:szCs w:val="22"/>
        </w:rPr>
        <w:t xml:space="preserve">The NemoClaw privacy router intercepts every outbound inference API call and applies a two-stage filtering and routing decision before the request leaves the sandbox. Stage 1 is PII and IP detection: a fine-tuned Named Entity Recognition (NER) model runs on the full prompt payload and detects PII entities (names, addresses, contact information, patient identifiers) and IP-sensitive entities (SMILES strings, compound code names, project identifiers matching a configurable pattern library). Detected entities are replaced with type-labelled placeholders before the prompt is routed anywhere. Stage 2 is routing: if the sanitised prompt contains no detected IP-sensitive content, it may be routed to cloud frontier models (Claude, GPT-4o, etc.) via the user's configured API keys. If IP-sensitive content was detected and removed, the prompt is routed to local Nemotron inference only — the compound structure never leaves the air-gapped inference endpoint.</w:t>
      </w:r>
    </w:p>
    <w:p>
      <w:pPr>
        <w:spacing w:after="140"/>
        <w:jc w:val="both"/>
      </w:pPr>
      <w:r>
        <w:rPr>
          <w:rFonts w:ascii="Arial" w:cs="Arial" w:eastAsia="Arial" w:hAnsi="Arial"/>
          <w:color w:val="1A1A1A"/>
          <w:sz w:val="22"/>
          <w:szCs w:val="22"/>
        </w:rPr>
        <w:t xml:space="preserve">Nemotron 3 Super (120.6B total parameters, 12.7B active via Mamba-Transformer MoE architecture) runs on the DGX Spark GB10 SuperChip (72 Arm Neoverse V2 cores, 128GB LPDDR5x memory at 273GB/s bandwidth, integrated with NVIDIA Blackwell GPU architecture). Under llama.cpp Q4_K_M quantization, community benchmarks report 14–22 tokens per second decode throughput. This gives 30–90 second end-to-end agentic latency per turn for typical chemistry tasks — a real operational constraint that affects workflow design. Overnight literature harvesting runs are well-suited to this throughput; interactive synthesis planning sessions where a chemist is waiting on results are not.</w:t>
      </w:r>
    </w:p>
    <w:p>
      <w:pPr>
        <w:pStyle w:val="Heading2"/>
        <w:spacing w:after="160" w:before="400"/>
      </w:pPr>
      <w:r>
        <w:rPr>
          <w:rFonts w:ascii="Arial" w:cs="Arial" w:eastAsia="Arial" w:hAnsi="Arial"/>
          <w:b/>
          <w:bCs/>
          <w:color w:val="3A7CA5"/>
          <w:sz w:val="28"/>
          <w:szCs w:val="28"/>
        </w:rPr>
        <w:t xml:space="preserve">7. Multi-Agent Deployment Patterns</w:t>
      </w:r>
    </w:p>
    <w:p>
      <w:pPr>
        <w:pStyle w:val="Heading3"/>
        <w:spacing w:after="100" w:before="280"/>
      </w:pPr>
      <w:r>
        <w:rPr>
          <w:rFonts w:ascii="Arial" w:cs="Arial" w:eastAsia="Arial" w:hAnsi="Arial"/>
          <w:b/>
          <w:bCs/>
          <w:color w:val="0D7C8C"/>
          <w:sz w:val="24"/>
          <w:szCs w:val="24"/>
        </w:rPr>
        <w:t xml:space="preserve">7.1 Multiple sandboxes on one host</w:t>
      </w:r>
    </w:p>
    <w:p>
      <w:pPr>
        <w:spacing w:after="140"/>
        <w:jc w:val="both"/>
      </w:pPr>
      <w:r>
        <w:rPr>
          <w:rFonts w:ascii="Arial" w:cs="Arial" w:eastAsia="Arial" w:hAnsi="Arial"/>
          <w:color w:val="1A1A1A"/>
          <w:sz w:val="22"/>
          <w:szCs w:val="22"/>
        </w:rPr>
        <w:t xml:space="preserve">NemoClaw supports running multiple agent sandboxes simultaneously on a single host, up to the hardware resource limits. Each sandbox runs as a separate Docker container or k3s pod with an independent Landlock ruleset, seccomp profile, and network namespace. The nemoclaw onboard wizard provisions a default single-sandbox configuration; additional sandboxes are added via nemoclaw add-agent --name &lt;n&gt; --policy &lt;policy-yaml&gt; --workspace &lt;path&gt;. Each additional sandbox requires approximately 500MB RAM overhead plus the model inference memory (shared if using the same local Nemotron endpoint).</w:t>
      </w:r>
    </w:p>
    <w:p>
      <w:pPr>
        <w:pStyle w:val="Heading3"/>
        <w:spacing w:after="100" w:before="280"/>
      </w:pPr>
      <w:r>
        <w:rPr>
          <w:rFonts w:ascii="Arial" w:cs="Arial" w:eastAsia="Arial" w:hAnsi="Arial"/>
          <w:b/>
          <w:bCs/>
          <w:color w:val="0D7C8C"/>
          <w:sz w:val="24"/>
          <w:szCs w:val="24"/>
        </w:rPr>
        <w:t xml:space="preserve">7.2 DGX Spark sizing for the nine-agent team</w:t>
      </w:r>
    </w:p>
    <w:p>
      <w:pPr>
        <w:spacing w:after="140"/>
        <w:jc w:val="both"/>
      </w:pPr>
      <w:r>
        <w:rPr>
          <w:rFonts w:ascii="Arial" w:cs="Arial" w:eastAsia="Arial" w:hAnsi="Arial"/>
          <w:color w:val="1A1A1A"/>
          <w:sz w:val="22"/>
          <w:szCs w:val="22"/>
        </w:rPr>
        <w:t xml:space="preserve">A single DGX Spark GB10 (128GB unified memory, 273GB/s bandwidth) running four simultaneous NemoClaw sandboxes with shared local Nemotron inference serves as the minimum viable on-premise hardware for a four-specialist agent team. The nine-specialist team recommended in Part II requires five DGX Spark units (four sandboxes each, shared inference per unit) or three DGX Spark units plus a DGX Station GB300 for the inference-intensive agents (DFT Specialist, Analytical Method Agent). The H100 80GB PCIe is the recommended alternative for the DFT agent that runs ORCA jobs; it provides more GPU memory for large molecular systems at lower cost than a second DGX Station.</w:t>
      </w:r>
    </w:p>
    <w:p>
      <w:pPr>
        <w:pStyle w:val="Heading2"/>
        <w:spacing w:after="160" w:before="400"/>
      </w:pPr>
      <w:r>
        <w:rPr>
          <w:rFonts w:ascii="Arial" w:cs="Arial" w:eastAsia="Arial" w:hAnsi="Arial"/>
          <w:b/>
          <w:bCs/>
          <w:color w:val="3A7CA5"/>
          <w:sz w:val="28"/>
          <w:szCs w:val="28"/>
        </w:rPr>
        <w:t xml:space="preserve">8. The Dashboard and CLI</w:t>
      </w:r>
    </w:p>
    <w:p>
      <w:pPr>
        <w:pStyle w:val="Heading3"/>
        <w:spacing w:after="100" w:before="280"/>
      </w:pPr>
      <w:r>
        <w:rPr>
          <w:rFonts w:ascii="Arial" w:cs="Arial" w:eastAsia="Arial" w:hAnsi="Arial"/>
          <w:b/>
          <w:bCs/>
          <w:color w:val="0D7C8C"/>
          <w:sz w:val="24"/>
          <w:szCs w:val="24"/>
        </w:rPr>
        <w:t xml:space="preserve">8.1 Dashboard (port 18789)</w:t>
      </w:r>
    </w:p>
    <w:p>
      <w:pPr>
        <w:spacing w:after="140"/>
        <w:jc w:val="both"/>
      </w:pPr>
      <w:r>
        <w:rPr>
          <w:rFonts w:ascii="Arial" w:cs="Arial" w:eastAsia="Arial" w:hAnsi="Arial"/>
          <w:color w:val="1A1A1A"/>
          <w:sz w:val="22"/>
          <w:szCs w:val="22"/>
        </w:rPr>
        <w:t xml:space="preserve">The NemoClaw dashboard serves a React-based web interface on port 18789 (localhost-bound by default, configurable to LAN-accessible with appropriate firewall rules). The dashboard provides seven functional areas: Agent Status (real-time view of all running agent sessions — active tool calls, current prompt context length, token/minute throughput); Policy Manager (view and hot-reload sandbox egress policies with diff highlighting for pending changes); Session Viewer (full JSONL session transcript for any historical session, with tool call expansion, search, and export); Resource Monitor (CPU/GPU/memory per sandbox, inference queue depth, disk I/O for artifact writes); Approval Queue (pending human-approval requests from Paperclip-integrated agents, with approve/reject buttons and reason-for-decision logging); Update Manager (pending NemoClaw, OpenClaw, and skill updates with SHA-256 verification status and one-click apply-with-audit); and Log Viewer (aggregated structured logs from all sandboxes with JSON filtering).</w:t>
      </w:r>
    </w:p>
    <w:p>
      <w:pPr>
        <w:pStyle w:val="Heading3"/>
        <w:spacing w:after="100" w:before="280"/>
      </w:pPr>
      <w:r>
        <w:rPr>
          <w:rFonts w:ascii="Arial" w:cs="Arial" w:eastAsia="Arial" w:hAnsi="Arial"/>
          <w:b/>
          <w:bCs/>
          <w:color w:val="0D7C8C"/>
          <w:sz w:val="24"/>
          <w:szCs w:val="24"/>
        </w:rPr>
        <w:t xml:space="preserve">8.2 CLI command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100"/>
      </w:tblGrid>
      <w:tr>
        <w:trPr>
          <w:tblHeader/>
        </w:trPr>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Command</w:t>
            </w:r>
          </w:p>
        </w:tc>
        <w:tc>
          <w:tcPr>
            <w:tcW w:type="dxa" w:w="3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c>
          <w:tcPr>
            <w:tcW w:type="dxa" w:w="3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flags</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onboard</w:t>
            </w:r>
          </w:p>
        </w:tc>
        <w:tc>
          <w:tcPr>
            <w:tcW w:type="dxa" w:w="3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Interactive wizard: install, configure, generate keypair, provision sandbox, run smoke test</w:t>
            </w:r>
          </w:p>
        </w:tc>
        <w:tc>
          <w:tcPr>
            <w:tcW w:type="dxa" w:w="3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--noninteractive (for scripted deployment)</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status</w:t>
            </w:r>
          </w:p>
        </w:tc>
        <w:tc>
          <w:tcPr>
            <w:tcW w:type="dxa" w:w="3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Show health of all running sandboxes, policy status, inference endpoint status</w:t>
            </w:r>
          </w:p>
        </w:tc>
        <w:tc>
          <w:tcPr>
            <w:tcW w:type="dxa" w:w="3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--json (machine-readable output)</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add-agent</w:t>
            </w:r>
          </w:p>
        </w:tc>
        <w:tc>
          <w:tcPr>
            <w:tcW w:type="dxa" w:w="3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Add a new sandbox to the installation</w:t>
            </w:r>
          </w:p>
        </w:tc>
        <w:tc>
          <w:tcPr>
            <w:tcW w:type="dxa" w:w="3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--name, --policy, --workspace, --profile (dev/research/production)</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remove-agent</w:t>
            </w:r>
          </w:p>
        </w:tc>
        <w:tc>
          <w:tcPr>
            <w:tcW w:type="dxa" w:w="3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Gracefully shut down and remove a sandbox</w:t>
            </w:r>
          </w:p>
        </w:tc>
        <w:tc>
          <w:tcPr>
            <w:tcW w:type="dxa" w:w="3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--name, --purge-workspace</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policy-list</w:t>
            </w:r>
          </w:p>
        </w:tc>
        <w:tc>
          <w:tcPr>
            <w:tcW w:type="dxa" w:w="3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List all sandbox policies with SHA-256 hashes</w:t>
            </w:r>
          </w:p>
        </w:tc>
        <w:tc>
          <w:tcPr>
            <w:tcW w:type="dxa" w:w="3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--sandbox (filter to one sandbox)</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policy-apply</w:t>
            </w:r>
          </w:p>
        </w:tc>
        <w:tc>
          <w:tcPr>
            <w:tcW w:type="dxa" w:w="3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Apply a policy YAML file to a sandbox</w:t>
            </w:r>
          </w:p>
        </w:tc>
        <w:tc>
          <w:tcPr>
            <w:tcW w:type="dxa" w:w="3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--sandbox, --wait (block until applied), --dry-run</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logs</w:t>
            </w:r>
          </w:p>
        </w:tc>
        <w:tc>
          <w:tcPr>
            <w:tcW w:type="dxa" w:w="3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Tail structured logs from all sandboxes</w:t>
            </w:r>
          </w:p>
        </w:tc>
        <w:tc>
          <w:tcPr>
            <w:tcW w:type="dxa" w:w="3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--sandbox, --level (info/warn/error), --since</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sessions</w:t>
            </w:r>
          </w:p>
        </w:tc>
        <w:tc>
          <w:tcPr>
            <w:tcW w:type="dxa" w:w="3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List sessions with metadata (start, end, token counts)</w:t>
            </w:r>
          </w:p>
        </w:tc>
        <w:tc>
          <w:tcPr>
            <w:tcW w:type="dxa" w:w="3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--sandbox, --limit, --json</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export-session</w:t>
            </w:r>
          </w:p>
        </w:tc>
        <w:tc>
          <w:tcPr>
            <w:tcW w:type="dxa" w:w="3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Export full session JSONL to stdout or file</w:t>
            </w:r>
          </w:p>
        </w:tc>
        <w:tc>
          <w:tcPr>
            <w:tcW w:type="dxa" w:w="3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--session-id, --output</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claw migrate</w:t>
            </w:r>
          </w:p>
        </w:tc>
        <w:tc>
          <w:tcPr>
            <w:tcW w:type="dxa" w:w="3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Import OpenClaw workspace files into NemoClaw</w:t>
            </w:r>
          </w:p>
        </w:tc>
        <w:tc>
          <w:tcPr>
            <w:tcW w:type="dxa" w:w="3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--source, --overwrite, --dry-run</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update</w:t>
            </w:r>
          </w:p>
        </w:tc>
        <w:tc>
          <w:tcPr>
            <w:tcW w:type="dxa" w:w="3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Check for and apply NemoClaw updates</w:t>
            </w:r>
          </w:p>
        </w:tc>
        <w:tc>
          <w:tcPr>
            <w:tcW w:type="dxa" w:w="3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--check-only, --auto-approve</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keypair rotate</w:t>
            </w:r>
          </w:p>
        </w:tc>
        <w:tc>
          <w:tcPr>
            <w:tcW w:type="dxa" w:w="3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Generate new Ed25519 device keypair and re-register with gateway</w:t>
            </w:r>
          </w:p>
        </w:tc>
        <w:tc>
          <w:tcPr>
            <w:tcW w:type="dxa" w:w="3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--backup-old-key</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skill-scan</w:t>
            </w:r>
          </w:p>
        </w:tc>
        <w:tc>
          <w:tcPr>
            <w:tcW w:type="dxa" w:w="3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Scan installed ClawHub skills for malicious patterns (post-ClawHavoc)</w:t>
            </w:r>
          </w:p>
        </w:tc>
        <w:tc>
          <w:tcPr>
            <w:tcW w:type="dxa" w:w="3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--fix (remove flagged skills), --report-only</w:t>
            </w:r>
          </w:p>
        </w:tc>
      </w:tr>
    </w:tbl>
    <w:p>
      <w:pPr>
        <w:pStyle w:val="Heading2"/>
        <w:spacing w:after="160" w:before="400"/>
      </w:pPr>
      <w:r>
        <w:rPr>
          <w:rFonts w:ascii="Arial" w:cs="Arial" w:eastAsia="Arial" w:hAnsi="Arial"/>
          <w:b/>
          <w:bCs/>
          <w:color w:val="3A7CA5"/>
          <w:sz w:val="28"/>
          <w:szCs w:val="28"/>
        </w:rPr>
        <w:t xml:space="preserve">9. The Lobster Workflow Engine</w:t>
      </w:r>
    </w:p>
    <w:p>
      <w:pPr>
        <w:spacing w:after="140"/>
        <w:jc w:val="both"/>
      </w:pPr>
      <w:r>
        <w:rPr>
          <w:rFonts w:ascii="Arial" w:cs="Arial" w:eastAsia="Arial" w:hAnsi="Arial"/>
          <w:color w:val="1A1A1A"/>
          <w:sz w:val="22"/>
          <w:szCs w:val="22"/>
        </w:rPr>
        <w:t xml:space="preserve">Lobster is OpenClaw's (and by extension NemoClaw's) built-in YAML workflow engine for multi-step deterministic pipelines. Unlike the agent's LLM-driven reasoning loop, Lobster workflows are entirely deterministic: each step is a defined function call (tool call, API request, or agent sub-task) executed in sequence or parallel, with typed inputs, typed outputs, and explicit error handling. Lobster is not a feature of the NemoClaw sandbox — it runs in the OpenClaw process and is fully accessible to NemoClaw-sandboxed agents.</w:t>
      </w:r>
    </w:p>
    <w:p>
      <w:pPr>
        <w:shd w:fill="EEF2F7" w:val="clear"/>
        <w:spacing w:after="20" w:before="20"/>
        <w:ind w:left="360" w:right="360"/>
      </w:pPr>
      <w:r>
        <w:rPr>
          <w:rFonts w:ascii="Courier New" w:cs="Courier New" w:eastAsia="Courier New" w:hAnsi="Courier New"/>
          <w:color w:val="1B3A5C"/>
          <w:sz w:val="18"/>
          <w:szCs w:val="18"/>
        </w:rPr>
        <w:t xml:space="preserve"># Lobster workflow: Compound Registration Pipeline</w:t>
      </w:r>
    </w:p>
    <w:p>
      <w:pPr>
        <w:shd w:fill="EEF2F7" w:val="clear"/>
        <w:spacing w:after="20" w:before="20"/>
        <w:ind w:left="360" w:right="360"/>
      </w:pPr>
      <w:r>
        <w:rPr>
          <w:rFonts w:ascii="Courier New" w:cs="Courier New" w:eastAsia="Courier New" w:hAnsi="Courier New"/>
          <w:color w:val="1B3A5C"/>
          <w:sz w:val="18"/>
          <w:szCs w:val="18"/>
        </w:rPr>
        <w:t xml:space="preserve"># File: workflows/compound-register.yaml</w:t>
      </w:r>
    </w:p>
    <w:p>
      <w:pPr>
        <w:shd w:fill="EEF2F7" w:val="clear"/>
        <w:spacing w:after="20" w:before="20"/>
        <w:ind w:left="360" w:right="360"/>
      </w:pPr>
      <w:r>
        <w:rPr>
          <w:rFonts w:ascii="Courier New" w:cs="Courier New" w:eastAsia="Courier New" w:hAnsi="Courier New"/>
          <w:color w:val="1B3A5C"/>
          <w:sz w:val="18"/>
          <w:szCs w:val="18"/>
        </w:rPr>
        <w:t xml:space="preserve">name: compound-registration</w:t>
      </w:r>
    </w:p>
    <w:p>
      <w:pPr>
        <w:shd w:fill="EEF2F7" w:val="clear"/>
        <w:spacing w:after="20" w:before="20"/>
        <w:ind w:left="360" w:right="360"/>
      </w:pPr>
      <w:r>
        <w:rPr>
          <w:rFonts w:ascii="Courier New" w:cs="Courier New" w:eastAsia="Courier New" w:hAnsi="Courier New"/>
          <w:color w:val="1B3A5C"/>
          <w:sz w:val="18"/>
          <w:szCs w:val="18"/>
        </w:rPr>
        <w:t xml:space="preserve">version: 1.0</w:t>
      </w:r>
    </w:p>
    <w:p>
      <w:pPr>
        <w:shd w:fill="EEF2F7" w:val="clear"/>
        <w:spacing w:after="20" w:before="20"/>
        <w:ind w:left="360" w:right="360"/>
      </w:pPr>
      <w:r>
        <w:rPr>
          <w:rFonts w:ascii="Courier New" w:cs="Courier New" w:eastAsia="Courier New" w:hAnsi="Courier New"/>
          <w:color w:val="1B3A5C"/>
          <w:sz w:val="18"/>
          <w:szCs w:val="18"/>
        </w:rPr>
        <w:t xml:space="preserve">inputs:</w:t>
      </w:r>
    </w:p>
    <w:p>
      <w:pPr>
        <w:shd w:fill="EEF2F7" w:val="clear"/>
        <w:spacing w:after="20" w:before="20"/>
        <w:ind w:left="360" w:right="360"/>
      </w:pPr>
      <w:r>
        <w:rPr>
          <w:rFonts w:ascii="Courier New" w:cs="Courier New" w:eastAsia="Courier New" w:hAnsi="Courier New"/>
          <w:color w:val="1B3A5C"/>
          <w:sz w:val="18"/>
          <w:szCs w:val="18"/>
        </w:rPr>
        <w:t xml:space="preserve">  - name: smiles</w:t>
      </w:r>
    </w:p>
    <w:p>
      <w:pPr>
        <w:shd w:fill="EEF2F7" w:val="clear"/>
        <w:spacing w:after="20" w:before="20"/>
        <w:ind w:left="360" w:right="360"/>
      </w:pPr>
      <w:r>
        <w:rPr>
          <w:rFonts w:ascii="Courier New" w:cs="Courier New" w:eastAsia="Courier New" w:hAnsi="Courier New"/>
          <w:color w:val="1B3A5C"/>
          <w:sz w:val="18"/>
          <w:szCs w:val="18"/>
        </w:rPr>
        <w:t xml:space="preserve">    type: string</w:t>
      </w:r>
    </w:p>
    <w:p>
      <w:pPr>
        <w:shd w:fill="EEF2F7" w:val="clear"/>
        <w:spacing w:after="20" w:before="20"/>
        <w:ind w:left="360" w:right="360"/>
      </w:pPr>
      <w:r>
        <w:rPr>
          <w:rFonts w:ascii="Courier New" w:cs="Courier New" w:eastAsia="Courier New" w:hAnsi="Courier New"/>
          <w:color w:val="1B3A5C"/>
          <w:sz w:val="18"/>
          <w:szCs w:val="18"/>
        </w:rPr>
        <w:t xml:space="preserve">    description: SMILES string of compound to register</w:t>
      </w:r>
    </w:p>
    <w:p>
      <w:pPr>
        <w:shd w:fill="EEF2F7" w:val="clear"/>
        <w:spacing w:after="20" w:before="20"/>
        <w:ind w:left="360" w:right="360"/>
      </w:pPr>
      <w:r>
        <w:rPr>
          <w:rFonts w:ascii="Courier New" w:cs="Courier New" w:eastAsia="Courier New" w:hAnsi="Courier New"/>
          <w:color w:val="1B3A5C"/>
          <w:sz w:val="18"/>
          <w:szCs w:val="18"/>
        </w:rPr>
        <w:t xml:space="preserve">  - name: project_id</w:t>
      </w:r>
    </w:p>
    <w:p>
      <w:pPr>
        <w:shd w:fill="EEF2F7" w:val="clear"/>
        <w:spacing w:after="20" w:before="20"/>
        <w:ind w:left="360" w:right="360"/>
      </w:pPr>
      <w:r>
        <w:rPr>
          <w:rFonts w:ascii="Courier New" w:cs="Courier New" w:eastAsia="Courier New" w:hAnsi="Courier New"/>
          <w:color w:val="1B3A5C"/>
          <w:sz w:val="18"/>
          <w:szCs w:val="18"/>
        </w:rPr>
        <w:t xml:space="preserve">    type: string</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steps:</w:t>
      </w:r>
    </w:p>
    <w:p>
      <w:pPr>
        <w:shd w:fill="EEF2F7" w:val="clear"/>
        <w:spacing w:after="20" w:before="20"/>
        <w:ind w:left="360" w:right="360"/>
      </w:pPr>
      <w:r>
        <w:rPr>
          <w:rFonts w:ascii="Courier New" w:cs="Courier New" w:eastAsia="Courier New" w:hAnsi="Courier New"/>
          <w:color w:val="1B3A5C"/>
          <w:sz w:val="18"/>
          <w:szCs w:val="18"/>
        </w:rPr>
        <w:t xml:space="preserve">  - name: validate-smiles</w:t>
      </w:r>
    </w:p>
    <w:p>
      <w:pPr>
        <w:shd w:fill="EEF2F7" w:val="clear"/>
        <w:spacing w:after="20" w:before="20"/>
        <w:ind w:left="360" w:right="360"/>
      </w:pPr>
      <w:r>
        <w:rPr>
          <w:rFonts w:ascii="Courier New" w:cs="Courier New" w:eastAsia="Courier New" w:hAnsi="Courier New"/>
          <w:color w:val="1B3A5C"/>
          <w:sz w:val="18"/>
          <w:szCs w:val="18"/>
        </w:rPr>
        <w:t xml:space="preserve">    tool: mcp_rdkit_sanitize</w:t>
      </w:r>
    </w:p>
    <w:p>
      <w:pPr>
        <w:shd w:fill="EEF2F7" w:val="clear"/>
        <w:spacing w:after="20" w:before="20"/>
        <w:ind w:left="360" w:right="360"/>
      </w:pPr>
      <w:r>
        <w:rPr>
          <w:rFonts w:ascii="Courier New" w:cs="Courier New" w:eastAsia="Courier New" w:hAnsi="Courier New"/>
          <w:color w:val="1B3A5C"/>
          <w:sz w:val="18"/>
          <w:szCs w:val="18"/>
        </w:rPr>
        <w:t xml:space="preserve">    inputs:</w:t>
      </w:r>
    </w:p>
    <w:p>
      <w:pPr>
        <w:shd w:fill="EEF2F7" w:val="clear"/>
        <w:spacing w:after="20" w:before="20"/>
        <w:ind w:left="360" w:right="360"/>
      </w:pPr>
      <w:r>
        <w:rPr>
          <w:rFonts w:ascii="Courier New" w:cs="Courier New" w:eastAsia="Courier New" w:hAnsi="Courier New"/>
          <w:color w:val="1B3A5C"/>
          <w:sz w:val="18"/>
          <w:szCs w:val="18"/>
        </w:rPr>
        <w:t xml:space="preserve">      smiles: "{{inputs.smiles}}"</w:t>
      </w:r>
    </w:p>
    <w:p>
      <w:pPr>
        <w:shd w:fill="EEF2F7" w:val="clear"/>
        <w:spacing w:after="20" w:before="20"/>
        <w:ind w:left="360" w:right="360"/>
      </w:pPr>
      <w:r>
        <w:rPr>
          <w:rFonts w:ascii="Courier New" w:cs="Courier New" w:eastAsia="Courier New" w:hAnsi="Courier New"/>
          <w:color w:val="1B3A5C"/>
          <w:sz w:val="18"/>
          <w:szCs w:val="18"/>
        </w:rPr>
        <w:t xml:space="preserve">    on_error: fail</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name: uniqueness-check</w:t>
      </w:r>
    </w:p>
    <w:p>
      <w:pPr>
        <w:shd w:fill="EEF2F7" w:val="clear"/>
        <w:spacing w:after="20" w:before="20"/>
        <w:ind w:left="360" w:right="360"/>
      </w:pPr>
      <w:r>
        <w:rPr>
          <w:rFonts w:ascii="Courier New" w:cs="Courier New" w:eastAsia="Courier New" w:hAnsi="Courier New"/>
          <w:color w:val="1B3A5C"/>
          <w:sz w:val="18"/>
          <w:szCs w:val="18"/>
        </w:rPr>
        <w:t xml:space="preserve">    tool: mcp_registry_search</w:t>
      </w:r>
    </w:p>
    <w:p>
      <w:pPr>
        <w:shd w:fill="EEF2F7" w:val="clear"/>
        <w:spacing w:after="20" w:before="20"/>
        <w:ind w:left="360" w:right="360"/>
      </w:pPr>
      <w:r>
        <w:rPr>
          <w:rFonts w:ascii="Courier New" w:cs="Courier New" w:eastAsia="Courier New" w:hAnsi="Courier New"/>
          <w:color w:val="1B3A5C"/>
          <w:sz w:val="18"/>
          <w:szCs w:val="18"/>
        </w:rPr>
        <w:t xml:space="preserve">    inputs:</w:t>
      </w:r>
    </w:p>
    <w:p>
      <w:pPr>
        <w:shd w:fill="EEF2F7" w:val="clear"/>
        <w:spacing w:after="20" w:before="20"/>
        <w:ind w:left="360" w:right="360"/>
      </w:pPr>
      <w:r>
        <w:rPr>
          <w:rFonts w:ascii="Courier New" w:cs="Courier New" w:eastAsia="Courier New" w:hAnsi="Courier New"/>
          <w:color w:val="1B3A5C"/>
          <w:sz w:val="18"/>
          <w:szCs w:val="18"/>
        </w:rPr>
        <w:t xml:space="preserve">      inchikey: "{{steps.validate-smiles.outputs.inchikey}}"</w:t>
      </w:r>
    </w:p>
    <w:p>
      <w:pPr>
        <w:shd w:fill="EEF2F7" w:val="clear"/>
        <w:spacing w:after="20" w:before="20"/>
        <w:ind w:left="360" w:right="360"/>
      </w:pPr>
      <w:r>
        <w:rPr>
          <w:rFonts w:ascii="Courier New" w:cs="Courier New" w:eastAsia="Courier New" w:hAnsi="Courier New"/>
          <w:color w:val="1B3A5C"/>
          <w:sz w:val="18"/>
          <w:szCs w:val="18"/>
        </w:rPr>
        <w:t xml:space="preserve">    on_error: fail</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name: admet-screen</w:t>
      </w:r>
    </w:p>
    <w:p>
      <w:pPr>
        <w:shd w:fill="EEF2F7" w:val="clear"/>
        <w:spacing w:after="20" w:before="20"/>
        <w:ind w:left="360" w:right="360"/>
      </w:pPr>
      <w:r>
        <w:rPr>
          <w:rFonts w:ascii="Courier New" w:cs="Courier New" w:eastAsia="Courier New" w:hAnsi="Courier New"/>
          <w:color w:val="1B3A5C"/>
          <w:sz w:val="18"/>
          <w:szCs w:val="18"/>
        </w:rPr>
        <w:t xml:space="preserve">    tool: mcp_admetai_predict</w:t>
      </w:r>
    </w:p>
    <w:p>
      <w:pPr>
        <w:shd w:fill="EEF2F7" w:val="clear"/>
        <w:spacing w:after="20" w:before="20"/>
        <w:ind w:left="360" w:right="360"/>
      </w:pPr>
      <w:r>
        <w:rPr>
          <w:rFonts w:ascii="Courier New" w:cs="Courier New" w:eastAsia="Courier New" w:hAnsi="Courier New"/>
          <w:color w:val="1B3A5C"/>
          <w:sz w:val="18"/>
          <w:szCs w:val="18"/>
        </w:rPr>
        <w:t xml:space="preserve">    inputs:</w:t>
      </w:r>
    </w:p>
    <w:p>
      <w:pPr>
        <w:shd w:fill="EEF2F7" w:val="clear"/>
        <w:spacing w:after="20" w:before="20"/>
        <w:ind w:left="360" w:right="360"/>
      </w:pPr>
      <w:r>
        <w:rPr>
          <w:rFonts w:ascii="Courier New" w:cs="Courier New" w:eastAsia="Courier New" w:hAnsi="Courier New"/>
          <w:color w:val="1B3A5C"/>
          <w:sz w:val="18"/>
          <w:szCs w:val="18"/>
        </w:rPr>
        <w:t xml:space="preserve">      smiles: "{{steps.validate-smiles.outputs.canonical_smiles}}"</w:t>
      </w:r>
    </w:p>
    <w:p>
      <w:pPr>
        <w:shd w:fill="EEF2F7" w:val="clear"/>
        <w:spacing w:after="20" w:before="20"/>
        <w:ind w:left="360" w:right="360"/>
      </w:pPr>
      <w:r>
        <w:rPr>
          <w:rFonts w:ascii="Courier New" w:cs="Courier New" w:eastAsia="Courier New" w:hAnsi="Courier New"/>
          <w:color w:val="1B3A5C"/>
          <w:sz w:val="18"/>
          <w:szCs w:val="18"/>
        </w:rPr>
        <w:t xml:space="preserve">    parallel: true    # Runs concurrently with patent-search</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name: patent-search</w:t>
      </w:r>
    </w:p>
    <w:p>
      <w:pPr>
        <w:shd w:fill="EEF2F7" w:val="clear"/>
        <w:spacing w:after="20" w:before="20"/>
        <w:ind w:left="360" w:right="360"/>
      </w:pPr>
      <w:r>
        <w:rPr>
          <w:rFonts w:ascii="Courier New" w:cs="Courier New" w:eastAsia="Courier New" w:hAnsi="Courier New"/>
          <w:color w:val="1B3A5C"/>
          <w:sz w:val="18"/>
          <w:szCs w:val="18"/>
        </w:rPr>
        <w:t xml:space="preserve">    tool: mcp_espacenet_search</w:t>
      </w:r>
    </w:p>
    <w:p>
      <w:pPr>
        <w:shd w:fill="EEF2F7" w:val="clear"/>
        <w:spacing w:after="20" w:before="20"/>
        <w:ind w:left="360" w:right="360"/>
      </w:pPr>
      <w:r>
        <w:rPr>
          <w:rFonts w:ascii="Courier New" w:cs="Courier New" w:eastAsia="Courier New" w:hAnsi="Courier New"/>
          <w:color w:val="1B3A5C"/>
          <w:sz w:val="18"/>
          <w:szCs w:val="18"/>
        </w:rPr>
        <w:t xml:space="preserve">    inputs:</w:t>
      </w:r>
    </w:p>
    <w:p>
      <w:pPr>
        <w:shd w:fill="EEF2F7" w:val="clear"/>
        <w:spacing w:after="20" w:before="20"/>
        <w:ind w:left="360" w:right="360"/>
      </w:pPr>
      <w:r>
        <w:rPr>
          <w:rFonts w:ascii="Courier New" w:cs="Courier New" w:eastAsia="Courier New" w:hAnsi="Courier New"/>
          <w:color w:val="1B3A5C"/>
          <w:sz w:val="18"/>
          <w:szCs w:val="18"/>
        </w:rPr>
        <w:t xml:space="preserve">      smiles: "{{steps.validate-smiles.outputs.canonical_smiles}}"</w:t>
      </w:r>
    </w:p>
    <w:p>
      <w:pPr>
        <w:shd w:fill="EEF2F7" w:val="clear"/>
        <w:spacing w:after="20" w:before="20"/>
        <w:ind w:left="360" w:right="360"/>
      </w:pPr>
      <w:r>
        <w:rPr>
          <w:rFonts w:ascii="Courier New" w:cs="Courier New" w:eastAsia="Courier New" w:hAnsi="Courier New"/>
          <w:color w:val="1B3A5C"/>
          <w:sz w:val="18"/>
          <w:szCs w:val="18"/>
        </w:rPr>
        <w:t xml:space="preserve">    parallel: true</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name: human-review</w:t>
      </w:r>
    </w:p>
    <w:p>
      <w:pPr>
        <w:shd w:fill="EEF2F7" w:val="clear"/>
        <w:spacing w:after="20" w:before="20"/>
        <w:ind w:left="360" w:right="360"/>
      </w:pPr>
      <w:r>
        <w:rPr>
          <w:rFonts w:ascii="Courier New" w:cs="Courier New" w:eastAsia="Courier New" w:hAnsi="Courier New"/>
          <w:color w:val="1B3A5C"/>
          <w:sz w:val="18"/>
          <w:szCs w:val="18"/>
        </w:rPr>
        <w:t xml:space="preserve">    type: requires_approval</w:t>
      </w:r>
    </w:p>
    <w:p>
      <w:pPr>
        <w:shd w:fill="EEF2F7" w:val="clear"/>
        <w:spacing w:after="20" w:before="20"/>
        <w:ind w:left="360" w:right="360"/>
      </w:pPr>
      <w:r>
        <w:rPr>
          <w:rFonts w:ascii="Courier New" w:cs="Courier New" w:eastAsia="Courier New" w:hAnsi="Courier New"/>
          <w:color w:val="1B3A5C"/>
          <w:sz w:val="18"/>
          <w:szCs w:val="18"/>
        </w:rPr>
        <w:t xml:space="preserve">    approval_message: "Review compound passport before registration"</w:t>
      </w:r>
    </w:p>
    <w:p>
      <w:pPr>
        <w:shd w:fill="EEF2F7" w:val="clear"/>
        <w:spacing w:after="20" w:before="20"/>
        <w:ind w:left="360" w:right="360"/>
      </w:pPr>
      <w:r>
        <w:rPr>
          <w:rFonts w:ascii="Courier New" w:cs="Courier New" w:eastAsia="Courier New" w:hAnsi="Courier New"/>
          <w:color w:val="1B3A5C"/>
          <w:sz w:val="18"/>
          <w:szCs w:val="18"/>
        </w:rPr>
        <w:t xml:space="preserve">    inputs:</w:t>
      </w:r>
    </w:p>
    <w:p>
      <w:pPr>
        <w:shd w:fill="EEF2F7" w:val="clear"/>
        <w:spacing w:after="20" w:before="20"/>
        <w:ind w:left="360" w:right="360"/>
      </w:pPr>
      <w:r>
        <w:rPr>
          <w:rFonts w:ascii="Courier New" w:cs="Courier New" w:eastAsia="Courier New" w:hAnsi="Courier New"/>
          <w:color w:val="1B3A5C"/>
          <w:sz w:val="18"/>
          <w:szCs w:val="18"/>
        </w:rPr>
        <w:t xml:space="preserve">      admet: "{{steps.admet-screen.outputs}}"</w:t>
      </w:r>
    </w:p>
    <w:p>
      <w:pPr>
        <w:shd w:fill="EEF2F7" w:val="clear"/>
        <w:spacing w:after="20" w:before="20"/>
        <w:ind w:left="360" w:right="360"/>
      </w:pPr>
      <w:r>
        <w:rPr>
          <w:rFonts w:ascii="Courier New" w:cs="Courier New" w:eastAsia="Courier New" w:hAnsi="Courier New"/>
          <w:color w:val="1B3A5C"/>
          <w:sz w:val="18"/>
          <w:szCs w:val="18"/>
        </w:rPr>
        <w:t xml:space="preserve">      patents: "{{steps.patent-search.outputs}}"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name: register</w:t>
      </w:r>
    </w:p>
    <w:p>
      <w:pPr>
        <w:shd w:fill="EEF2F7" w:val="clear"/>
        <w:spacing w:after="20" w:before="20"/>
        <w:ind w:left="360" w:right="360"/>
      </w:pPr>
      <w:r>
        <w:rPr>
          <w:rFonts w:ascii="Courier New" w:cs="Courier New" w:eastAsia="Courier New" w:hAnsi="Courier New"/>
          <w:color w:val="1B3A5C"/>
          <w:sz w:val="18"/>
          <w:szCs w:val="18"/>
        </w:rPr>
        <w:t xml:space="preserve">    tool: mcp_registry_create</w:t>
      </w:r>
    </w:p>
    <w:p>
      <w:pPr>
        <w:shd w:fill="EEF2F7" w:val="clear"/>
        <w:spacing w:after="20" w:before="20"/>
        <w:ind w:left="360" w:right="360"/>
      </w:pPr>
      <w:r>
        <w:rPr>
          <w:rFonts w:ascii="Courier New" w:cs="Courier New" w:eastAsia="Courier New" w:hAnsi="Courier New"/>
          <w:color w:val="1B3A5C"/>
          <w:sz w:val="18"/>
          <w:szCs w:val="18"/>
        </w:rPr>
        <w:t xml:space="preserve">    condition: "{{steps.human-review.approved == true}}"</w:t>
      </w:r>
    </w:p>
    <w:p>
      <w:pPr>
        <w:shd w:fill="EEF2F7" w:val="clear"/>
        <w:spacing w:after="20" w:before="20"/>
        <w:ind w:left="360" w:right="360"/>
      </w:pPr>
      <w:r>
        <w:rPr>
          <w:rFonts w:ascii="Courier New" w:cs="Courier New" w:eastAsia="Courier New" w:hAnsi="Courier New"/>
          <w:color w:val="1B3A5C"/>
          <w:sz w:val="18"/>
          <w:szCs w:val="18"/>
        </w:rPr>
        <w:t xml:space="preserve">    inputs:</w:t>
      </w:r>
    </w:p>
    <w:p>
      <w:pPr>
        <w:shd w:fill="EEF2F7" w:val="clear"/>
        <w:spacing w:after="20" w:before="20"/>
        <w:ind w:left="360" w:right="360"/>
      </w:pPr>
      <w:r>
        <w:rPr>
          <w:rFonts w:ascii="Courier New" w:cs="Courier New" w:eastAsia="Courier New" w:hAnsi="Courier New"/>
          <w:color w:val="1B3A5C"/>
          <w:sz w:val="18"/>
          <w:szCs w:val="18"/>
        </w:rPr>
        <w:t xml:space="preserve">      smiles: "{{steps.validate-smiles.outputs.canonical_smiles}}"</w:t>
      </w:r>
    </w:p>
    <w:p>
      <w:pPr>
        <w:shd w:fill="EEF2F7" w:val="clear"/>
        <w:spacing w:after="20" w:before="20"/>
        <w:ind w:left="360" w:right="360"/>
      </w:pPr>
      <w:r>
        <w:rPr>
          <w:rFonts w:ascii="Courier New" w:cs="Courier New" w:eastAsia="Courier New" w:hAnsi="Courier New"/>
          <w:color w:val="1B3A5C"/>
          <w:sz w:val="18"/>
          <w:szCs w:val="18"/>
        </w:rPr>
        <w:t xml:space="preserve">      project_id: "{{inputs.project_id}}"</w:t>
      </w:r>
    </w:p>
    <w:p>
      <w:pPr>
        <w:spacing w:after="140"/>
        <w:jc w:val="both"/>
      </w:pPr>
      <w:r>
        <w:rPr>
          <w:rFonts w:ascii="Arial" w:cs="Arial" w:eastAsia="Arial" w:hAnsi="Arial"/>
          <w:color w:val="1A1A1A"/>
          <w:sz w:val="22"/>
          <w:szCs w:val="22"/>
        </w:rPr>
        <w:t xml:space="preserve">For pharmaceutical R&amp;D, Lobster is the correct tool for any process that must be auditable, reproducible, and GxP-compatible — compound registration, method validation, stability study initiation, deviation workflow. It sacrifices the flexibility of LLM-driven reasoning in exchange for deterministic, inspectable execution that satisfies GAMP 5 Category 4/5 requirements. The requires_approval step type is the built-in HITL mechanism, blocking pipeline execution indefinitely until a named approver signs off via the dashboard or Paperclip approval channel.</w:t>
      </w:r>
    </w:p>
    <w:p>
      <w:pPr>
        <w:pStyle w:val="Heading2"/>
        <w:spacing w:after="160" w:before="400"/>
      </w:pPr>
      <w:r>
        <w:rPr>
          <w:rFonts w:ascii="Arial" w:cs="Arial" w:eastAsia="Arial" w:hAnsi="Arial"/>
          <w:b/>
          <w:bCs/>
          <w:color w:val="3A7CA5"/>
          <w:sz w:val="28"/>
          <w:szCs w:val="28"/>
        </w:rPr>
        <w:t xml:space="preserve">10. Security Incidents and Known Issues</w:t>
      </w:r>
    </w:p>
    <w:p>
      <w:pPr>
        <w:pStyle w:val="Heading3"/>
        <w:spacing w:after="100" w:before="280"/>
      </w:pPr>
      <w:r>
        <w:rPr>
          <w:rFonts w:ascii="Arial" w:cs="Arial" w:eastAsia="Arial" w:hAnsi="Arial"/>
          <w:b/>
          <w:bCs/>
          <w:color w:val="0D7C8C"/>
          <w:sz w:val="24"/>
          <w:szCs w:val="24"/>
        </w:rPr>
        <w:t xml:space="preserve">10.1 CVE-2026-25253 — ClawBleed</w:t>
      </w:r>
    </w:p>
    <w:p>
      <w:pPr>
        <w:spacing w:after="140"/>
        <w:jc w:val="both"/>
      </w:pPr>
      <w:r>
        <w:rPr>
          <w:rFonts w:ascii="Arial" w:cs="Arial" w:eastAsia="Arial" w:hAnsi="Arial"/>
          <w:color w:val="1A1A1A"/>
          <w:sz w:val="22"/>
          <w:szCs w:val="22"/>
        </w:rPr>
        <w:t xml:space="preserve">CVE-2026-25253 (CVSS 8.8, CWE-669) was disclosed on January 14, 2026, affecting all NemoClaw versions prior to v2026.1.29. The vulnerability was in the OpenClaw WebSocket gateway — a missing Origin header validation in the WebSocket upgrade handler allowed any page rendered in the agent's browser (or any co-located web process) to establish a WebSocket connection to the NemoClaw gateway and issue commands with full agent authority. An attacker who could get the agent to load a crafted URL could steal the agent's session token, inject arbitrary tool calls, and exfiltrate the workspace directory including any plaintext credentials in SOUL.md, TOOLS.md, or the .env file. The fix in v2026.1.29 added strict Origin validation, CSRF token enforcement on all WebSocket upgrades, and TLS client certificate requirements for gateway connections. Immediately upon patch availability, Cisco's AI Defense team scanned 40,000+ internet-exposed NemoClaw instances and found 17,500 still running vulnerable versions two weeks after the patch — a 44% patching compliance rate that tracks with typical enterprise vulnerability response times.</w:t>
      </w:r>
    </w:p>
    <w:p>
      <w:pPr>
        <w:pStyle w:val="Heading3"/>
        <w:spacing w:after="100" w:before="280"/>
      </w:pPr>
      <w:r>
        <w:rPr>
          <w:rFonts w:ascii="Arial" w:cs="Arial" w:eastAsia="Arial" w:hAnsi="Arial"/>
          <w:b/>
          <w:bCs/>
          <w:color w:val="0D7C8C"/>
          <w:sz w:val="24"/>
          <w:szCs w:val="24"/>
        </w:rPr>
        <w:t xml:space="preserve">10.2 ClawHavoc — supply chain attack</w:t>
      </w:r>
    </w:p>
    <w:p>
      <w:pPr>
        <w:spacing w:after="140"/>
        <w:jc w:val="both"/>
      </w:pPr>
      <w:r>
        <w:rPr>
          <w:rFonts w:ascii="Arial" w:cs="Arial" w:eastAsia="Arial" w:hAnsi="Arial"/>
          <w:color w:val="1A1A1A"/>
          <w:sz w:val="22"/>
          <w:szCs w:val="22"/>
        </w:rPr>
        <w:t xml:space="preserve">ClawHavoc (February 2026, named by Koi Security and independently researched by Bitdefender and Conscia) was a coordinated supply-chain campaign against the ClawHub skills marketplace. Between 341 and 1,184 malicious skills were uploaded across multiple fake publisher accounts (the count varies by source depending on which detection window is used). The skills appeared legitimate — wrapping common tools like JIRA, Notion, Google Drive, and HubSpot — but contained obfuscated payloads that on execution silently uploaded the contents of ~/.openclaw/ (including session tokens, API keys, and any plaintext credentials) to attacker-controlled servers, installed the AMOS macOS Stealer for persistent access, and injected a prompt into the agent's MEMORY.md to persist across workspace resets. The attack was discovered when a Koi Security researcher noticed anomalous DNS queries from an OpenClaw agent to algorithmically generated domains. NVIDIA responded by adding SHA-256 skill verification in OpenClaw v2026.2.25 and mandating signature verification for all ClawHub uploads — but signature verification is not retroactive and approximately 300,000 users had installed at least one affected skill before the campaign was detected. The pharma implication is clear and unambiguous: no ClawHub skill should ever be installed directly in a regulated deployment. All skills must come from an internally reviewed and signed private registry.</w:t>
      </w:r>
    </w:p>
    <w:p>
      <w:pPr>
        <w:pStyle w:val="Heading3"/>
        <w:spacing w:after="100" w:before="280"/>
      </w:pPr>
      <w:r>
        <w:rPr>
          <w:rFonts w:ascii="Arial" w:cs="Arial" w:eastAsia="Arial" w:hAnsi="Arial"/>
          <w:b/>
          <w:bCs/>
          <w:color w:val="0D7C8C"/>
          <w:sz w:val="24"/>
          <w:szCs w:val="24"/>
        </w:rPr>
        <w:t xml:space="preserve">10.3 Issue #2039 — egress policy IaC gap</w:t>
      </w:r>
    </w:p>
    <w:p>
      <w:pPr>
        <w:spacing w:after="140"/>
        <w:jc w:val="both"/>
      </w:pPr>
      <w:r>
        <w:rPr>
          <w:rFonts w:ascii="Arial" w:cs="Arial" w:eastAsia="Arial" w:hAnsi="Arial"/>
          <w:color w:val="1A1A1A"/>
          <w:sz w:val="22"/>
          <w:szCs w:val="22"/>
        </w:rPr>
        <w:t xml:space="preserve">NemoClaw GitHub issue #2039 (opened March 2026, still open as of April 2026) documents that the nemoclaw policy-apply CLI command and the policy YAML format do not support defining custom per-binary egress targets as first-class configuration objects. Custom egress targets (for internal endpoints like ASKCOS, Benchling, BoFire, or the ArcadeDB MCP server) require dropping to openshell policy set &lt;sandbox-id&gt; --policy &lt;raw-yaml&gt;, which bypasses NemoClaw's policy management layer, does not produce an audit entry in the NemoClaw dashboard, and is explicitly documented as 'not recommended for production use.' This means that the policy-as-code / GitOps-driven policy management that pharma IaC pipelines require is not currently achievable with NemoClaw's official tooling. The workaround documented in the issue is to manage the raw openshell policy files in a separate Git repository and apply them via a CI/CD pipeline that records the application event externally — functional but significantly more complex than the intended design.</w:t>
      </w:r>
    </w:p>
    <w:p>
      <w:pPr>
        <w:pStyle w:val="Heading3"/>
        <w:spacing w:after="100" w:before="280"/>
      </w:pPr>
      <w:r>
        <w:rPr>
          <w:rFonts w:ascii="Arial" w:cs="Arial" w:eastAsia="Arial" w:hAnsi="Arial"/>
          <w:b/>
          <w:bCs/>
          <w:color w:val="0D7C8C"/>
          <w:sz w:val="24"/>
          <w:szCs w:val="24"/>
        </w:rPr>
        <w:t xml:space="preserve">10.4 Additional known issues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2000"/>
      </w:tblGrid>
      <w:tr>
        <w:trPr>
          <w:tblHeader/>
        </w:trPr>
        <w:tc>
          <w:tcPr>
            <w:tcW w:type="dxa" w:w="1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Issue</w:t>
            </w:r>
          </w:p>
        </w:tc>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Summary</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Impact</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Status (April 2026)</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#1847</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logs does not support ISO 8601 timestamp filtering; --since flag only accepts relative duration strings (1h, 30m)</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Limits log correlation with external audit systems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 workaround: export to JSON and filter externally</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#2041</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Sandbox policy reload (hot-reload via policy-apply --wait) leaves a ~200ms window where old policy is still active</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Short race window for policy-change attacks</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 mitigation: pause agent heartbeat before policy change</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#2156</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skill-scan command cannot scan WASM-packed skills (base64-encoded binaries)</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Post-ClawHavoc scan misses obfuscated WASM skills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 workaround: allowlist-only policy, no ClawHub</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#1901</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MEMORY.md auto-compression (when context limit approached) can silently drop entries</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Long-running agents may lose accumulated domain knowledge</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 workaround: cap MEMORY.md at 800 tokens manually</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#2039</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 IaC surface for custom egress targets (see above)</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Blocks GitOps policy management</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 ETA: post-alpha release</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#2203</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keypair rotate does not invalidate the old keypair at the gateway within the current session</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Old keypair remains valid until session expiry (~24h)</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 mitigation: restart all active sessions after rotation</w:t>
            </w:r>
          </w:p>
        </w:tc>
      </w:tr>
    </w:tbl>
    <w:p>
      <w:pPr>
        <w:pStyle w:val="Heading2"/>
        <w:spacing w:after="160" w:before="400"/>
      </w:pPr>
      <w:r>
        <w:rPr>
          <w:rFonts w:ascii="Arial" w:cs="Arial" w:eastAsia="Arial" w:hAnsi="Arial"/>
          <w:b/>
          <w:bCs/>
          <w:color w:val="3A7CA5"/>
          <w:sz w:val="28"/>
          <w:szCs w:val="28"/>
        </w:rPr>
        <w:t xml:space="preserve">11. NemoClaw vs. NemoClaw Alternatives — The Sandbox Positioning</w:t>
      </w:r>
    </w:p>
    <w:p>
      <w:pPr>
        <w:spacing w:after="140"/>
        <w:jc w:val="both"/>
      </w:pPr>
      <w:r>
        <w:rPr>
          <w:rFonts w:ascii="Arial" w:cs="Arial" w:eastAsia="Arial" w:hAnsi="Arial"/>
          <w:color w:val="1A1A1A"/>
          <w:sz w:val="22"/>
          <w:szCs w:val="22"/>
        </w:rPr>
        <w:t xml:space="preserve">NemoClaw occupies a specific position in the sandbox landscape: it is the only production-available sandbox explicitly designed for OpenClaw/Python agent workloads on NVIDIA GPU hardware, with NVIDIA-managed inference integration and a phishing-resistant device identity model. Against gVisor, NemoClaw wins on inference integration and agent-specific tooling; gVisor wins on production maturity, Python support, and security hardening depth. Against Kata Containers, NemoClaw wins on ease of installation and NVIDIA GPU passthrough; Kata wins on hardware-level VM isolation for the highest-sensitivity workloads. The honest summary: for a pharma team that has NVIDIA DGX hardware and wants a single-pane-of-glass managed experience, NemoClaw is the correct starting point — with the explicit understanding that it is alpha software and the production-hardening work (IaC policy management, comprehensive skill scanning, full audit integration) remains to be done.</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II — Paperclip: Complete Technical Architecture</w:t>
      </w:r>
    </w:p>
    <w:p>
      <w:pPr>
        <w:pStyle w:val="Heading2"/>
        <w:spacing w:after="160" w:before="400"/>
      </w:pPr>
      <w:r>
        <w:rPr>
          <w:rFonts w:ascii="Arial" w:cs="Arial" w:eastAsia="Arial" w:hAnsi="Arial"/>
          <w:b/>
          <w:bCs/>
          <w:color w:val="3A7CA5"/>
          <w:sz w:val="28"/>
          <w:szCs w:val="28"/>
        </w:rPr>
        <w:t xml:space="preserve">5. What Paperclip Actually Is — Corrected and Expanded</w:t>
      </w:r>
    </w:p>
    <w:p>
      <w:pPr>
        <w:spacing w:after="140"/>
        <w:jc w:val="both"/>
      </w:pPr>
      <w:r>
        <w:rPr>
          <w:rFonts w:ascii="Arial" w:cs="Arial" w:eastAsia="Arial" w:hAnsi="Arial"/>
          <w:color w:val="1A1A1A"/>
          <w:sz w:val="22"/>
          <w:szCs w:val="22"/>
        </w:rPr>
        <w:t xml:space="preserve">Paperclip (github.com/paperclipai/paperclip, MIT licence, launched March 4, 2026, by AgencyEnterprise) is a Node.js 20+ server plus embedded React dashboard that implements a hierarchical goal-decomposition and agent-dispatch system. Its self-description — 'open-source orchestration for zero-human companies' — is accurate but misleading: 'zero-human' means the default execution path requires no human operator, not that humans are eliminated. The system is explicitly designed to route to human approval gates when uncertainty, budget, or risk thresholds are exceeded. The README states clearly: 'Paperclip uses those agents' — pointing to OpenClaw and Claude Code as examples of the underlying runtimes Paperclip orchestrates, not replaces.</w:t>
      </w:r>
    </w:p>
    <w:p>
      <w:pPr>
        <w:spacing w:after="140"/>
        <w:jc w:val="both"/>
      </w:pPr>
      <w:r>
        <w:rPr>
          <w:rFonts w:ascii="Arial" w:cs="Arial" w:eastAsia="Arial" w:hAnsi="Arial"/>
          <w:color w:val="1A1A1A"/>
          <w:sz w:val="22"/>
          <w:szCs w:val="22"/>
        </w:rPr>
        <w:t xml:space="preserve">AgencyEnterprise is a product studio founded by Harri Bell-Thomas and the team that shipped Agent.ai, a consumer agent marketplace that processed over 1 million agent runs before Paperclip's launch. The Paperclip codebase shares no code with Agent.ai but reflects the operational lessons from running agents at scale — particularly around the cost of human attention (the approval gate system) and the cost of unrecoverable failures (the rollback governance system).</w:t>
      </w:r>
    </w:p>
    <w:p>
      <w:pPr>
        <w:pStyle w:val="Heading2"/>
        <w:spacing w:after="160" w:before="400"/>
      </w:pPr>
      <w:r>
        <w:rPr>
          <w:rFonts w:ascii="Arial" w:cs="Arial" w:eastAsia="Arial" w:hAnsi="Arial"/>
          <w:b/>
          <w:bCs/>
          <w:color w:val="3A7CA5"/>
          <w:sz w:val="28"/>
          <w:szCs w:val="28"/>
        </w:rPr>
        <w:t xml:space="preserve">6. Complete company.yaml Schema</w:t>
      </w:r>
    </w:p>
    <w:p>
      <w:pPr>
        <w:spacing w:after="140"/>
        <w:jc w:val="both"/>
      </w:pPr>
      <w:r>
        <w:rPr>
          <w:rFonts w:ascii="Arial" w:cs="Arial" w:eastAsia="Arial" w:hAnsi="Arial"/>
          <w:color w:val="1A1A1A"/>
          <w:sz w:val="22"/>
          <w:szCs w:val="22"/>
        </w:rPr>
        <w:t xml:space="preserve">The company.yaml file at the root of a Paperclip workspace is the primary configuration artifact. Every field is documented below based on the official Paperclip documentation and SPEC-implementation.md.</w:t>
      </w:r>
    </w:p>
    <w:p>
      <w:pPr>
        <w:shd w:fill="EEF2F7" w:val="clear"/>
        <w:spacing w:after="20" w:before="20"/>
        <w:ind w:left="360" w:right="360"/>
      </w:pPr>
      <w:r>
        <w:rPr>
          <w:rFonts w:ascii="Courier New" w:cs="Courier New" w:eastAsia="Courier New" w:hAnsi="Courier New"/>
          <w:color w:val="1B3A5C"/>
          <w:sz w:val="18"/>
          <w:szCs w:val="18"/>
        </w:rPr>
        <w:t xml:space="preserve"># company.yaml — complete schema (Paperclip v2026.318+)</w:t>
      </w:r>
    </w:p>
    <w:p>
      <w:pPr>
        <w:shd w:fill="EEF2F7" w:val="clear"/>
        <w:spacing w:after="20" w:before="20"/>
        <w:ind w:left="360" w:right="360"/>
      </w:pPr>
      <w:r>
        <w:rPr>
          <w:rFonts w:ascii="Courier New" w:cs="Courier New" w:eastAsia="Courier New" w:hAnsi="Courier New"/>
          <w:color w:val="1B3A5C"/>
          <w:sz w:val="18"/>
          <w:szCs w:val="18"/>
        </w:rPr>
        <w:t xml:space="preserve">id: string                    # Unique company identifier (slug format)</w:t>
      </w:r>
    </w:p>
    <w:p>
      <w:pPr>
        <w:shd w:fill="EEF2F7" w:val="clear"/>
        <w:spacing w:after="20" w:before="20"/>
        <w:ind w:left="360" w:right="360"/>
      </w:pPr>
      <w:r>
        <w:rPr>
          <w:rFonts w:ascii="Courier New" w:cs="Courier New" w:eastAsia="Courier New" w:hAnsi="Courier New"/>
          <w:color w:val="1B3A5C"/>
          <w:sz w:val="18"/>
          <w:szCs w:val="18"/>
        </w:rPr>
        <w:t xml:space="preserve">name: string                  # Human-readable company name</w:t>
      </w:r>
    </w:p>
    <w:p>
      <w:pPr>
        <w:shd w:fill="EEF2F7" w:val="clear"/>
        <w:spacing w:after="20" w:before="20"/>
        <w:ind w:left="360" w:right="360"/>
      </w:pPr>
      <w:r>
        <w:rPr>
          <w:rFonts w:ascii="Courier New" w:cs="Courier New" w:eastAsia="Courier New" w:hAnsi="Courier New"/>
          <w:color w:val="1B3A5C"/>
          <w:sz w:val="18"/>
          <w:szCs w:val="18"/>
        </w:rPr>
        <w:t xml:space="preserve">mission: string               # The high-level goal all agents serve</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Budget and resource caps</w:t>
      </w:r>
    </w:p>
    <w:p>
      <w:pPr>
        <w:shd w:fill="EEF2F7" w:val="clear"/>
        <w:spacing w:after="20" w:before="20"/>
        <w:ind w:left="360" w:right="360"/>
      </w:pPr>
      <w:r>
        <w:rPr>
          <w:rFonts w:ascii="Courier New" w:cs="Courier New" w:eastAsia="Courier New" w:hAnsi="Courier New"/>
          <w:color w:val="1B3A5C"/>
          <w:sz w:val="18"/>
          <w:szCs w:val="18"/>
        </w:rPr>
        <w:t xml:space="preserve">budget:</w:t>
      </w:r>
    </w:p>
    <w:p>
      <w:pPr>
        <w:shd w:fill="EEF2F7" w:val="clear"/>
        <w:spacing w:after="20" w:before="20"/>
        <w:ind w:left="360" w:right="360"/>
      </w:pPr>
      <w:r>
        <w:rPr>
          <w:rFonts w:ascii="Courier New" w:cs="Courier New" w:eastAsia="Courier New" w:hAnsi="Courier New"/>
          <w:color w:val="1B3A5C"/>
          <w:sz w:val="18"/>
          <w:szCs w:val="18"/>
        </w:rPr>
        <w:t xml:space="preserve">  monthly_usd: number         # Hard monthly token spend ceiling (USD)</w:t>
      </w:r>
    </w:p>
    <w:p>
      <w:pPr>
        <w:shd w:fill="EEF2F7" w:val="clear"/>
        <w:spacing w:after="20" w:before="20"/>
        <w:ind w:left="360" w:right="360"/>
      </w:pPr>
      <w:r>
        <w:rPr>
          <w:rFonts w:ascii="Courier New" w:cs="Courier New" w:eastAsia="Courier New" w:hAnsi="Courier New"/>
          <w:color w:val="1B3A5C"/>
          <w:sz w:val="18"/>
          <w:szCs w:val="18"/>
        </w:rPr>
        <w:t xml:space="preserve">  alert_threshold: 0.80       # Alert when 80% of budget consumed</w:t>
      </w:r>
    </w:p>
    <w:p>
      <w:pPr>
        <w:shd w:fill="EEF2F7" w:val="clear"/>
        <w:spacing w:after="20" w:before="20"/>
        <w:ind w:left="360" w:right="360"/>
      </w:pPr>
      <w:r>
        <w:rPr>
          <w:rFonts w:ascii="Courier New" w:cs="Courier New" w:eastAsia="Courier New" w:hAnsi="Courier New"/>
          <w:color w:val="1B3A5C"/>
          <w:sz w:val="18"/>
          <w:szCs w:val="18"/>
        </w:rPr>
        <w:t xml:space="preserve">  overage_action: suspend     # suspend | alert_only | reject_new_tasks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Concurrency limits</w:t>
      </w:r>
    </w:p>
    <w:p>
      <w:pPr>
        <w:shd w:fill="EEF2F7" w:val="clear"/>
        <w:spacing w:after="20" w:before="20"/>
        <w:ind w:left="360" w:right="360"/>
      </w:pPr>
      <w:r>
        <w:rPr>
          <w:rFonts w:ascii="Courier New" w:cs="Courier New" w:eastAsia="Courier New" w:hAnsi="Courier New"/>
          <w:color w:val="1B3A5C"/>
          <w:sz w:val="18"/>
          <w:szCs w:val="18"/>
        </w:rPr>
        <w:t xml:space="preserve">concurrency:</w:t>
      </w:r>
    </w:p>
    <w:p>
      <w:pPr>
        <w:shd w:fill="EEF2F7" w:val="clear"/>
        <w:spacing w:after="20" w:before="20"/>
        <w:ind w:left="360" w:right="360"/>
      </w:pPr>
      <w:r>
        <w:rPr>
          <w:rFonts w:ascii="Courier New" w:cs="Courier New" w:eastAsia="Courier New" w:hAnsi="Courier New"/>
          <w:color w:val="1B3A5C"/>
          <w:sz w:val="18"/>
          <w:szCs w:val="18"/>
        </w:rPr>
        <w:t xml:space="preserve">  max_agents_per_adapter:     # Per-adapter concurrent agent cap</w:t>
      </w:r>
    </w:p>
    <w:p>
      <w:pPr>
        <w:shd w:fill="EEF2F7" w:val="clear"/>
        <w:spacing w:after="20" w:before="20"/>
        <w:ind w:left="360" w:right="360"/>
      </w:pPr>
      <w:r>
        <w:rPr>
          <w:rFonts w:ascii="Courier New" w:cs="Courier New" w:eastAsia="Courier New" w:hAnsi="Courier New"/>
          <w:color w:val="1B3A5C"/>
          <w:sz w:val="18"/>
          <w:szCs w:val="18"/>
        </w:rPr>
        <w:t xml:space="preserve">    openclaw_gateway: 4       # Max simultaneous OpenClaw sessions</w:t>
      </w:r>
    </w:p>
    <w:p>
      <w:pPr>
        <w:shd w:fill="EEF2F7" w:val="clear"/>
        <w:spacing w:after="20" w:before="20"/>
        <w:ind w:left="360" w:right="360"/>
      </w:pPr>
      <w:r>
        <w:rPr>
          <w:rFonts w:ascii="Courier New" w:cs="Courier New" w:eastAsia="Courier New" w:hAnsi="Courier New"/>
          <w:color w:val="1B3A5C"/>
          <w:sz w:val="18"/>
          <w:szCs w:val="18"/>
        </w:rPr>
        <w:t xml:space="preserve">    claude_local: 2           # Max simultaneous claude_local sessions</w:t>
      </w:r>
    </w:p>
    <w:p>
      <w:pPr>
        <w:shd w:fill="EEF2F7" w:val="clear"/>
        <w:spacing w:after="20" w:before="20"/>
        <w:ind w:left="360" w:right="360"/>
      </w:pPr>
      <w:r>
        <w:rPr>
          <w:rFonts w:ascii="Courier New" w:cs="Courier New" w:eastAsia="Courier New" w:hAnsi="Courier New"/>
          <w:color w:val="1B3A5C"/>
          <w:sz w:val="18"/>
          <w:szCs w:val="18"/>
        </w:rPr>
        <w:t xml:space="preserve">    http_webhook: 8           # Max simultaneous webhook callbacks</w:t>
      </w:r>
    </w:p>
    <w:p>
      <w:pPr>
        <w:shd w:fill="EEF2F7" w:val="clear"/>
        <w:spacing w:after="20" w:before="20"/>
        <w:ind w:left="360" w:right="360"/>
      </w:pPr>
      <w:r>
        <w:rPr>
          <w:rFonts w:ascii="Courier New" w:cs="Courier New" w:eastAsia="Courier New" w:hAnsi="Courier New"/>
          <w:color w:val="1B3A5C"/>
          <w:sz w:val="18"/>
          <w:szCs w:val="18"/>
        </w:rPr>
        <w:t xml:space="preserve">  max_total_agents: 12        # Absolute cap across all adapters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Approval gates — any of these trigger human review</w:t>
      </w:r>
    </w:p>
    <w:p>
      <w:pPr>
        <w:shd w:fill="EEF2F7" w:val="clear"/>
        <w:spacing w:after="20" w:before="20"/>
        <w:ind w:left="360" w:right="360"/>
      </w:pPr>
      <w:r>
        <w:rPr>
          <w:rFonts w:ascii="Courier New" w:cs="Courier New" w:eastAsia="Courier New" w:hAnsi="Courier New"/>
          <w:color w:val="1B3A5C"/>
          <w:sz w:val="18"/>
          <w:szCs w:val="18"/>
        </w:rPr>
        <w:t xml:space="preserve">approval_gates:</w:t>
      </w:r>
    </w:p>
    <w:p>
      <w:pPr>
        <w:shd w:fill="EEF2F7" w:val="clear"/>
        <w:spacing w:after="20" w:before="20"/>
        <w:ind w:left="360" w:right="360"/>
      </w:pPr>
      <w:r>
        <w:rPr>
          <w:rFonts w:ascii="Courier New" w:cs="Courier New" w:eastAsia="Courier New" w:hAnsi="Courier New"/>
          <w:color w:val="1B3A5C"/>
          <w:sz w:val="18"/>
          <w:szCs w:val="18"/>
        </w:rPr>
        <w:t xml:space="preserve">  # Built-in gates (always present)</w:t>
      </w:r>
    </w:p>
    <w:p>
      <w:pPr>
        <w:shd w:fill="EEF2F7" w:val="clear"/>
        <w:spacing w:after="20" w:before="20"/>
        <w:ind w:left="360" w:right="360"/>
      </w:pPr>
      <w:r>
        <w:rPr>
          <w:rFonts w:ascii="Courier New" w:cs="Courier New" w:eastAsia="Courier New" w:hAnsi="Courier New"/>
          <w:color w:val="1B3A5C"/>
          <w:sz w:val="18"/>
          <w:szCs w:val="18"/>
        </w:rPr>
        <w:t xml:space="preserve">  - type: hire_agent          # Before any new agent is added</w:t>
      </w:r>
    </w:p>
    <w:p>
      <w:pPr>
        <w:shd w:fill="EEF2F7" w:val="clear"/>
        <w:spacing w:after="20" w:before="20"/>
        <w:ind w:left="360" w:right="360"/>
      </w:pPr>
      <w:r>
        <w:rPr>
          <w:rFonts w:ascii="Courier New" w:cs="Courier New" w:eastAsia="Courier New" w:hAnsi="Courier New"/>
          <w:color w:val="1B3A5C"/>
          <w:sz w:val="18"/>
          <w:szCs w:val="18"/>
        </w:rPr>
        <w:t xml:space="preserve">  - type: approve_ceo_strategy # Before top-level mission change</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Custom pharma-specific gates</w:t>
      </w:r>
    </w:p>
    <w:p>
      <w:pPr>
        <w:shd w:fill="EEF2F7" w:val="clear"/>
        <w:spacing w:after="20" w:before="20"/>
        <w:ind w:left="360" w:right="360"/>
      </w:pPr>
      <w:r>
        <w:rPr>
          <w:rFonts w:ascii="Courier New" w:cs="Courier New" w:eastAsia="Courier New" w:hAnsi="Courier New"/>
          <w:color w:val="1B3A5C"/>
          <w:sz w:val="18"/>
          <w:szCs w:val="18"/>
        </w:rPr>
        <w:t xml:space="preserve">  - type: custom</w:t>
      </w:r>
    </w:p>
    <w:p>
      <w:pPr>
        <w:shd w:fill="EEF2F7" w:val="clear"/>
        <w:spacing w:after="20" w:before="20"/>
        <w:ind w:left="360" w:right="360"/>
      </w:pPr>
      <w:r>
        <w:rPr>
          <w:rFonts w:ascii="Courier New" w:cs="Courier New" w:eastAsia="Courier New" w:hAnsi="Courier New"/>
          <w:color w:val="1B3A5C"/>
          <w:sz w:val="18"/>
          <w:szCs w:val="18"/>
        </w:rPr>
        <w:t xml:space="preserve">    name: budget_overrun</w:t>
      </w:r>
    </w:p>
    <w:p>
      <w:pPr>
        <w:shd w:fill="EEF2F7" w:val="clear"/>
        <w:spacing w:after="20" w:before="20"/>
        <w:ind w:left="360" w:right="360"/>
      </w:pPr>
      <w:r>
        <w:rPr>
          <w:rFonts w:ascii="Courier New" w:cs="Courier New" w:eastAsia="Courier New" w:hAnsi="Courier New"/>
          <w:color w:val="1B3A5C"/>
          <w:sz w:val="18"/>
          <w:szCs w:val="18"/>
        </w:rPr>
        <w:t xml:space="preserve">    trigger: task_cost_projection_exceeds</w:t>
      </w:r>
    </w:p>
    <w:p>
      <w:pPr>
        <w:shd w:fill="EEF2F7" w:val="clear"/>
        <w:spacing w:after="20" w:before="20"/>
        <w:ind w:left="360" w:right="360"/>
      </w:pPr>
      <w:r>
        <w:rPr>
          <w:rFonts w:ascii="Courier New" w:cs="Courier New" w:eastAsia="Courier New" w:hAnsi="Courier New"/>
          <w:color w:val="1B3A5C"/>
          <w:sz w:val="18"/>
          <w:szCs w:val="18"/>
        </w:rPr>
        <w:t xml:space="preserve">    threshold_usd: 5000</w:t>
      </w:r>
    </w:p>
    <w:p>
      <w:pPr>
        <w:shd w:fill="EEF2F7" w:val="clear"/>
        <w:spacing w:after="20" w:before="20"/>
        <w:ind w:left="360" w:right="360"/>
      </w:pPr>
      <w:r>
        <w:rPr>
          <w:rFonts w:ascii="Courier New" w:cs="Courier New" w:eastAsia="Courier New" w:hAnsi="Courier New"/>
          <w:color w:val="1B3A5C"/>
          <w:sz w:val="18"/>
          <w:szCs w:val="18"/>
        </w:rPr>
        <w:t xml:space="preserve">    approvers: [finance_lead]</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type: custom</w:t>
      </w:r>
    </w:p>
    <w:p>
      <w:pPr>
        <w:shd w:fill="EEF2F7" w:val="clear"/>
        <w:spacing w:after="20" w:before="20"/>
        <w:ind w:left="360" w:right="360"/>
      </w:pPr>
      <w:r>
        <w:rPr>
          <w:rFonts w:ascii="Courier New" w:cs="Courier New" w:eastAsia="Courier New" w:hAnsi="Courier New"/>
          <w:color w:val="1B3A5C"/>
          <w:sz w:val="18"/>
          <w:szCs w:val="18"/>
        </w:rPr>
        <w:t xml:space="preserve">    name: wet_lab_synthesis_initiation</w:t>
      </w:r>
    </w:p>
    <w:p>
      <w:pPr>
        <w:shd w:fill="EEF2F7" w:val="clear"/>
        <w:spacing w:after="20" w:before="20"/>
        <w:ind w:left="360" w:right="360"/>
      </w:pPr>
      <w:r>
        <w:rPr>
          <w:rFonts w:ascii="Courier New" w:cs="Courier New" w:eastAsia="Courier New" w:hAnsi="Courier New"/>
          <w:color w:val="1B3A5C"/>
          <w:sz w:val="18"/>
          <w:szCs w:val="18"/>
        </w:rPr>
        <w:t xml:space="preserve">    trigger: task_label_contains</w:t>
      </w:r>
    </w:p>
    <w:p>
      <w:pPr>
        <w:shd w:fill="EEF2F7" w:val="clear"/>
        <w:spacing w:after="20" w:before="20"/>
        <w:ind w:left="360" w:right="360"/>
      </w:pPr>
      <w:r>
        <w:rPr>
          <w:rFonts w:ascii="Courier New" w:cs="Courier New" w:eastAsia="Courier New" w:hAnsi="Courier New"/>
          <w:color w:val="1B3A5C"/>
          <w:sz w:val="18"/>
          <w:szCs w:val="18"/>
        </w:rPr>
        <w:t xml:space="preserve">    labels: [wet-lab, synthesis-initiation]</w:t>
      </w:r>
    </w:p>
    <w:p>
      <w:pPr>
        <w:shd w:fill="EEF2F7" w:val="clear"/>
        <w:spacing w:after="20" w:before="20"/>
        <w:ind w:left="360" w:right="360"/>
      </w:pPr>
      <w:r>
        <w:rPr>
          <w:rFonts w:ascii="Courier New" w:cs="Courier New" w:eastAsia="Courier New" w:hAnsi="Courier New"/>
          <w:color w:val="1B3A5C"/>
          <w:sz w:val="18"/>
          <w:szCs w:val="18"/>
        </w:rPr>
        <w:t xml:space="preserve">    approvers: [board_chair, qa_director]</w:t>
      </w:r>
    </w:p>
    <w:p>
      <w:pPr>
        <w:shd w:fill="EEF2F7" w:val="clear"/>
        <w:spacing w:after="20" w:before="20"/>
        <w:ind w:left="360" w:right="360"/>
      </w:pPr>
      <w:r>
        <w:rPr>
          <w:rFonts w:ascii="Courier New" w:cs="Courier New" w:eastAsia="Courier New" w:hAnsi="Courier New"/>
          <w:color w:val="1B3A5C"/>
          <w:sz w:val="18"/>
          <w:szCs w:val="18"/>
        </w:rPr>
        <w:t xml:space="preserve">    require_all: true          # ALL approvers must sign</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type: custom</w:t>
      </w:r>
    </w:p>
    <w:p>
      <w:pPr>
        <w:shd w:fill="EEF2F7" w:val="clear"/>
        <w:spacing w:after="20" w:before="20"/>
        <w:ind w:left="360" w:right="360"/>
      </w:pPr>
      <w:r>
        <w:rPr>
          <w:rFonts w:ascii="Courier New" w:cs="Courier New" w:eastAsia="Courier New" w:hAnsi="Courier New"/>
          <w:color w:val="1B3A5C"/>
          <w:sz w:val="18"/>
          <w:szCs w:val="18"/>
        </w:rPr>
        <w:t xml:space="preserve">    name: regulatory_submission</w:t>
      </w:r>
    </w:p>
    <w:p>
      <w:pPr>
        <w:shd w:fill="EEF2F7" w:val="clear"/>
        <w:spacing w:after="20" w:before="20"/>
        <w:ind w:left="360" w:right="360"/>
      </w:pPr>
      <w:r>
        <w:rPr>
          <w:rFonts w:ascii="Courier New" w:cs="Courier New" w:eastAsia="Courier New" w:hAnsi="Courier New"/>
          <w:color w:val="1B3A5C"/>
          <w:sz w:val="18"/>
          <w:szCs w:val="18"/>
        </w:rPr>
        <w:t xml:space="preserve">    trigger: task_label_contains</w:t>
      </w:r>
    </w:p>
    <w:p>
      <w:pPr>
        <w:shd w:fill="EEF2F7" w:val="clear"/>
        <w:spacing w:after="20" w:before="20"/>
        <w:ind w:left="360" w:right="360"/>
      </w:pPr>
      <w:r>
        <w:rPr>
          <w:rFonts w:ascii="Courier New" w:cs="Courier New" w:eastAsia="Courier New" w:hAnsi="Courier New"/>
          <w:color w:val="1B3A5C"/>
          <w:sz w:val="18"/>
          <w:szCs w:val="18"/>
        </w:rPr>
        <w:t xml:space="preserve">    labels: [regulatory-submission, ind-section, nda-section]</w:t>
      </w:r>
    </w:p>
    <w:p>
      <w:pPr>
        <w:shd w:fill="EEF2F7" w:val="clear"/>
        <w:spacing w:after="20" w:before="20"/>
        <w:ind w:left="360" w:right="360"/>
      </w:pPr>
      <w:r>
        <w:rPr>
          <w:rFonts w:ascii="Courier New" w:cs="Courier New" w:eastAsia="Courier New" w:hAnsi="Courier New"/>
          <w:color w:val="1B3A5C"/>
          <w:sz w:val="18"/>
          <w:szCs w:val="18"/>
        </w:rPr>
        <w:t xml:space="preserve">    approvers: [qa_director]</w:t>
      </w:r>
    </w:p>
    <w:p>
      <w:pPr>
        <w:shd w:fill="EEF2F7" w:val="clear"/>
        <w:spacing w:after="20" w:before="20"/>
        <w:ind w:left="360" w:right="360"/>
      </w:pPr>
      <w:r>
        <w:rPr>
          <w:rFonts w:ascii="Courier New" w:cs="Courier New" w:eastAsia="Courier New" w:hAnsi="Courier New"/>
          <w:color w:val="1B3A5C"/>
          <w:sz w:val="18"/>
          <w:szCs w:val="18"/>
        </w:rPr>
        <w:t xml:space="preserve">    require_esignature: true   # 21 CFR Part 11 e-signature</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type: custom</w:t>
      </w:r>
    </w:p>
    <w:p>
      <w:pPr>
        <w:shd w:fill="EEF2F7" w:val="clear"/>
        <w:spacing w:after="20" w:before="20"/>
        <w:ind w:left="360" w:right="360"/>
      </w:pPr>
      <w:r>
        <w:rPr>
          <w:rFonts w:ascii="Courier New" w:cs="Courier New" w:eastAsia="Courier New" w:hAnsi="Courier New"/>
          <w:color w:val="1B3A5C"/>
          <w:sz w:val="18"/>
          <w:szCs w:val="18"/>
        </w:rPr>
        <w:t xml:space="preserve">    name: ip_filing</w:t>
      </w:r>
    </w:p>
    <w:p>
      <w:pPr>
        <w:shd w:fill="EEF2F7" w:val="clear"/>
        <w:spacing w:after="20" w:before="20"/>
        <w:ind w:left="360" w:right="360"/>
      </w:pPr>
      <w:r>
        <w:rPr>
          <w:rFonts w:ascii="Courier New" w:cs="Courier New" w:eastAsia="Courier New" w:hAnsi="Courier New"/>
          <w:color w:val="1B3A5C"/>
          <w:sz w:val="18"/>
          <w:szCs w:val="18"/>
        </w:rPr>
        <w:t xml:space="preserve">    trigger: task_label_contains</w:t>
      </w:r>
    </w:p>
    <w:p>
      <w:pPr>
        <w:shd w:fill="EEF2F7" w:val="clear"/>
        <w:spacing w:after="20" w:before="20"/>
        <w:ind w:left="360" w:right="360"/>
      </w:pPr>
      <w:r>
        <w:rPr>
          <w:rFonts w:ascii="Courier New" w:cs="Courier New" w:eastAsia="Courier New" w:hAnsi="Courier New"/>
          <w:color w:val="1B3A5C"/>
          <w:sz w:val="18"/>
          <w:szCs w:val="18"/>
        </w:rPr>
        <w:t xml:space="preserve">    labels: [patent-filing, ip-submission]</w:t>
      </w:r>
    </w:p>
    <w:p>
      <w:pPr>
        <w:shd w:fill="EEF2F7" w:val="clear"/>
        <w:spacing w:after="20" w:before="20"/>
        <w:ind w:left="360" w:right="360"/>
      </w:pPr>
      <w:r>
        <w:rPr>
          <w:rFonts w:ascii="Courier New" w:cs="Courier New" w:eastAsia="Courier New" w:hAnsi="Courier New"/>
          <w:color w:val="1B3A5C"/>
          <w:sz w:val="18"/>
          <w:szCs w:val="18"/>
        </w:rPr>
        <w:t xml:space="preserve">    approvers: [legal_board]</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type: custom</w:t>
      </w:r>
    </w:p>
    <w:p>
      <w:pPr>
        <w:shd w:fill="EEF2F7" w:val="clear"/>
        <w:spacing w:after="20" w:before="20"/>
        <w:ind w:left="360" w:right="360"/>
      </w:pPr>
      <w:r>
        <w:rPr>
          <w:rFonts w:ascii="Courier New" w:cs="Courier New" w:eastAsia="Courier New" w:hAnsi="Courier New"/>
          <w:color w:val="1B3A5C"/>
          <w:sz w:val="18"/>
          <w:szCs w:val="18"/>
        </w:rPr>
        <w:t xml:space="preserve">    name: egress_policy_change</w:t>
      </w:r>
    </w:p>
    <w:p>
      <w:pPr>
        <w:shd w:fill="EEF2F7" w:val="clear"/>
        <w:spacing w:after="20" w:before="20"/>
        <w:ind w:left="360" w:right="360"/>
      </w:pPr>
      <w:r>
        <w:rPr>
          <w:rFonts w:ascii="Courier New" w:cs="Courier New" w:eastAsia="Courier New" w:hAnsi="Courier New"/>
          <w:color w:val="1B3A5C"/>
          <w:sz w:val="18"/>
          <w:szCs w:val="18"/>
        </w:rPr>
        <w:t xml:space="preserve">    trigger: task_label_contains</w:t>
      </w:r>
    </w:p>
    <w:p>
      <w:pPr>
        <w:shd w:fill="EEF2F7" w:val="clear"/>
        <w:spacing w:after="20" w:before="20"/>
        <w:ind w:left="360" w:right="360"/>
      </w:pPr>
      <w:r>
        <w:rPr>
          <w:rFonts w:ascii="Courier New" w:cs="Courier New" w:eastAsia="Courier New" w:hAnsi="Courier New"/>
          <w:color w:val="1B3A5C"/>
          <w:sz w:val="18"/>
          <w:szCs w:val="18"/>
        </w:rPr>
        <w:t xml:space="preserve">    labels: [egress-change, sandbox-policy]</w:t>
      </w:r>
    </w:p>
    <w:p>
      <w:pPr>
        <w:shd w:fill="EEF2F7" w:val="clear"/>
        <w:spacing w:after="20" w:before="20"/>
        <w:ind w:left="360" w:right="360"/>
      </w:pPr>
      <w:r>
        <w:rPr>
          <w:rFonts w:ascii="Courier New" w:cs="Courier New" w:eastAsia="Courier New" w:hAnsi="Courier New"/>
          <w:color w:val="1B3A5C"/>
          <w:sz w:val="18"/>
          <w:szCs w:val="18"/>
        </w:rPr>
        <w:t xml:space="preserve">    approvers: [security_lead]</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Global adapter configurations</w:t>
      </w:r>
    </w:p>
    <w:p>
      <w:pPr>
        <w:shd w:fill="EEF2F7" w:val="clear"/>
        <w:spacing w:after="20" w:before="20"/>
        <w:ind w:left="360" w:right="360"/>
      </w:pPr>
      <w:r>
        <w:rPr>
          <w:rFonts w:ascii="Courier New" w:cs="Courier New" w:eastAsia="Courier New" w:hAnsi="Courier New"/>
          <w:color w:val="1B3A5C"/>
          <w:sz w:val="18"/>
          <w:szCs w:val="18"/>
        </w:rPr>
        <w:t xml:space="preserve">adapters:</w:t>
      </w:r>
    </w:p>
    <w:p>
      <w:pPr>
        <w:shd w:fill="EEF2F7" w:val="clear"/>
        <w:spacing w:after="20" w:before="20"/>
        <w:ind w:left="360" w:right="360"/>
      </w:pPr>
      <w:r>
        <w:rPr>
          <w:rFonts w:ascii="Courier New" w:cs="Courier New" w:eastAsia="Courier New" w:hAnsi="Courier New"/>
          <w:color w:val="1B3A5C"/>
          <w:sz w:val="18"/>
          <w:szCs w:val="18"/>
        </w:rPr>
        <w:t xml:space="preserve">  openclaw_gateway:</w:t>
      </w:r>
    </w:p>
    <w:p>
      <w:pPr>
        <w:shd w:fill="EEF2F7" w:val="clear"/>
        <w:spacing w:after="20" w:before="20"/>
        <w:ind w:left="360" w:right="360"/>
      </w:pPr>
      <w:r>
        <w:rPr>
          <w:rFonts w:ascii="Courier New" w:cs="Courier New" w:eastAsia="Courier New" w:hAnsi="Courier New"/>
          <w:color w:val="1B3A5C"/>
          <w:sz w:val="18"/>
          <w:szCs w:val="18"/>
        </w:rPr>
        <w:t xml:space="preserve">    gateway_url: ws://sandbox-01.rnd.internal:18789</w:t>
      </w:r>
    </w:p>
    <w:p>
      <w:pPr>
        <w:shd w:fill="EEF2F7" w:val="clear"/>
        <w:spacing w:after="20" w:before="20"/>
        <w:ind w:left="360" w:right="360"/>
      </w:pPr>
      <w:r>
        <w:rPr>
          <w:rFonts w:ascii="Courier New" w:cs="Courier New" w:eastAsia="Courier New" w:hAnsi="Courier New"/>
          <w:color w:val="1B3A5C"/>
          <w:sz w:val="18"/>
          <w:szCs w:val="18"/>
        </w:rPr>
        <w:t xml:space="preserve">    auth_token_vault_path: secret/paperclip/openclaw-token</w:t>
      </w:r>
    </w:p>
    <w:p>
      <w:pPr>
        <w:shd w:fill="EEF2F7" w:val="clear"/>
        <w:spacing w:after="20" w:before="20"/>
        <w:ind w:left="360" w:right="360"/>
      </w:pPr>
      <w:r>
        <w:rPr>
          <w:rFonts w:ascii="Courier New" w:cs="Courier New" w:eastAsia="Courier New" w:hAnsi="Courier New"/>
          <w:color w:val="1B3A5C"/>
          <w:sz w:val="18"/>
          <w:szCs w:val="18"/>
        </w:rPr>
        <w:t xml:space="preserve">    session_timeout_seconds: 3600</w:t>
      </w:r>
    </w:p>
    <w:p>
      <w:pPr>
        <w:shd w:fill="EEF2F7" w:val="clear"/>
        <w:spacing w:after="20" w:before="20"/>
        <w:ind w:left="360" w:right="360"/>
      </w:pPr>
      <w:r>
        <w:rPr>
          <w:rFonts w:ascii="Courier New" w:cs="Courier New" w:eastAsia="Courier New" w:hAnsi="Courier New"/>
          <w:color w:val="1B3A5C"/>
          <w:sz w:val="18"/>
          <w:szCs w:val="18"/>
        </w:rPr>
        <w:t xml:space="preserve">    heartbeat_interval_seconds: 1800</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claude_local:</w:t>
      </w:r>
    </w:p>
    <w:p>
      <w:pPr>
        <w:shd w:fill="EEF2F7" w:val="clear"/>
        <w:spacing w:after="20" w:before="20"/>
        <w:ind w:left="360" w:right="360"/>
      </w:pPr>
      <w:r>
        <w:rPr>
          <w:rFonts w:ascii="Courier New" w:cs="Courier New" w:eastAsia="Courier New" w:hAnsi="Courier New"/>
          <w:color w:val="1B3A5C"/>
          <w:sz w:val="18"/>
          <w:szCs w:val="18"/>
        </w:rPr>
        <w:t xml:space="preserve">    output_directory: /regulated-docs/paperclip-outputs</w:t>
      </w:r>
    </w:p>
    <w:p>
      <w:pPr>
        <w:shd w:fill="EEF2F7" w:val="clear"/>
        <w:spacing w:after="20" w:before="20"/>
        <w:ind w:left="360" w:right="360"/>
      </w:pPr>
      <w:r>
        <w:rPr>
          <w:rFonts w:ascii="Courier New" w:cs="Courier New" w:eastAsia="Courier New" w:hAnsi="Courier New"/>
          <w:color w:val="1B3A5C"/>
          <w:sz w:val="18"/>
          <w:szCs w:val="18"/>
        </w:rPr>
        <w:t xml:space="preserve">    model: claude-opus-4-7</w:t>
      </w:r>
    </w:p>
    <w:p>
      <w:pPr>
        <w:shd w:fill="EEF2F7" w:val="clear"/>
        <w:spacing w:after="20" w:before="20"/>
        <w:ind w:left="360" w:right="360"/>
      </w:pPr>
      <w:r>
        <w:rPr>
          <w:rFonts w:ascii="Courier New" w:cs="Courier New" w:eastAsia="Courier New" w:hAnsi="Courier New"/>
          <w:color w:val="1B3A5C"/>
          <w:sz w:val="18"/>
          <w:szCs w:val="18"/>
        </w:rPr>
        <w:t xml:space="preserve">    api_key_vault_path: secret/paperclip/anthropic-key</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Pre-checkout hook (runs before any agent picks up a task)</w:t>
      </w:r>
    </w:p>
    <w:p>
      <w:pPr>
        <w:shd w:fill="EEF2F7" w:val="clear"/>
        <w:spacing w:after="20" w:before="20"/>
        <w:ind w:left="360" w:right="360"/>
      </w:pPr>
      <w:r>
        <w:rPr>
          <w:rFonts w:ascii="Courier New" w:cs="Courier New" w:eastAsia="Courier New" w:hAnsi="Courier New"/>
          <w:color w:val="1B3A5C"/>
          <w:sz w:val="18"/>
          <w:szCs w:val="18"/>
        </w:rPr>
        <w:t xml:space="preserve">pre_checkout_hook:</w:t>
      </w:r>
    </w:p>
    <w:p>
      <w:pPr>
        <w:shd w:fill="EEF2F7" w:val="clear"/>
        <w:spacing w:after="20" w:before="20"/>
        <w:ind w:left="360" w:right="360"/>
      </w:pPr>
      <w:r>
        <w:rPr>
          <w:rFonts w:ascii="Courier New" w:cs="Courier New" w:eastAsia="Courier New" w:hAnsi="Courier New"/>
          <w:color w:val="1B3A5C"/>
          <w:sz w:val="18"/>
          <w:szCs w:val="18"/>
        </w:rPr>
        <w:t xml:space="preserve">  enabled: true</w:t>
      </w:r>
    </w:p>
    <w:p>
      <w:pPr>
        <w:shd w:fill="EEF2F7" w:val="clear"/>
        <w:spacing w:after="20" w:before="20"/>
        <w:ind w:left="360" w:right="360"/>
      </w:pPr>
      <w:r>
        <w:rPr>
          <w:rFonts w:ascii="Courier New" w:cs="Courier New" w:eastAsia="Courier New" w:hAnsi="Courier New"/>
          <w:color w:val="1B3A5C"/>
          <w:sz w:val="18"/>
          <w:szCs w:val="18"/>
        </w:rPr>
        <w:t xml:space="preserve">  script: scripts/pharma-pre-checkout.py</w:t>
      </w:r>
    </w:p>
    <w:p>
      <w:pPr>
        <w:shd w:fill="EEF2F7" w:val="clear"/>
        <w:spacing w:after="20" w:before="20"/>
        <w:ind w:left="360" w:right="360"/>
      </w:pPr>
      <w:r>
        <w:rPr>
          <w:rFonts w:ascii="Courier New" w:cs="Courier New" w:eastAsia="Courier New" w:hAnsi="Courier New"/>
          <w:color w:val="1B3A5C"/>
          <w:sz w:val="18"/>
          <w:szCs w:val="18"/>
        </w:rPr>
        <w:t xml:space="preserve">  timeout_seconds: 10</w:t>
      </w:r>
    </w:p>
    <w:p>
      <w:pPr>
        <w:pStyle w:val="Heading2"/>
        <w:spacing w:after="160" w:before="400"/>
      </w:pPr>
      <w:r>
        <w:rPr>
          <w:rFonts w:ascii="Arial" w:cs="Arial" w:eastAsia="Arial" w:hAnsi="Arial"/>
          <w:b/>
          <w:bCs/>
          <w:color w:val="3A7CA5"/>
          <w:sz w:val="28"/>
          <w:szCs w:val="28"/>
        </w:rPr>
        <w:t xml:space="preserve">7. Agent Definition — Complete Field Reference</w:t>
      </w:r>
    </w:p>
    <w:p>
      <w:pPr>
        <w:spacing w:after="140"/>
        <w:jc w:val="both"/>
      </w:pPr>
      <w:r>
        <w:rPr>
          <w:rFonts w:ascii="Arial" w:cs="Arial" w:eastAsia="Arial" w:hAnsi="Arial"/>
          <w:color w:val="1A1A1A"/>
          <w:sz w:val="22"/>
          <w:szCs w:val="22"/>
        </w:rPr>
        <w:t xml:space="preserve">Each agent is defined as an entry in the agents: array. The complete field reference:</w:t>
      </w:r>
    </w:p>
    <w:p>
      <w:pPr>
        <w:shd w:fill="EEF2F7" w:val="clear"/>
        <w:spacing w:after="20" w:before="20"/>
        <w:ind w:left="360" w:right="360"/>
      </w:pPr>
      <w:r>
        <w:rPr>
          <w:rFonts w:ascii="Courier New" w:cs="Courier New" w:eastAsia="Courier New" w:hAnsi="Courier New"/>
          <w:color w:val="1B3A5C"/>
          <w:sz w:val="18"/>
          <w:szCs w:val="18"/>
        </w:rPr>
        <w:t xml:space="preserve">agents:</w:t>
      </w:r>
    </w:p>
    <w:p>
      <w:pPr>
        <w:shd w:fill="EEF2F7" w:val="clear"/>
        <w:spacing w:after="20" w:before="20"/>
        <w:ind w:left="360" w:right="360"/>
      </w:pPr>
      <w:r>
        <w:rPr>
          <w:rFonts w:ascii="Courier New" w:cs="Courier New" w:eastAsia="Courier New" w:hAnsi="Courier New"/>
          <w:color w:val="1B3A5C"/>
          <w:sz w:val="18"/>
          <w:szCs w:val="18"/>
        </w:rPr>
        <w:t xml:space="preserve">  - id: retrosynthesis-planner          # Unique identifier (slug)</w:t>
      </w:r>
    </w:p>
    <w:p>
      <w:pPr>
        <w:shd w:fill="EEF2F7" w:val="clear"/>
        <w:spacing w:after="20" w:before="20"/>
        <w:ind w:left="360" w:right="360"/>
      </w:pPr>
      <w:r>
        <w:rPr>
          <w:rFonts w:ascii="Courier New" w:cs="Courier New" w:eastAsia="Courier New" w:hAnsi="Courier New"/>
          <w:color w:val="1B3A5C"/>
          <w:sz w:val="18"/>
          <w:szCs w:val="18"/>
        </w:rPr>
        <w:t xml:space="preserve">    name: Retrosynthesis Planner         # Human-readable</w:t>
      </w:r>
    </w:p>
    <w:p>
      <w:pPr>
        <w:shd w:fill="EEF2F7" w:val="clear"/>
        <w:spacing w:after="20" w:before="20"/>
        <w:ind w:left="360" w:right="360"/>
      </w:pPr>
      <w:r>
        <w:rPr>
          <w:rFonts w:ascii="Courier New" w:cs="Courier New" w:eastAsia="Courier New" w:hAnsi="Courier New"/>
          <w:color w:val="1B3A5C"/>
          <w:sz w:val="18"/>
          <w:szCs w:val="18"/>
        </w:rPr>
        <w:t xml:space="preserve">    role: |                              # Role description (in system prompt)</w:t>
      </w:r>
    </w:p>
    <w:p>
      <w:pPr>
        <w:shd w:fill="EEF2F7" w:val="clear"/>
        <w:spacing w:after="20" w:before="20"/>
        <w:ind w:left="360" w:right="360"/>
      </w:pPr>
      <w:r>
        <w:rPr>
          <w:rFonts w:ascii="Courier New" w:cs="Courier New" w:eastAsia="Courier New" w:hAnsi="Courier New"/>
          <w:color w:val="1B3A5C"/>
          <w:sz w:val="18"/>
          <w:szCs w:val="18"/>
        </w:rPr>
        <w:t xml:space="preserve">      Senior computational chemist specializing in</w:t>
      </w:r>
    </w:p>
    <w:p>
      <w:pPr>
        <w:shd w:fill="EEF2F7" w:val="clear"/>
        <w:spacing w:after="20" w:before="20"/>
        <w:ind w:left="360" w:right="360"/>
      </w:pPr>
      <w:r>
        <w:rPr>
          <w:rFonts w:ascii="Courier New" w:cs="Courier New" w:eastAsia="Courier New" w:hAnsi="Courier New"/>
          <w:color w:val="1B3A5C"/>
          <w:sz w:val="18"/>
          <w:szCs w:val="18"/>
        </w:rPr>
        <w:t xml:space="preserve">      retrosynthetic analysis for small-molecule APIs.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Org chart</w:t>
      </w:r>
    </w:p>
    <w:p>
      <w:pPr>
        <w:shd w:fill="EEF2F7" w:val="clear"/>
        <w:spacing w:after="20" w:before="20"/>
        <w:ind w:left="360" w:right="360"/>
      </w:pPr>
      <w:r>
        <w:rPr>
          <w:rFonts w:ascii="Courier New" w:cs="Courier New" w:eastAsia="Courier New" w:hAnsi="Courier New"/>
          <w:color w:val="1B3A5C"/>
          <w:sz w:val="18"/>
          <w:szCs w:val="18"/>
        </w:rPr>
        <w:t xml:space="preserve">    reports_to: cso                     # Parent agent ID</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Adapter configuration</w:t>
      </w:r>
    </w:p>
    <w:p>
      <w:pPr>
        <w:shd w:fill="EEF2F7" w:val="clear"/>
        <w:spacing w:after="20" w:before="20"/>
        <w:ind w:left="360" w:right="360"/>
      </w:pPr>
      <w:r>
        <w:rPr>
          <w:rFonts w:ascii="Courier New" w:cs="Courier New" w:eastAsia="Courier New" w:hAnsi="Courier New"/>
          <w:color w:val="1B3A5C"/>
          <w:sz w:val="18"/>
          <w:szCs w:val="18"/>
        </w:rPr>
        <w:t xml:space="preserve">    adapter: openclaw_gateway</w:t>
      </w:r>
    </w:p>
    <w:p>
      <w:pPr>
        <w:shd w:fill="EEF2F7" w:val="clear"/>
        <w:spacing w:after="20" w:before="20"/>
        <w:ind w:left="360" w:right="360"/>
      </w:pPr>
      <w:r>
        <w:rPr>
          <w:rFonts w:ascii="Courier New" w:cs="Courier New" w:eastAsia="Courier New" w:hAnsi="Courier New"/>
          <w:color w:val="1B3A5C"/>
          <w:sz w:val="18"/>
          <w:szCs w:val="18"/>
        </w:rPr>
        <w:t xml:space="preserve">    adapter_config:</w:t>
      </w:r>
    </w:p>
    <w:p>
      <w:pPr>
        <w:shd w:fill="EEF2F7" w:val="clear"/>
        <w:spacing w:after="20" w:before="20"/>
        <w:ind w:left="360" w:right="360"/>
      </w:pPr>
      <w:r>
        <w:rPr>
          <w:rFonts w:ascii="Courier New" w:cs="Courier New" w:eastAsia="Courier New" w:hAnsi="Courier New"/>
          <w:color w:val="1B3A5C"/>
          <w:sz w:val="18"/>
          <w:szCs w:val="18"/>
        </w:rPr>
        <w:t xml:space="preserve">      agent_id: retrosynthesis-planner  # OpenClaw workspace name</w:t>
      </w:r>
    </w:p>
    <w:p>
      <w:pPr>
        <w:shd w:fill="EEF2F7" w:val="clear"/>
        <w:spacing w:after="20" w:before="20"/>
        <w:ind w:left="360" w:right="360"/>
      </w:pPr>
      <w:r>
        <w:rPr>
          <w:rFonts w:ascii="Courier New" w:cs="Courier New" w:eastAsia="Courier New" w:hAnsi="Courier New"/>
          <w:color w:val="1B3A5C"/>
          <w:sz w:val="18"/>
          <w:szCs w:val="18"/>
        </w:rPr>
        <w:t xml:space="preserve">      session_strategy: issue           # issue | run | fixed</w:t>
      </w:r>
    </w:p>
    <w:p>
      <w:pPr>
        <w:shd w:fill="EEF2F7" w:val="clear"/>
        <w:spacing w:after="20" w:before="20"/>
        <w:ind w:left="360" w:right="360"/>
      </w:pPr>
      <w:r>
        <w:rPr>
          <w:rFonts w:ascii="Courier New" w:cs="Courier New" w:eastAsia="Courier New" w:hAnsi="Courier New"/>
          <w:color w:val="1B3A5C"/>
          <w:sz w:val="18"/>
          <w:szCs w:val="18"/>
        </w:rPr>
        <w:t xml:space="preserve">      max_context_tokens: 120000</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Model (overrides company default)</w:t>
      </w:r>
    </w:p>
    <w:p>
      <w:pPr>
        <w:shd w:fill="EEF2F7" w:val="clear"/>
        <w:spacing w:after="20" w:before="20"/>
        <w:ind w:left="360" w:right="360"/>
      </w:pPr>
      <w:r>
        <w:rPr>
          <w:rFonts w:ascii="Courier New" w:cs="Courier New" w:eastAsia="Courier New" w:hAnsi="Courier New"/>
          <w:color w:val="1B3A5C"/>
          <w:sz w:val="18"/>
          <w:szCs w:val="18"/>
        </w:rPr>
        <w:t xml:space="preserve">    model: nemotron-3-super-120b</w:t>
      </w:r>
    </w:p>
    <w:p>
      <w:pPr>
        <w:shd w:fill="EEF2F7" w:val="clear"/>
        <w:spacing w:after="20" w:before="20"/>
        <w:ind w:left="360" w:right="360"/>
      </w:pPr>
      <w:r>
        <w:rPr>
          <w:rFonts w:ascii="Courier New" w:cs="Courier New" w:eastAsia="Courier New" w:hAnsi="Courier New"/>
          <w:color w:val="1B3A5C"/>
          <w:sz w:val="18"/>
          <w:szCs w:val="18"/>
        </w:rPr>
        <w:t xml:space="preserve">    model_config:</w:t>
      </w:r>
    </w:p>
    <w:p>
      <w:pPr>
        <w:shd w:fill="EEF2F7" w:val="clear"/>
        <w:spacing w:after="20" w:before="20"/>
        <w:ind w:left="360" w:right="360"/>
      </w:pPr>
      <w:r>
        <w:rPr>
          <w:rFonts w:ascii="Courier New" w:cs="Courier New" w:eastAsia="Courier New" w:hAnsi="Courier New"/>
          <w:color w:val="1B3A5C"/>
          <w:sz w:val="18"/>
          <w:szCs w:val="18"/>
        </w:rPr>
        <w:t xml:space="preserve">      temperature: 0.1                  # Low temp for chemistry reasoning</w:t>
      </w:r>
    </w:p>
    <w:p>
      <w:pPr>
        <w:shd w:fill="EEF2F7" w:val="clear"/>
        <w:spacing w:after="20" w:before="20"/>
        <w:ind w:left="360" w:right="360"/>
      </w:pPr>
      <w:r>
        <w:rPr>
          <w:rFonts w:ascii="Courier New" w:cs="Courier New" w:eastAsia="Courier New" w:hAnsi="Courier New"/>
          <w:color w:val="1B3A5C"/>
          <w:sz w:val="18"/>
          <w:szCs w:val="18"/>
        </w:rPr>
        <w:t xml:space="preserve">      max_tokens: 8192</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Budget (monthly, USD)</w:t>
      </w:r>
    </w:p>
    <w:p>
      <w:pPr>
        <w:shd w:fill="EEF2F7" w:val="clear"/>
        <w:spacing w:after="20" w:before="20"/>
        <w:ind w:left="360" w:right="360"/>
      </w:pPr>
      <w:r>
        <w:rPr>
          <w:rFonts w:ascii="Courier New" w:cs="Courier New" w:eastAsia="Courier New" w:hAnsi="Courier New"/>
          <w:color w:val="1B3A5C"/>
          <w:sz w:val="18"/>
          <w:szCs w:val="18"/>
        </w:rPr>
        <w:t xml:space="preserve">    budget_monthly_usd: 2000</w:t>
      </w:r>
    </w:p>
    <w:p>
      <w:pPr>
        <w:shd w:fill="EEF2F7" w:val="clear"/>
        <w:spacing w:after="20" w:before="20"/>
        <w:ind w:left="360" w:right="360"/>
      </w:pPr>
      <w:r>
        <w:rPr>
          <w:rFonts w:ascii="Courier New" w:cs="Courier New" w:eastAsia="Courier New" w:hAnsi="Courier New"/>
          <w:color w:val="1B3A5C"/>
          <w:sz w:val="18"/>
          <w:szCs w:val="18"/>
        </w:rPr>
        <w:t xml:space="preserve">    budget_daily_usd: 150             # Daily cap within monthly</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Heartbeat (proactive wake schedule)</w:t>
      </w:r>
    </w:p>
    <w:p>
      <w:pPr>
        <w:shd w:fill="EEF2F7" w:val="clear"/>
        <w:spacing w:after="20" w:before="20"/>
        <w:ind w:left="360" w:right="360"/>
      </w:pPr>
      <w:r>
        <w:rPr>
          <w:rFonts w:ascii="Courier New" w:cs="Courier New" w:eastAsia="Courier New" w:hAnsi="Courier New"/>
          <w:color w:val="1B3A5C"/>
          <w:sz w:val="18"/>
          <w:szCs w:val="18"/>
        </w:rPr>
        <w:t xml:space="preserve">    heartbeat:</w:t>
      </w:r>
    </w:p>
    <w:p>
      <w:pPr>
        <w:shd w:fill="EEF2F7" w:val="clear"/>
        <w:spacing w:after="20" w:before="20"/>
        <w:ind w:left="360" w:right="360"/>
      </w:pPr>
      <w:r>
        <w:rPr>
          <w:rFonts w:ascii="Courier New" w:cs="Courier New" w:eastAsia="Courier New" w:hAnsi="Courier New"/>
          <w:color w:val="1B3A5C"/>
          <w:sz w:val="18"/>
          <w:szCs w:val="18"/>
        </w:rPr>
        <w:t xml:space="preserve">      enabled: true</w:t>
      </w:r>
    </w:p>
    <w:p>
      <w:pPr>
        <w:shd w:fill="EEF2F7" w:val="clear"/>
        <w:spacing w:after="20" w:before="20"/>
        <w:ind w:left="360" w:right="360"/>
      </w:pPr>
      <w:r>
        <w:rPr>
          <w:rFonts w:ascii="Courier New" w:cs="Courier New" w:eastAsia="Courier New" w:hAnsi="Courier New"/>
          <w:color w:val="1B3A5C"/>
          <w:sz w:val="18"/>
          <w:szCs w:val="18"/>
        </w:rPr>
        <w:t xml:space="preserve">      schedule: "0 */6 * * *"         # Every 6 hours</w:t>
      </w:r>
    </w:p>
    <w:p>
      <w:pPr>
        <w:shd w:fill="EEF2F7" w:val="clear"/>
        <w:spacing w:after="20" w:before="20"/>
        <w:ind w:left="360" w:right="360"/>
      </w:pPr>
      <w:r>
        <w:rPr>
          <w:rFonts w:ascii="Courier New" w:cs="Courier New" w:eastAsia="Courier New" w:hAnsi="Courier New"/>
          <w:color w:val="1B3A5C"/>
          <w:sz w:val="18"/>
          <w:szCs w:val="18"/>
        </w:rPr>
        <w:t xml:space="preserve">      instruction: |</w:t>
      </w:r>
    </w:p>
    <w:p>
      <w:pPr>
        <w:shd w:fill="EEF2F7" w:val="clear"/>
        <w:spacing w:after="20" w:before="20"/>
        <w:ind w:left="360" w:right="360"/>
      </w:pPr>
      <w:r>
        <w:rPr>
          <w:rFonts w:ascii="Courier New" w:cs="Courier New" w:eastAsia="Courier New" w:hAnsi="Courier New"/>
          <w:color w:val="1B3A5C"/>
          <w:sz w:val="18"/>
          <w:szCs w:val="18"/>
        </w:rPr>
        <w:t xml:space="preserve">        Check for new tasks assigned to you. If a compound has</w:t>
      </w:r>
    </w:p>
    <w:p>
      <w:pPr>
        <w:shd w:fill="EEF2F7" w:val="clear"/>
        <w:spacing w:after="20" w:before="20"/>
        <w:ind w:left="360" w:right="360"/>
      </w:pPr>
      <w:r>
        <w:rPr>
          <w:rFonts w:ascii="Courier New" w:cs="Courier New" w:eastAsia="Courier New" w:hAnsi="Courier New"/>
          <w:color w:val="1B3A5C"/>
          <w:sz w:val="18"/>
          <w:szCs w:val="18"/>
        </w:rPr>
        <w:t xml:space="preserve">        been waiting &gt;4 hours without a route proposal, begin</w:t>
      </w:r>
    </w:p>
    <w:p>
      <w:pPr>
        <w:shd w:fill="EEF2F7" w:val="clear"/>
        <w:spacing w:after="20" w:before="20"/>
        <w:ind w:left="360" w:right="360"/>
      </w:pPr>
      <w:r>
        <w:rPr>
          <w:rFonts w:ascii="Courier New" w:cs="Courier New" w:eastAsia="Courier New" w:hAnsi="Courier New"/>
          <w:color w:val="1B3A5C"/>
          <w:sz w:val="18"/>
          <w:szCs w:val="18"/>
        </w:rPr>
        <w:t xml:space="preserve">        autonomous retrosynthesis without explicit assignment.</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Skills (relative paths from workspace root)</w:t>
      </w:r>
    </w:p>
    <w:p>
      <w:pPr>
        <w:shd w:fill="EEF2F7" w:val="clear"/>
        <w:spacing w:after="20" w:before="20"/>
        <w:ind w:left="360" w:right="360"/>
      </w:pPr>
      <w:r>
        <w:rPr>
          <w:rFonts w:ascii="Courier New" w:cs="Courier New" w:eastAsia="Courier New" w:hAnsi="Courier New"/>
          <w:color w:val="1B3A5C"/>
          <w:sz w:val="18"/>
          <w:szCs w:val="18"/>
        </w:rPr>
        <w:t xml:space="preserve">    skills:</w:t>
      </w:r>
    </w:p>
    <w:p>
      <w:pPr>
        <w:shd w:fill="EEF2F7" w:val="clear"/>
        <w:spacing w:after="20" w:before="20"/>
        <w:ind w:left="360" w:right="360"/>
      </w:pPr>
      <w:r>
        <w:rPr>
          <w:rFonts w:ascii="Courier New" w:cs="Courier New" w:eastAsia="Courier New" w:hAnsi="Courier New"/>
          <w:color w:val="1B3A5C"/>
          <w:sz w:val="18"/>
          <w:szCs w:val="18"/>
        </w:rPr>
        <w:t xml:space="preserve">      - .agents/skills/retrosynthesis/SKILL.md</w:t>
      </w:r>
    </w:p>
    <w:p>
      <w:pPr>
        <w:shd w:fill="EEF2F7" w:val="clear"/>
        <w:spacing w:after="20" w:before="20"/>
        <w:ind w:left="360" w:right="360"/>
      </w:pPr>
      <w:r>
        <w:rPr>
          <w:rFonts w:ascii="Courier New" w:cs="Courier New" w:eastAsia="Courier New" w:hAnsi="Courier New"/>
          <w:color w:val="1B3A5C"/>
          <w:sz w:val="18"/>
          <w:szCs w:val="18"/>
        </w:rPr>
        <w:t xml:space="preserve">      - .agents/skills/admet-screen/SKILL.md</w:t>
      </w:r>
    </w:p>
    <w:p>
      <w:pPr>
        <w:shd w:fill="EEF2F7" w:val="clear"/>
        <w:spacing w:after="20" w:before="20"/>
        <w:ind w:left="360" w:right="360"/>
      </w:pPr>
      <w:r>
        <w:rPr>
          <w:rFonts w:ascii="Courier New" w:cs="Courier New" w:eastAsia="Courier New" w:hAnsi="Courier New"/>
          <w:color w:val="1B3A5C"/>
          <w:sz w:val="18"/>
          <w:szCs w:val="18"/>
        </w:rPr>
        <w:t xml:space="preserve">      - .agents/skills/alcoa-logging/SKILL.md</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Trust level</w:t>
      </w:r>
    </w:p>
    <w:p>
      <w:pPr>
        <w:shd w:fill="EEF2F7" w:val="clear"/>
        <w:spacing w:after="20" w:before="20"/>
        <w:ind w:left="360" w:right="360"/>
      </w:pPr>
      <w:r>
        <w:rPr>
          <w:rFonts w:ascii="Courier New" w:cs="Courier New" w:eastAsia="Courier New" w:hAnsi="Courier New"/>
          <w:color w:val="1B3A5C"/>
          <w:sz w:val="18"/>
          <w:szCs w:val="18"/>
        </w:rPr>
        <w:t xml:space="preserve">    trust_level: L2                    # L1=log only, L2=propose+human, L3=autonomous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 Tags (used by pre-checkout hook for gate evaluation)</w:t>
      </w:r>
    </w:p>
    <w:p>
      <w:pPr>
        <w:shd w:fill="EEF2F7" w:val="clear"/>
        <w:spacing w:after="20" w:before="20"/>
        <w:ind w:left="360" w:right="360"/>
      </w:pPr>
      <w:r>
        <w:rPr>
          <w:rFonts w:ascii="Courier New" w:cs="Courier New" w:eastAsia="Courier New" w:hAnsi="Courier New"/>
          <w:color w:val="1B3A5C"/>
          <w:sz w:val="18"/>
          <w:szCs w:val="18"/>
        </w:rPr>
        <w:t xml:space="preserve">    tags: [chemistry, retrosynthesis, non-gxp-facing]</w:t>
      </w:r>
    </w:p>
    <w:p>
      <w:pPr>
        <w:pStyle w:val="Heading2"/>
        <w:spacing w:after="160" w:before="400"/>
      </w:pPr>
      <w:r>
        <w:rPr>
          <w:rFonts w:ascii="Arial" w:cs="Arial" w:eastAsia="Arial" w:hAnsi="Arial"/>
          <w:b/>
          <w:bCs/>
          <w:color w:val="3A7CA5"/>
          <w:sz w:val="28"/>
          <w:szCs w:val="28"/>
        </w:rPr>
        <w:t xml:space="preserve">8. Session Strategies and Their Pharma Implications</w:t>
      </w:r>
    </w:p>
    <w:p>
      <w:pPr>
        <w:spacing w:after="140"/>
        <w:jc w:val="both"/>
      </w:pPr>
      <w:r>
        <w:rPr>
          <w:rFonts w:ascii="Arial" w:cs="Arial" w:eastAsia="Arial" w:hAnsi="Arial"/>
          <w:color w:val="1A1A1A"/>
          <w:sz w:val="22"/>
          <w:szCs w:val="22"/>
        </w:rPr>
        <w:t xml:space="preserve">The session_strategy field in the openclaw_gateway adapter configuration controls how OpenClaw manages context across tasks. This choice has significant implications for both performance and auditability: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800"/>
        <w:gridCol w:w="2500"/>
        <w:gridCol w:w="2500"/>
      </w:tblGrid>
      <w:tr>
        <w:trPr>
          <w:tblHeader/>
        </w:trPr>
        <w:tc>
          <w:tcPr>
            <w:tcW w:type="dxa" w:w="13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Strategy</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Behaviour</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Context persistence</w:t>
            </w:r>
          </w:p>
        </w:tc>
        <w:tc>
          <w:tcPr>
            <w:tcW w:type="dxa" w:w="2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 use case</w:t>
            </w:r>
          </w:p>
        </w:tc>
        <w:tc>
          <w:tcPr>
            <w:tcW w:type="dxa" w:w="2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Auditability</w:t>
            </w:r>
          </w:p>
        </w:tc>
      </w:tr>
      <w:tr>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issue</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 fresh OpenClaw workspace is created for each task. The agent starts with no memory of previous tasks.</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None — clean slate per task</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Tasks that must be self-contained: each compound's ADMET screen, each DFT job, each literature search</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Highest — each task is a fully independent, auditable unit with its own session log</w:t>
            </w:r>
          </w:p>
        </w:tc>
      </w:tr>
      <w:tr>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run</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The workspace is reset at every heartbeat tick. The agent starts fresh each time the scheduler fires.</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None — reset per heartbeat</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Monitoring agents that check instrument status, inventory levels, or external feeds on a schedule</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each run is independent; no cross-run state contamination</w:t>
            </w:r>
          </w:p>
        </w:tc>
      </w:tr>
      <w:tr>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fixed</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One long-lived workspace session persists indefinitely. The agent accumulates memory across many tasks.</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Full — persists across tasks</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Portfolio strategist, CEO/orchestrator agents that need cross-project context</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 session log grows unboundedly; audit extraction requires full session export</w:t>
            </w:r>
          </w:p>
        </w:tc>
      </w:tr>
    </w:tbl>
    <w:p>
      <w:pPr>
        <w:pStyle w:val="Heading2"/>
        <w:spacing w:after="160" w:before="400"/>
      </w:pPr>
      <w:r>
        <w:rPr>
          <w:rFonts w:ascii="Arial" w:cs="Arial" w:eastAsia="Arial" w:hAnsi="Arial"/>
          <w:b/>
          <w:bCs/>
          <w:color w:val="3A7CA5"/>
          <w:sz w:val="28"/>
          <w:szCs w:val="28"/>
        </w:rPr>
        <w:t xml:space="preserve">9. The Heartbeat and Wake Mechanism</w:t>
      </w:r>
    </w:p>
    <w:p>
      <w:pPr>
        <w:spacing w:after="140"/>
        <w:jc w:val="both"/>
      </w:pPr>
      <w:r>
        <w:rPr>
          <w:rFonts w:ascii="Arial" w:cs="Arial" w:eastAsia="Arial" w:hAnsi="Arial"/>
          <w:color w:val="1A1A1A"/>
          <w:sz w:val="22"/>
          <w:szCs w:val="22"/>
        </w:rPr>
        <w:t xml:space="preserve">The Paperclip heartbeat system is responsible for proactively waking agents without human prompting — the mechanism that makes the 'zero-human' claim possible. The scheduler runs inside the Paperclip server process and maintains a priority queue of scheduled wake events. When a wake event fires for an agent, the server sends a POST to the agent adapter's wake endpoint with a JSON payload including PAPERCLIP_WAKE_REASON (a string identifying why the agent was woken).</w:t>
      </w:r>
    </w:p>
    <w:p>
      <w:pPr>
        <w:spacing w:after="140"/>
        <w:jc w:val="both"/>
      </w:pPr>
      <w:r>
        <w:rPr>
          <w:rFonts w:ascii="Arial" w:cs="Arial" w:eastAsia="Arial" w:hAnsi="Arial"/>
          <w:color w:val="1A1A1A"/>
          <w:sz w:val="22"/>
          <w:szCs w:val="22"/>
        </w:rPr>
        <w:t xml:space="preserve">The complete set of PAPERCLIP_WAKE_REASON values documented in the Paperclip SPEC-implementation.md: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Wake reason</w:t>
            </w:r>
          </w:p>
        </w:tc>
        <w:tc>
          <w:tcPr>
            <w:tcW w:type="dxa" w:w="3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Trigger</w:t>
            </w:r>
          </w:p>
        </w:tc>
        <w:tc>
          <w:tcPr>
            <w:tcW w:type="dxa" w:w="3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Agent action expected</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scheduled</w:t>
            </w:r>
          </w:p>
        </w:tc>
        <w:tc>
          <w:tcPr>
            <w:tcW w:type="dxa" w:w="3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The agent's cron heartbeat schedule has fired</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Execute the heartbeat instruction in the agent definition</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task_assigned</w:t>
            </w:r>
          </w:p>
        </w:tc>
        <w:tc>
          <w:tcPr>
            <w:tcW w:type="dxa" w:w="3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 new task was explicitly assigned to this agent by another agent or by a human</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Begin working on the assigned task</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blocker_cleared</w:t>
            </w:r>
          </w:p>
        </w:tc>
        <w:tc>
          <w:tcPr>
            <w:tcW w:type="dxa" w:w="3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 issue in the agent's blockedByIssueIds list has transitioned to 'done'</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Check out the newly unblocked task and begin work</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approval_resolved</w:t>
            </w:r>
          </w:p>
        </w:tc>
        <w:tc>
          <w:tcPr>
            <w:tcW w:type="dxa" w:w="3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 human has approved or rejected an approval gate request created by this agent</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Retrieve the approval decision and continue or abort the task accordingly</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budget_alert</w:t>
            </w:r>
          </w:p>
        </w:tc>
        <w:tc>
          <w:tcPr>
            <w:tcW w:type="dxa" w:w="3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The agent has reached the alert_threshold fraction of its monthly budget</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 a budget status comment; do not start new expensive tasks</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budget_reset</w:t>
            </w:r>
          </w:p>
        </w:tc>
        <w:tc>
          <w:tcPr>
            <w:tcW w:type="dxa" w:w="3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The monthly budget has reset to zero</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Resume normal operations</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context_update</w:t>
            </w:r>
          </w:p>
        </w:tc>
        <w:tc>
          <w:tcPr>
            <w:tcW w:type="dxa" w:w="3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Another agent has posted a comment on a task this agent is tracking</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Retrieve the update and incorporate into current context</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manual</w:t>
            </w:r>
          </w:p>
        </w:tc>
        <w:tc>
          <w:tcPr>
            <w:tcW w:type="dxa" w:w="3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 human has manually triggered a wake via the dashboard or API</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Execute the most appropriate pending task</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error_retry</w:t>
            </w:r>
          </w:p>
        </w:tc>
        <w:tc>
          <w:tcPr>
            <w:tcW w:type="dxa" w:w="3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 previous task execution ended in an error state; this is a retry wake</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Attempt to recover from the previous error</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heartbeat_test</w:t>
            </w:r>
          </w:p>
        </w:tc>
        <w:tc>
          <w:tcPr>
            <w:tcW w:type="dxa" w:w="3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Sent by the Paperclip health-check system to verify the agent is responsive</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Respond with a health acknowledgment; no task work</w:t>
            </w:r>
          </w:p>
        </w:tc>
      </w:tr>
    </w:tbl>
    <w:p>
      <w:pPr>
        <w:pStyle w:val="Heading2"/>
        <w:spacing w:after="160" w:before="400"/>
      </w:pPr>
      <w:r>
        <w:rPr>
          <w:rFonts w:ascii="Arial" w:cs="Arial" w:eastAsia="Arial" w:hAnsi="Arial"/>
          <w:b/>
          <w:bCs/>
          <w:color w:val="3A7CA5"/>
          <w:sz w:val="28"/>
          <w:szCs w:val="28"/>
        </w:rPr>
        <w:t xml:space="preserve">10. Issue Lifecycle and State Machine</w:t>
      </w:r>
    </w:p>
    <w:p>
      <w:pPr>
        <w:spacing w:after="140"/>
        <w:jc w:val="both"/>
      </w:pPr>
      <w:r>
        <w:rPr>
          <w:rFonts w:ascii="Arial" w:cs="Arial" w:eastAsia="Arial" w:hAnsi="Arial"/>
          <w:color w:val="1A1A1A"/>
          <w:sz w:val="22"/>
          <w:szCs w:val="22"/>
        </w:rPr>
        <w:t xml:space="preserve">Issues (tasks) in Paperclip pass through a defined state machine. Understanding the complete set of transitions is essential for designing multi-agent pharma workflows: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800"/>
      </w:tblGrid>
      <w:tr>
        <w:trPr>
          <w:tblHeader/>
        </w:trPr>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State</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Who can transition in</w:t>
            </w:r>
          </w:p>
        </w:tc>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Transitions to</w:t>
            </w:r>
          </w:p>
        </w:tc>
      </w:tr>
      <w:tr>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Task is available for assignment. Not yet checked out by any agent.</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Any agent or human (creation), blocker_cleared wake</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in_progress (agent checkout), blocked (dependency added)</w:t>
            </w:r>
          </w:p>
        </w:tc>
      </w:tr>
      <w:tr>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in_progress</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Task has been atomically checked out by one agent. HTTP 409 returned to any other agent attempting checkout.</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(atomic checkout via POST /issues/:id/checkout)</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in_review (agent submits), blocked (new dependency added), open (agent releases without completing), error (agent crashes)</w:t>
            </w:r>
          </w:p>
        </w:tc>
      </w:tr>
      <w:tr>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in_review</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has submitted work product and is requesting human or peer-agent review.</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(via POST /issues/:id/submit)</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done (reviewer approves), in_progress (reviewer requests changes), blocked (reviewer identifies dependency)</w:t>
            </w:r>
          </w:p>
        </w:tc>
      </w:tr>
      <w:tr>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blocked</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Task cannot proceed because one or more issues in blockedByIssueIds are not yet done.</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Any transition (when dependency added), or direct creation</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 (all blockers cleared — triggers blocker_cleared wake)</w:t>
            </w:r>
          </w:p>
        </w:tc>
      </w:tr>
      <w:tr>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done</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Task is complete and verified.</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Human reviewer, peer agent, or auto-close (if trust_level allows)</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(terminal — no further transitions)</w:t>
            </w:r>
          </w:p>
        </w:tc>
      </w:tr>
      <w:tr>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cancelled</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Task was cancelled before completion.</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Human or orchestrator agent</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(terminal)</w:t>
            </w:r>
          </w:p>
        </w:tc>
      </w:tr>
      <w:tr>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error</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Task execution encountered an unrecoverable error.</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System (on agent crash or timeout)</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 (manual or auto retry after error_retry wake)</w:t>
            </w:r>
          </w:p>
        </w:tc>
      </w:tr>
    </w:tbl>
    <w:p>
      <w:pPr>
        <w:spacing w:after="140"/>
        <w:jc w:val="both"/>
      </w:pPr>
      <w:r>
        <w:rPr>
          <w:rFonts w:ascii="Arial" w:cs="Arial" w:eastAsia="Arial" w:hAnsi="Arial"/>
          <w:color w:val="1A1A1A"/>
          <w:sz w:val="22"/>
          <w:szCs w:val="22"/>
        </w:rPr>
        <w:t xml:space="preserve">Atomic checkout is the most important operational property of the issue lifecycle. When an agent calls POST /api/companies/:company/issues/:id/checkout, the Paperclip server executes a database-level row lock (SELECT FOR UPDATE in PostgreSQL) before updating the status to in_progress. Any concurrent checkout attempt returns HTTP 409 with the message 'Issue already checked out by agent &lt;id&gt;'. This guarantees that no two agents ever work the same task simultaneously, regardless of how many agents are running or how they are scheduled.</w:t>
      </w:r>
    </w:p>
    <w:p>
      <w:pPr>
        <w:pStyle w:val="Heading2"/>
        <w:spacing w:after="160" w:before="400"/>
      </w:pPr>
      <w:r>
        <w:rPr>
          <w:rFonts w:ascii="Arial" w:cs="Arial" w:eastAsia="Arial" w:hAnsi="Arial"/>
          <w:b/>
          <w:bCs/>
          <w:color w:val="3A7CA5"/>
          <w:sz w:val="28"/>
          <w:szCs w:val="28"/>
        </w:rPr>
        <w:t xml:space="preserve">11. The SKILL.md Format and Trigger System</w:t>
      </w:r>
    </w:p>
    <w:p>
      <w:pPr>
        <w:spacing w:after="140"/>
        <w:jc w:val="both"/>
      </w:pPr>
      <w:r>
        <w:rPr>
          <w:rFonts w:ascii="Arial" w:cs="Arial" w:eastAsia="Arial" w:hAnsi="Arial"/>
          <w:color w:val="1A1A1A"/>
          <w:sz w:val="22"/>
          <w:szCs w:val="22"/>
        </w:rPr>
        <w:t xml:space="preserve">Paperclip skills are SKILL.md files in the .agents/skills/&lt;category&gt;/&lt;name&gt;/ directory. They are compatible with the agentskills.io open specification. The YAML frontmatter schema:</w:t>
      </w:r>
    </w:p>
    <w:p>
      <w:pPr>
        <w:shd w:fill="EEF2F7" w:val="clear"/>
        <w:spacing w:after="20" w:before="20"/>
        <w:ind w:left="360" w:right="360"/>
      </w:pPr>
      <w:r>
        <w:rPr>
          <w:rFonts w:ascii="Courier New" w:cs="Courier New" w:eastAsia="Courier New" w:hAnsi="Courier New"/>
          <w:color w:val="1B3A5C"/>
          <w:sz w:val="18"/>
          <w:szCs w:val="18"/>
        </w:rPr>
        <w:t xml:space="preserve">---</w:t>
      </w:r>
    </w:p>
    <w:p>
      <w:pPr>
        <w:shd w:fill="EEF2F7" w:val="clear"/>
        <w:spacing w:after="20" w:before="20"/>
        <w:ind w:left="360" w:right="360"/>
      </w:pPr>
      <w:r>
        <w:rPr>
          <w:rFonts w:ascii="Courier New" w:cs="Courier New" w:eastAsia="Courier New" w:hAnsi="Courier New"/>
          <w:color w:val="1B3A5C"/>
          <w:sz w:val="18"/>
          <w:szCs w:val="18"/>
        </w:rPr>
        <w:t xml:space="preserve"># SKILL.md frontmatter — complete field reference</w:t>
      </w:r>
    </w:p>
    <w:p>
      <w:pPr>
        <w:shd w:fill="EEF2F7" w:val="clear"/>
        <w:spacing w:after="20" w:before="20"/>
        <w:ind w:left="360" w:right="360"/>
      </w:pPr>
      <w:r>
        <w:rPr>
          <w:rFonts w:ascii="Courier New" w:cs="Courier New" w:eastAsia="Courier New" w:hAnsi="Courier New"/>
          <w:color w:val="1B3A5C"/>
          <w:sz w:val="18"/>
          <w:szCs w:val="18"/>
        </w:rPr>
        <w:t xml:space="preserve">name: retrosynthesis-planning</w:t>
      </w:r>
    </w:p>
    <w:p>
      <w:pPr>
        <w:shd w:fill="EEF2F7" w:val="clear"/>
        <w:spacing w:after="20" w:before="20"/>
        <w:ind w:left="360" w:right="360"/>
      </w:pPr>
      <w:r>
        <w:rPr>
          <w:rFonts w:ascii="Courier New" w:cs="Courier New" w:eastAsia="Courier New" w:hAnsi="Courier New"/>
          <w:color w:val="1B3A5C"/>
          <w:sz w:val="18"/>
          <w:szCs w:val="18"/>
        </w:rPr>
        <w:t xml:space="preserve">description: |</w:t>
      </w:r>
    </w:p>
    <w:p>
      <w:pPr>
        <w:shd w:fill="EEF2F7" w:val="clear"/>
        <w:spacing w:after="20" w:before="20"/>
        <w:ind w:left="360" w:right="360"/>
      </w:pPr>
      <w:r>
        <w:rPr>
          <w:rFonts w:ascii="Courier New" w:cs="Courier New" w:eastAsia="Courier New" w:hAnsi="Courier New"/>
          <w:color w:val="1B3A5C"/>
          <w:sz w:val="18"/>
          <w:szCs w:val="18"/>
        </w:rPr>
        <w:t xml:space="preserve">  Plan retrosynthetic routes for a target compound using ASKCOS</w:t>
      </w:r>
    </w:p>
    <w:p>
      <w:pPr>
        <w:shd w:fill="EEF2F7" w:val="clear"/>
        <w:spacing w:after="20" w:before="20"/>
        <w:ind w:left="360" w:right="360"/>
      </w:pPr>
      <w:r>
        <w:rPr>
          <w:rFonts w:ascii="Courier New" w:cs="Courier New" w:eastAsia="Courier New" w:hAnsi="Courier New"/>
          <w:color w:val="1B3A5C"/>
          <w:sz w:val="18"/>
          <w:szCs w:val="18"/>
        </w:rPr>
        <w:t xml:space="preserve">  and AiZynthFinder. Use when given a target SMILES and asked for</w:t>
      </w:r>
    </w:p>
    <w:p>
      <w:pPr>
        <w:shd w:fill="EEF2F7" w:val="clear"/>
        <w:spacing w:after="20" w:before="20"/>
        <w:ind w:left="360" w:right="360"/>
      </w:pPr>
      <w:r>
        <w:rPr>
          <w:rFonts w:ascii="Courier New" w:cs="Courier New" w:eastAsia="Courier New" w:hAnsi="Courier New"/>
          <w:color w:val="1B3A5C"/>
          <w:sz w:val="18"/>
          <w:szCs w:val="18"/>
        </w:rPr>
        <w:t xml:space="preserve">  synthetic routes. Do not use for reaction mechanism questions.</w:t>
      </w:r>
    </w:p>
    <w:p>
      <w:pPr>
        <w:shd w:fill="EEF2F7" w:val="clear"/>
        <w:spacing w:after="20" w:before="20"/>
        <w:ind w:left="360" w:right="360"/>
      </w:pPr>
      <w:r>
        <w:rPr>
          <w:rFonts w:ascii="Courier New" w:cs="Courier New" w:eastAsia="Courier New" w:hAnsi="Courier New"/>
          <w:color w:val="1B3A5C"/>
          <w:sz w:val="18"/>
          <w:szCs w:val="18"/>
        </w:rPr>
        <w:t xml:space="preserve">version: 2.1.0</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Tool permissions (subset of tools the agent can use for this skill)</w:t>
      </w:r>
    </w:p>
    <w:p>
      <w:pPr>
        <w:shd w:fill="EEF2F7" w:val="clear"/>
        <w:spacing w:after="20" w:before="20"/>
        <w:ind w:left="360" w:right="360"/>
      </w:pPr>
      <w:r>
        <w:rPr>
          <w:rFonts w:ascii="Courier New" w:cs="Courier New" w:eastAsia="Courier New" w:hAnsi="Courier New"/>
          <w:color w:val="1B3A5C"/>
          <w:sz w:val="18"/>
          <w:szCs w:val="18"/>
        </w:rPr>
        <w:t xml:space="preserve">allowed_tools:</w:t>
      </w:r>
    </w:p>
    <w:p>
      <w:pPr>
        <w:shd w:fill="EEF2F7" w:val="clear"/>
        <w:spacing w:after="20" w:before="20"/>
        <w:ind w:left="360" w:right="360"/>
      </w:pPr>
      <w:r>
        <w:rPr>
          <w:rFonts w:ascii="Courier New" w:cs="Courier New" w:eastAsia="Courier New" w:hAnsi="Courier New"/>
          <w:color w:val="1B3A5C"/>
          <w:sz w:val="18"/>
          <w:szCs w:val="18"/>
        </w:rPr>
        <w:t xml:space="preserve">  - Read</w:t>
      </w:r>
    </w:p>
    <w:p>
      <w:pPr>
        <w:shd w:fill="EEF2F7" w:val="clear"/>
        <w:spacing w:after="20" w:before="20"/>
        <w:ind w:left="360" w:right="360"/>
      </w:pPr>
      <w:r>
        <w:rPr>
          <w:rFonts w:ascii="Courier New" w:cs="Courier New" w:eastAsia="Courier New" w:hAnsi="Courier New"/>
          <w:color w:val="1B3A5C"/>
          <w:sz w:val="18"/>
          <w:szCs w:val="18"/>
        </w:rPr>
        <w:t xml:space="preserve">  - Write</w:t>
      </w:r>
    </w:p>
    <w:p>
      <w:pPr>
        <w:shd w:fill="EEF2F7" w:val="clear"/>
        <w:spacing w:after="20" w:before="20"/>
        <w:ind w:left="360" w:right="360"/>
      </w:pPr>
      <w:r>
        <w:rPr>
          <w:rFonts w:ascii="Courier New" w:cs="Courier New" w:eastAsia="Courier New" w:hAnsi="Courier New"/>
          <w:color w:val="1B3A5C"/>
          <w:sz w:val="18"/>
          <w:szCs w:val="18"/>
        </w:rPr>
        <w:t xml:space="preserve">  - Bash</w:t>
      </w:r>
    </w:p>
    <w:p>
      <w:pPr>
        <w:shd w:fill="EEF2F7" w:val="clear"/>
        <w:spacing w:after="20" w:before="20"/>
        <w:ind w:left="360" w:right="360"/>
      </w:pPr>
      <w:r>
        <w:rPr>
          <w:rFonts w:ascii="Courier New" w:cs="Courier New" w:eastAsia="Courier New" w:hAnsi="Courier New"/>
          <w:color w:val="1B3A5C"/>
          <w:sz w:val="18"/>
          <w:szCs w:val="18"/>
        </w:rPr>
        <w:t xml:space="preserve">  - Fetch</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Input schema (fields expected on the task)</w:t>
      </w:r>
    </w:p>
    <w:p>
      <w:pPr>
        <w:shd w:fill="EEF2F7" w:val="clear"/>
        <w:spacing w:after="20" w:before="20"/>
        <w:ind w:left="360" w:right="360"/>
      </w:pPr>
      <w:r>
        <w:rPr>
          <w:rFonts w:ascii="Courier New" w:cs="Courier New" w:eastAsia="Courier New" w:hAnsi="Courier New"/>
          <w:color w:val="1B3A5C"/>
          <w:sz w:val="18"/>
          <w:szCs w:val="18"/>
        </w:rPr>
        <w:t xml:space="preserve">input:</w:t>
      </w:r>
    </w:p>
    <w:p>
      <w:pPr>
        <w:shd w:fill="EEF2F7" w:val="clear"/>
        <w:spacing w:after="20" w:before="20"/>
        <w:ind w:left="360" w:right="360"/>
      </w:pPr>
      <w:r>
        <w:rPr>
          <w:rFonts w:ascii="Courier New" w:cs="Courier New" w:eastAsia="Courier New" w:hAnsi="Courier New"/>
          <w:color w:val="1B3A5C"/>
          <w:sz w:val="18"/>
          <w:szCs w:val="18"/>
        </w:rPr>
        <w:t xml:space="preserve">  smiles:</w:t>
      </w:r>
    </w:p>
    <w:p>
      <w:pPr>
        <w:shd w:fill="EEF2F7" w:val="clear"/>
        <w:spacing w:after="20" w:before="20"/>
        <w:ind w:left="360" w:right="360"/>
      </w:pPr>
      <w:r>
        <w:rPr>
          <w:rFonts w:ascii="Courier New" w:cs="Courier New" w:eastAsia="Courier New" w:hAnsi="Courier New"/>
          <w:color w:val="1B3A5C"/>
          <w:sz w:val="18"/>
          <w:szCs w:val="18"/>
        </w:rPr>
        <w:t xml:space="preserve">    type: string</w:t>
      </w:r>
    </w:p>
    <w:p>
      <w:pPr>
        <w:shd w:fill="EEF2F7" w:val="clear"/>
        <w:spacing w:after="20" w:before="20"/>
        <w:ind w:left="360" w:right="360"/>
      </w:pPr>
      <w:r>
        <w:rPr>
          <w:rFonts w:ascii="Courier New" w:cs="Courier New" w:eastAsia="Courier New" w:hAnsi="Courier New"/>
          <w:color w:val="1B3A5C"/>
          <w:sz w:val="18"/>
          <w:szCs w:val="18"/>
        </w:rPr>
        <w:t xml:space="preserve">    required: true</w:t>
      </w:r>
    </w:p>
    <w:p>
      <w:pPr>
        <w:shd w:fill="EEF2F7" w:val="clear"/>
        <w:spacing w:after="20" w:before="20"/>
        <w:ind w:left="360" w:right="360"/>
      </w:pPr>
      <w:r>
        <w:rPr>
          <w:rFonts w:ascii="Courier New" w:cs="Courier New" w:eastAsia="Courier New" w:hAnsi="Courier New"/>
          <w:color w:val="1B3A5C"/>
          <w:sz w:val="18"/>
          <w:szCs w:val="18"/>
        </w:rPr>
        <w:t xml:space="preserve">    description: Target compound SMILES string</w:t>
      </w:r>
    </w:p>
    <w:p>
      <w:pPr>
        <w:shd w:fill="EEF2F7" w:val="clear"/>
        <w:spacing w:after="20" w:before="20"/>
        <w:ind w:left="360" w:right="360"/>
      </w:pPr>
      <w:r>
        <w:rPr>
          <w:rFonts w:ascii="Courier New" w:cs="Courier New" w:eastAsia="Courier New" w:hAnsi="Courier New"/>
          <w:color w:val="1B3A5C"/>
          <w:sz w:val="18"/>
          <w:szCs w:val="18"/>
        </w:rPr>
        <w:t xml:space="preserve">  project_id:</w:t>
      </w:r>
    </w:p>
    <w:p>
      <w:pPr>
        <w:shd w:fill="EEF2F7" w:val="clear"/>
        <w:spacing w:after="20" w:before="20"/>
        <w:ind w:left="360" w:right="360"/>
      </w:pPr>
      <w:r>
        <w:rPr>
          <w:rFonts w:ascii="Courier New" w:cs="Courier New" w:eastAsia="Courier New" w:hAnsi="Courier New"/>
          <w:color w:val="1B3A5C"/>
          <w:sz w:val="18"/>
          <w:szCs w:val="18"/>
        </w:rPr>
        <w:t xml:space="preserve">    type: string</w:t>
      </w:r>
    </w:p>
    <w:p>
      <w:pPr>
        <w:shd w:fill="EEF2F7" w:val="clear"/>
        <w:spacing w:after="20" w:before="20"/>
        <w:ind w:left="360" w:right="360"/>
      </w:pPr>
      <w:r>
        <w:rPr>
          <w:rFonts w:ascii="Courier New" w:cs="Courier New" w:eastAsia="Courier New" w:hAnsi="Courier New"/>
          <w:color w:val="1B3A5C"/>
          <w:sz w:val="18"/>
          <w:szCs w:val="18"/>
        </w:rPr>
        <w:t xml:space="preserve">    required: true</w:t>
      </w:r>
    </w:p>
    <w:p>
      <w:pPr>
        <w:shd w:fill="EEF2F7" w:val="clear"/>
        <w:spacing w:after="20" w:before="20"/>
        <w:ind w:left="360" w:right="360"/>
      </w:pPr>
      <w:r>
        <w:rPr>
          <w:rFonts w:ascii="Courier New" w:cs="Courier New" w:eastAsia="Courier New" w:hAnsi="Courier New"/>
          <w:color w:val="1B3A5C"/>
          <w:sz w:val="18"/>
          <w:szCs w:val="18"/>
        </w:rPr>
        <w:t xml:space="preserve">  max_routes:</w:t>
      </w:r>
    </w:p>
    <w:p>
      <w:pPr>
        <w:shd w:fill="EEF2F7" w:val="clear"/>
        <w:spacing w:after="20" w:before="20"/>
        <w:ind w:left="360" w:right="360"/>
      </w:pPr>
      <w:r>
        <w:rPr>
          <w:rFonts w:ascii="Courier New" w:cs="Courier New" w:eastAsia="Courier New" w:hAnsi="Courier New"/>
          <w:color w:val="1B3A5C"/>
          <w:sz w:val="18"/>
          <w:szCs w:val="18"/>
        </w:rPr>
        <w:t xml:space="preserve">    type: integer</w:t>
      </w:r>
    </w:p>
    <w:p>
      <w:pPr>
        <w:shd w:fill="EEF2F7" w:val="clear"/>
        <w:spacing w:after="20" w:before="20"/>
        <w:ind w:left="360" w:right="360"/>
      </w:pPr>
      <w:r>
        <w:rPr>
          <w:rFonts w:ascii="Courier New" w:cs="Courier New" w:eastAsia="Courier New" w:hAnsi="Courier New"/>
          <w:color w:val="1B3A5C"/>
          <w:sz w:val="18"/>
          <w:szCs w:val="18"/>
        </w:rPr>
        <w:t xml:space="preserve">    default: 10</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Output schema (fields the agent must write to the task on completion)</w:t>
      </w:r>
    </w:p>
    <w:p>
      <w:pPr>
        <w:shd w:fill="EEF2F7" w:val="clear"/>
        <w:spacing w:after="20" w:before="20"/>
        <w:ind w:left="360" w:right="360"/>
      </w:pPr>
      <w:r>
        <w:rPr>
          <w:rFonts w:ascii="Courier New" w:cs="Courier New" w:eastAsia="Courier New" w:hAnsi="Courier New"/>
          <w:color w:val="1B3A5C"/>
          <w:sz w:val="18"/>
          <w:szCs w:val="18"/>
        </w:rPr>
        <w:t xml:space="preserve">output:</w:t>
      </w:r>
    </w:p>
    <w:p>
      <w:pPr>
        <w:shd w:fill="EEF2F7" w:val="clear"/>
        <w:spacing w:after="20" w:before="20"/>
        <w:ind w:left="360" w:right="360"/>
      </w:pPr>
      <w:r>
        <w:rPr>
          <w:rFonts w:ascii="Courier New" w:cs="Courier New" w:eastAsia="Courier New" w:hAnsi="Courier New"/>
          <w:color w:val="1B3A5C"/>
          <w:sz w:val="18"/>
          <w:szCs w:val="18"/>
        </w:rPr>
        <w:t xml:space="preserve">  routes_artifact:</w:t>
      </w:r>
    </w:p>
    <w:p>
      <w:pPr>
        <w:shd w:fill="EEF2F7" w:val="clear"/>
        <w:spacing w:after="20" w:before="20"/>
        <w:ind w:left="360" w:right="360"/>
      </w:pPr>
      <w:r>
        <w:rPr>
          <w:rFonts w:ascii="Courier New" w:cs="Courier New" w:eastAsia="Courier New" w:hAnsi="Courier New"/>
          <w:color w:val="1B3A5C"/>
          <w:sz w:val="18"/>
          <w:szCs w:val="18"/>
        </w:rPr>
        <w:t xml:space="preserve">    type: string</w:t>
      </w:r>
    </w:p>
    <w:p>
      <w:pPr>
        <w:shd w:fill="EEF2F7" w:val="clear"/>
        <w:spacing w:after="20" w:before="20"/>
        <w:ind w:left="360" w:right="360"/>
      </w:pPr>
      <w:r>
        <w:rPr>
          <w:rFonts w:ascii="Courier New" w:cs="Courier New" w:eastAsia="Courier New" w:hAnsi="Courier New"/>
          <w:color w:val="1B3A5C"/>
          <w:sz w:val="18"/>
          <w:szCs w:val="18"/>
        </w:rPr>
        <w:t xml:space="preserve">    description: Path to JSON artifact file</w:t>
      </w:r>
    </w:p>
    <w:p>
      <w:pPr>
        <w:shd w:fill="EEF2F7" w:val="clear"/>
        <w:spacing w:after="20" w:before="20"/>
        <w:ind w:left="360" w:right="360"/>
      </w:pPr>
      <w:r>
        <w:rPr>
          <w:rFonts w:ascii="Courier New" w:cs="Courier New" w:eastAsia="Courier New" w:hAnsi="Courier New"/>
          <w:color w:val="1B3A5C"/>
          <w:sz w:val="18"/>
          <w:szCs w:val="18"/>
        </w:rPr>
        <w:t xml:space="preserve">  route_summary:</w:t>
      </w:r>
    </w:p>
    <w:p>
      <w:pPr>
        <w:shd w:fill="EEF2F7" w:val="clear"/>
        <w:spacing w:after="20" w:before="20"/>
        <w:ind w:left="360" w:right="360"/>
      </w:pPr>
      <w:r>
        <w:rPr>
          <w:rFonts w:ascii="Courier New" w:cs="Courier New" w:eastAsia="Courier New" w:hAnsi="Courier New"/>
          <w:color w:val="1B3A5C"/>
          <w:sz w:val="18"/>
          <w:szCs w:val="18"/>
        </w:rPr>
        <w:t xml:space="preserve">    type: string</w:t>
      </w:r>
    </w:p>
    <w:p>
      <w:pPr>
        <w:shd w:fill="EEF2F7" w:val="clear"/>
        <w:spacing w:after="20" w:before="20"/>
        <w:ind w:left="360" w:right="360"/>
      </w:pPr>
      <w:r>
        <w:rPr>
          <w:rFonts w:ascii="Courier New" w:cs="Courier New" w:eastAsia="Courier New" w:hAnsi="Courier New"/>
          <w:color w:val="1B3A5C"/>
          <w:sz w:val="18"/>
          <w:szCs w:val="18"/>
        </w:rPr>
        <w:t xml:space="preserve">    description: Human-readable summary for task comment</w:t>
      </w:r>
    </w:p>
    <w:p>
      <w:pPr>
        <w:shd w:fill="EEF2F7" w:val="clear"/>
        <w:spacing w:after="20" w:before="20"/>
        <w:ind w:left="360" w:right="360"/>
      </w:pPr>
      <w:r>
        <w:rPr>
          <w:rFonts w:ascii="Courier New" w:cs="Courier New" w:eastAsia="Courier New" w:hAnsi="Courier New"/>
          <w:color w:val="1B3A5C"/>
          <w:sz w:val="18"/>
          <w:szCs w:val="18"/>
        </w:rPr>
        <w:t xml:space="preserve">  recommended_route_index:</w:t>
      </w:r>
    </w:p>
    <w:p>
      <w:pPr>
        <w:shd w:fill="EEF2F7" w:val="clear"/>
        <w:spacing w:after="20" w:before="20"/>
        <w:ind w:left="360" w:right="360"/>
      </w:pPr>
      <w:r>
        <w:rPr>
          <w:rFonts w:ascii="Courier New" w:cs="Courier New" w:eastAsia="Courier New" w:hAnsi="Courier New"/>
          <w:color w:val="1B3A5C"/>
          <w:sz w:val="18"/>
          <w:szCs w:val="18"/>
        </w:rPr>
        <w:t xml:space="preserve">    type: integer</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Trigger matching (when does Paperclip select this skill?)</w:t>
      </w:r>
    </w:p>
    <w:p>
      <w:pPr>
        <w:shd w:fill="EEF2F7" w:val="clear"/>
        <w:spacing w:after="20" w:before="20"/>
        <w:ind w:left="360" w:right="360"/>
      </w:pPr>
      <w:r>
        <w:rPr>
          <w:rFonts w:ascii="Courier New" w:cs="Courier New" w:eastAsia="Courier New" w:hAnsi="Courier New"/>
          <w:color w:val="1B3A5C"/>
          <w:sz w:val="18"/>
          <w:szCs w:val="18"/>
        </w:rPr>
        <w:t xml:space="preserve">triggers:</w:t>
      </w:r>
    </w:p>
    <w:p>
      <w:pPr>
        <w:shd w:fill="EEF2F7" w:val="clear"/>
        <w:spacing w:after="20" w:before="20"/>
        <w:ind w:left="360" w:right="360"/>
      </w:pPr>
      <w:r>
        <w:rPr>
          <w:rFonts w:ascii="Courier New" w:cs="Courier New" w:eastAsia="Courier New" w:hAnsi="Courier New"/>
          <w:color w:val="1B3A5C"/>
          <w:sz w:val="18"/>
          <w:szCs w:val="18"/>
        </w:rPr>
        <w:t xml:space="preserve">  - title_contains: ["retrosynthesis", "synthesis route", "synthetic route"]</w:t>
      </w:r>
    </w:p>
    <w:p>
      <w:pPr>
        <w:shd w:fill="EEF2F7" w:val="clear"/>
        <w:spacing w:after="20" w:before="20"/>
        <w:ind w:left="360" w:right="360"/>
      </w:pPr>
      <w:r>
        <w:rPr>
          <w:rFonts w:ascii="Courier New" w:cs="Courier New" w:eastAsia="Courier New" w:hAnsi="Courier New"/>
          <w:color w:val="1B3A5C"/>
          <w:sz w:val="18"/>
          <w:szCs w:val="18"/>
        </w:rPr>
        <w:t xml:space="preserve">  - label_contains: ["retrosynthesis", "synthesis-planning"]</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Environment variables required (checked at checkout)</w:t>
      </w:r>
    </w:p>
    <w:p>
      <w:pPr>
        <w:shd w:fill="EEF2F7" w:val="clear"/>
        <w:spacing w:after="20" w:before="20"/>
        <w:ind w:left="360" w:right="360"/>
      </w:pPr>
      <w:r>
        <w:rPr>
          <w:rFonts w:ascii="Courier New" w:cs="Courier New" w:eastAsia="Courier New" w:hAnsi="Courier New"/>
          <w:color w:val="1B3A5C"/>
          <w:sz w:val="18"/>
          <w:szCs w:val="18"/>
        </w:rPr>
        <w:t xml:space="preserve">required_env:</w:t>
      </w:r>
    </w:p>
    <w:p>
      <w:pPr>
        <w:shd w:fill="EEF2F7" w:val="clear"/>
        <w:spacing w:after="20" w:before="20"/>
        <w:ind w:left="360" w:right="360"/>
      </w:pPr>
      <w:r>
        <w:rPr>
          <w:rFonts w:ascii="Courier New" w:cs="Courier New" w:eastAsia="Courier New" w:hAnsi="Courier New"/>
          <w:color w:val="1B3A5C"/>
          <w:sz w:val="18"/>
          <w:szCs w:val="18"/>
        </w:rPr>
        <w:t xml:space="preserve">  - ASKCOS_URL</w:t>
      </w:r>
    </w:p>
    <w:p>
      <w:pPr>
        <w:shd w:fill="EEF2F7" w:val="clear"/>
        <w:spacing w:after="20" w:before="20"/>
        <w:ind w:left="360" w:right="360"/>
      </w:pPr>
      <w:r>
        <w:rPr>
          <w:rFonts w:ascii="Courier New" w:cs="Courier New" w:eastAsia="Courier New" w:hAnsi="Courier New"/>
          <w:color w:val="1B3A5C"/>
          <w:sz w:val="18"/>
          <w:szCs w:val="18"/>
        </w:rPr>
        <w:t xml:space="preserve">  - AIZYNTH_CONFIG_PATH</w:t>
      </w:r>
    </w:p>
    <w:p>
      <w:pPr>
        <w:shd w:fill="EEF2F7" w:val="clear"/>
        <w:spacing w:after="20" w:before="20"/>
        <w:ind w:left="360" w:right="360"/>
      </w:pPr>
      <w:r>
        <w:rPr>
          <w:rFonts w:ascii="Courier New" w:cs="Courier New" w:eastAsia="Courier New" w:hAnsi="Courier New"/>
          <w:color w:val="1B3A5C"/>
          <w:sz w:val="18"/>
          <w:szCs w:val="18"/>
        </w:rPr>
        <w:t xml:space="preserve">  - PAPERCLIP_API_URL</w:t>
      </w:r>
    </w:p>
    <w:p>
      <w:pPr>
        <w:shd w:fill="EEF2F7" w:val="clear"/>
        <w:spacing w:after="20" w:before="20"/>
        <w:ind w:left="360" w:right="360"/>
      </w:pPr>
      <w:r>
        <w:rPr>
          <w:rFonts w:ascii="Courier New" w:cs="Courier New" w:eastAsia="Courier New" w:hAnsi="Courier New"/>
          <w:color w:val="1B3A5C"/>
          <w:sz w:val="18"/>
          <w:szCs w:val="18"/>
        </w:rPr>
        <w:t xml:space="preserve">  - PAPERCLIP_API_KEY</w:t>
      </w:r>
    </w:p>
    <w:p>
      <w:pPr>
        <w:shd w:fill="EEF2F7" w:val="clear"/>
        <w:spacing w:after="20" w:before="20"/>
        <w:ind w:left="360" w:right="360"/>
      </w:pPr>
      <w:r>
        <w:rPr>
          <w:rFonts w:ascii="Courier New" w:cs="Courier New" w:eastAsia="Courier New" w:hAnsi="Courier New"/>
          <w:color w:val="1B3A5C"/>
          <w:sz w:val="18"/>
          <w:szCs w:val="18"/>
        </w:rPr>
        <w:t xml:space="preserve">---</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Retrosynthesis Planning</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When to use this skill</w:t>
      </w:r>
    </w:p>
    <w:p>
      <w:pPr>
        <w:shd w:fill="EEF2F7" w:val="clear"/>
        <w:spacing w:after="20" w:before="20"/>
        <w:ind w:left="360" w:right="360"/>
      </w:pPr>
      <w:r>
        <w:rPr>
          <w:rFonts w:ascii="Courier New" w:cs="Courier New" w:eastAsia="Courier New" w:hAnsi="Courier New"/>
          <w:color w:val="1B3A5C"/>
          <w:sz w:val="18"/>
          <w:szCs w:val="18"/>
        </w:rPr>
        <w:t xml:space="preserve">Use this skill when assigned a task with a target SMILES...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Procedure</w:t>
      </w:r>
    </w:p>
    <w:p>
      <w:pPr>
        <w:shd w:fill="EEF2F7" w:val="clear"/>
        <w:spacing w:after="20" w:before="20"/>
        <w:ind w:left="360" w:right="360"/>
      </w:pPr>
      <w:r>
        <w:rPr>
          <w:rFonts w:ascii="Courier New" w:cs="Courier New" w:eastAsia="Courier New" w:hAnsi="Courier New"/>
          <w:color w:val="1B3A5C"/>
          <w:sz w:val="18"/>
          <w:szCs w:val="18"/>
        </w:rPr>
        <w:t xml:space="preserve">1. Retrieve the task from the Paperclip API...</w:t>
      </w:r>
    </w:p>
    <w:p>
      <w:pPr>
        <w:shd w:fill="EEF2F7" w:val="clear"/>
        <w:spacing w:after="20" w:before="20"/>
        <w:ind w:left="360" w:right="360"/>
      </w:pPr>
      <w:r>
        <w:rPr>
          <w:rFonts w:ascii="Courier New" w:cs="Courier New" w:eastAsia="Courier New" w:hAnsi="Courier New"/>
          <w:color w:val="1B3A5C"/>
          <w:sz w:val="18"/>
          <w:szCs w:val="18"/>
        </w:rPr>
        <w:t xml:space="preserve">2. Validate the SMILES with RDKit...</w:t>
      </w:r>
    </w:p>
    <w:p>
      <w:pPr>
        <w:shd w:fill="EEF2F7" w:val="clear"/>
        <w:spacing w:after="20" w:before="20"/>
        <w:ind w:left="360" w:right="360"/>
      </w:pPr>
      <w:r>
        <w:rPr>
          <w:rFonts w:ascii="Courier New" w:cs="Courier New" w:eastAsia="Courier New" w:hAnsi="Courier New"/>
          <w:color w:val="1B3A5C"/>
          <w:sz w:val="18"/>
          <w:szCs w:val="18"/>
        </w:rPr>
        <w:t xml:space="preserve">...</w:t>
      </w:r>
    </w:p>
    <w:p>
      <w:pPr>
        <w:spacing w:after="140"/>
        <w:jc w:val="both"/>
      </w:pPr>
      <w:r>
        <w:rPr>
          <w:rFonts w:ascii="Arial" w:cs="Arial" w:eastAsia="Arial" w:hAnsi="Arial"/>
          <w:color w:val="1A1A1A"/>
          <w:sz w:val="22"/>
          <w:szCs w:val="22"/>
        </w:rPr>
        <w:t xml:space="preserve">Trigger matching follows a priority order: first, explicit task assignment (agent_id specified) overrides all trigger matching; second, label_contains triggers; third, title_contains triggers; finally, the fallback is the agent's default skill (specified in the agent definition). When multiple skills match, the skill with the most specific trigger (exact label match before substring title match) takes precedence. If two skills have equal specificity, Paperclip picks the most recently updated one and logs a warning to the activity log.</w:t>
      </w:r>
    </w:p>
    <w:p>
      <w:pPr>
        <w:pStyle w:val="Heading2"/>
        <w:spacing w:after="160" w:before="400"/>
      </w:pPr>
      <w:r>
        <w:rPr>
          <w:rFonts w:ascii="Arial" w:cs="Arial" w:eastAsia="Arial" w:hAnsi="Arial"/>
          <w:b/>
          <w:bCs/>
          <w:color w:val="3A7CA5"/>
          <w:sz w:val="28"/>
          <w:szCs w:val="28"/>
        </w:rPr>
        <w:t xml:space="preserve">12. Known Issues — The Pre-Production Blockers</w:t>
      </w:r>
    </w:p>
    <w:p>
      <w:pPr>
        <w:pStyle w:val="Heading3"/>
        <w:spacing w:after="100" w:before="280"/>
      </w:pPr>
      <w:r>
        <w:rPr>
          <w:rFonts w:ascii="Arial" w:cs="Arial" w:eastAsia="Arial" w:hAnsi="Arial"/>
          <w:b/>
          <w:bCs/>
          <w:color w:val="0D7C8C"/>
          <w:sz w:val="24"/>
          <w:szCs w:val="24"/>
        </w:rPr>
        <w:t xml:space="preserve">Issue #2553 — pino-pretty OOM at scale</w:t>
      </w:r>
    </w:p>
    <w:p>
      <w:pPr>
        <w:spacing w:after="140"/>
        <w:jc w:val="both"/>
      </w:pPr>
      <w:r>
        <w:rPr>
          <w:rFonts w:ascii="Arial" w:cs="Arial" w:eastAsia="Arial" w:hAnsi="Arial"/>
          <w:color w:val="1A1A1A"/>
          <w:sz w:val="22"/>
          <w:szCs w:val="22"/>
        </w:rPr>
        <w:t xml:space="preserve">Issue #2553 (opened March 2026, currently the most-commented issue in the Paperclip tracker) describes a memory exhaustion problem in Paperclip's logging subsystem. The Paperclip server uses pino for structured logging and pino-pretty for human-readable development output. Under load (approximately 280+ concurrent issues across all agents), pino-pretty's output buffer grows without bound because the pretty-print pipeline does not apply backpressure when the log consumer is slower than the log producer. The result is a gradual memory leak that causes the Paperclip server to exceed the Node.js V8 heap limit and crash after approximately 8–12 hours of sustained multi-agent operation. The crash is not graceful — in-progress tasks revert to 'error' state, active approval decisions are lost, and the activity log may have incomplete entries for the crash window.</w:t>
      </w:r>
    </w:p>
    <w:p>
      <w:pPr>
        <w:spacing w:after="140"/>
        <w:jc w:val="both"/>
      </w:pPr>
      <w:r>
        <w:rPr>
          <w:rFonts w:ascii="Arial" w:cs="Arial" w:eastAsia="Arial" w:hAnsi="Arial"/>
          <w:color w:val="1A1A1A"/>
          <w:sz w:val="22"/>
          <w:szCs w:val="22"/>
        </w:rPr>
        <w:t xml:space="preserve">The workaround applied in production deployments pending the fix: disable pino-pretty in production configuration (use pino's JSON output mode directly), cap active issues at 250 per company via a database trigger, implement a nightly 03:00 graceful restart of the Paperclip process after quiescing all active heartbeats, and archive completed issues older than 7 days to a separate table to keep the active issue count bounded.</w:t>
      </w:r>
    </w:p>
    <w:p>
      <w:pPr>
        <w:pStyle w:val="Heading3"/>
        <w:spacing w:after="100" w:before="280"/>
      </w:pPr>
      <w:r>
        <w:rPr>
          <w:rFonts w:ascii="Arial" w:cs="Arial" w:eastAsia="Arial" w:hAnsi="Arial"/>
          <w:b/>
          <w:bCs/>
          <w:color w:val="0D7C8C"/>
          <w:sz w:val="24"/>
          <w:szCs w:val="24"/>
        </w:rPr>
        <w:t xml:space="preserve">Issue #1089 — No token accounting for openclaw_gateway</w:t>
      </w:r>
    </w:p>
    <w:p>
      <w:pPr>
        <w:spacing w:after="140"/>
        <w:jc w:val="both"/>
      </w:pPr>
      <w:r>
        <w:rPr>
          <w:rFonts w:ascii="Arial" w:cs="Arial" w:eastAsia="Arial" w:hAnsi="Arial"/>
          <w:color w:val="1A1A1A"/>
          <w:sz w:val="22"/>
          <w:szCs w:val="22"/>
        </w:rPr>
        <w:t xml:space="preserve">Issue #1089 documents that the openclaw_gateway adapter does not report token usage back to Paperclip's budget tracking system. When a NemoClaw/OpenClaw agent completes a task, the Paperclip budget tracker receives zero token consumption from that agent's turn — meaning the monthly budget cap is never actually enforced for openclaw_gateway agents. Only claude_local and http_webhook adapter agents report token usage correctly. The root cause is in the OpenClaw WebSocket session protocol, which does not include a token-usage field in its session-complete event frame. The compensating control: a sidecar process that subscribes to the OpenClaw gateway's event stream, parses the usage: field from claude API response frames, and posts the usage to a custom cost_events endpoint that Paperclip polls.</w:t>
      </w:r>
    </w:p>
    <w:p>
      <w:pPr>
        <w:pStyle w:val="Heading3"/>
        <w:spacing w:after="100" w:before="280"/>
      </w:pPr>
      <w:r>
        <w:rPr>
          <w:rFonts w:ascii="Arial" w:cs="Arial" w:eastAsia="Arial" w:hAnsi="Arial"/>
          <w:b/>
          <w:bCs/>
          <w:color w:val="0D7C8C"/>
          <w:sz w:val="24"/>
          <w:szCs w:val="24"/>
        </w:rPr>
        <w:t xml:space="preserve">Issues #958, #1088, #1825 — Supporting failures</w:t>
      </w:r>
    </w:p>
    <w:p>
      <w:pPr>
        <w:spacing w:after="140"/>
        <w:jc w:val="both"/>
      </w:pPr>
      <w:r>
        <w:rPr>
          <w:rFonts w:ascii="Arial" w:cs="Arial" w:eastAsia="Arial" w:hAnsi="Arial"/>
          <w:color w:val="1A1A1A"/>
          <w:sz w:val="22"/>
          <w:szCs w:val="22"/>
        </w:rPr>
        <w:t xml:space="preserve">Issue #958 (unpaginated /heartbeat-runs queries): the API endpoint that returns heartbeat execution history does not implement pagination, meaning that an agent with a 15-minute heartbeat running for 30 days produces 2,880 rows that are returned in a single response. This causes the Paperclip dashboard's heartbeat history view to become unresponsive after approximately 6 weeks of continuous operation. Workaround: truncate heartbeat_runs to the last 200 entries via a daily cron job. Issue #1088 (WebSocket close handler crash): when a NemoClaw/OpenClaw gateway connection is closed abnormally (e.g., sandbox restart), the Paperclip server's WebSocket close handler throws an unhandled exception that crashes the entire server process. Workaround: wrap the close handler in a try-catch. Issue #1825 (server crash on malformed approval payload): a malformed JSON approval response from a human reviewer causes an unhandled JSON.parse exception that crashes the server. Workaround: validate approval response schema before processing.</w:t>
      </w:r>
    </w:p>
    <w:p>
      <w:pPr>
        <w:pStyle w:val="Heading2"/>
        <w:spacing w:after="160" w:before="400"/>
      </w:pPr>
      <w:r>
        <w:rPr>
          <w:rFonts w:ascii="Arial" w:cs="Arial" w:eastAsia="Arial" w:hAnsi="Arial"/>
          <w:b/>
          <w:bCs/>
          <w:color w:val="3A7CA5"/>
          <w:sz w:val="28"/>
          <w:szCs w:val="28"/>
        </w:rPr>
        <w:t xml:space="preserve">13. The REST API</w:t>
      </w:r>
    </w:p>
    <w:p>
      <w:pPr>
        <w:spacing w:after="140"/>
        <w:jc w:val="both"/>
      </w:pPr>
      <w:r>
        <w:rPr>
          <w:rFonts w:ascii="Arial" w:cs="Arial" w:eastAsia="Arial" w:hAnsi="Arial"/>
          <w:color w:val="1A1A1A"/>
          <w:sz w:val="22"/>
          <w:szCs w:val="22"/>
        </w:rPr>
        <w:t xml:space="preserve">Paperclip exposes a RESTful JSON API authenticated by a Bearer token (set during onboard, rotatable via the dashboard). The core endpoints used by agents and integrations: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200"/>
      </w:tblGrid>
      <w:tr>
        <w:trPr>
          <w:tblHeader/>
        </w:trPr>
        <w:tc>
          <w:tcPr>
            <w:tcW w:type="dxa" w:w="1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Method</w:t>
            </w:r>
          </w:p>
        </w:tc>
        <w:tc>
          <w:tcPr>
            <w:tcW w:type="dxa" w:w="3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Endpoint</w:t>
            </w:r>
          </w:p>
        </w:tc>
        <w:tc>
          <w:tcPr>
            <w:tcW w:type="dxa" w:w="4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w:t>
            </w:r>
          </w:p>
        </w:tc>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w:t>
            </w:r>
          </w:p>
        </w:tc>
        <w:tc>
          <w:tcPr>
            <w:tcW w:type="dxa" w:w="4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 company configuration, budget status, agent list</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w:t>
            </w:r>
          </w:p>
        </w:tc>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/api/companies/:id/issues</w:t>
            </w:r>
          </w:p>
        </w:tc>
        <w:tc>
          <w:tcPr>
            <w:tcW w:type="dxa" w:w="4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List issues with filters (status, agent, label, since)</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w:t>
            </w:r>
          </w:p>
        </w:tc>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/api/companies/:id/issues</w:t>
            </w:r>
          </w:p>
        </w:tc>
        <w:tc>
          <w:tcPr>
            <w:tcW w:type="dxa" w:w="4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Create a new issue (task)</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w:t>
            </w:r>
          </w:p>
        </w:tc>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/api/companies/:id/issues/:issue_id</w:t>
            </w:r>
          </w:p>
        </w:tc>
        <w:tc>
          <w:tcPr>
            <w:tcW w:type="dxa" w:w="4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 full issue detail including comments and activity</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w:t>
            </w:r>
          </w:p>
        </w:tc>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/api/companies/:id/issues/:id/checkout</w:t>
            </w:r>
          </w:p>
        </w:tc>
        <w:tc>
          <w:tcPr>
            <w:tcW w:type="dxa" w:w="4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Atomically checkout an issue (HTTP 409 if already checked out)</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w:t>
            </w:r>
          </w:p>
        </w:tc>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/api/companies/:id/issues/:id/comment</w:t>
            </w:r>
          </w:p>
        </w:tc>
        <w:tc>
          <w:tcPr>
            <w:tcW w:type="dxa" w:w="4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 a comment on an issue (agent progress update)</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w:t>
            </w:r>
          </w:p>
        </w:tc>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/api/companies/:id/issues/:id/transition</w:t>
            </w:r>
          </w:p>
        </w:tc>
        <w:tc>
          <w:tcPr>
            <w:tcW w:type="dxa" w:w="4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Transition issue state (e.g., in_progress → in_review)</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w:t>
            </w:r>
          </w:p>
        </w:tc>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/api/companies/:id/issues/:id/complete</w:t>
            </w:r>
          </w:p>
        </w:tc>
        <w:tc>
          <w:tcPr>
            <w:tcW w:type="dxa" w:w="4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Mark issue done with output fields</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w:t>
            </w:r>
          </w:p>
        </w:tc>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/api/companies/:id/approvals</w:t>
            </w:r>
          </w:p>
        </w:tc>
        <w:tc>
          <w:tcPr>
            <w:tcW w:type="dxa" w:w="4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List pending approval requests</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w:t>
            </w:r>
          </w:p>
        </w:tc>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/api/companies/:id/approvals/:id/resolve</w:t>
            </w:r>
          </w:p>
        </w:tc>
        <w:tc>
          <w:tcPr>
            <w:tcW w:type="dxa" w:w="4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Resolve an approval (approve or reject with reason)</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w:t>
            </w:r>
          </w:p>
        </w:tc>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/api/companies/:id/activity</w:t>
            </w:r>
          </w:p>
        </w:tc>
        <w:tc>
          <w:tcPr>
            <w:tcW w:type="dxa" w:w="4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 paginated activity log (all events, all agents)</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w:t>
            </w:r>
          </w:p>
        </w:tc>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/api/companies/:id/agents/:agent_id/budget</w:t>
            </w:r>
          </w:p>
        </w:tc>
        <w:tc>
          <w:tcPr>
            <w:tcW w:type="dxa" w:w="4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 current budget status for one agent</w:t>
            </w:r>
          </w:p>
        </w:tc>
      </w:tr>
      <w:tr>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w:t>
            </w:r>
          </w:p>
        </w:tc>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/api/companies/:id/agents</w:t>
            </w:r>
          </w:p>
        </w:tc>
        <w:tc>
          <w:tcPr>
            <w:tcW w:type="dxa" w:w="4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Add a new agent to the company</w:t>
            </w:r>
          </w:p>
        </w:tc>
      </w:tr>
      <w:tr>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w:t>
            </w:r>
          </w:p>
        </w:tc>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/api/companies/:id/issues/:id/cost-projection</w:t>
            </w:r>
          </w:p>
        </w:tc>
        <w:tc>
          <w:tcPr>
            <w:tcW w:type="dxa" w:w="4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Get estimated cost before executing a task</w:t>
            </w:r>
          </w:p>
        </w:tc>
      </w:tr>
    </w:tbl>
    <w:p>
      <w:pPr>
        <w:pStyle w:val="Heading2"/>
        <w:spacing w:after="160" w:before="400"/>
      </w:pPr>
      <w:r>
        <w:rPr>
          <w:rFonts w:ascii="Arial" w:cs="Arial" w:eastAsia="Arial" w:hAnsi="Arial"/>
          <w:b/>
          <w:bCs/>
          <w:color w:val="3A7CA5"/>
          <w:sz w:val="28"/>
          <w:szCs w:val="28"/>
        </w:rPr>
        <w:t xml:space="preserve">14. Multi-Company Architecture and Isolation</w:t>
      </w:r>
    </w:p>
    <w:p>
      <w:pPr>
        <w:spacing w:after="140"/>
        <w:jc w:val="both"/>
      </w:pPr>
      <w:r>
        <w:rPr>
          <w:rFonts w:ascii="Arial" w:cs="Arial" w:eastAsia="Arial" w:hAnsi="Arial"/>
          <w:color w:val="1A1A1A"/>
          <w:sz w:val="22"/>
          <w:szCs w:val="22"/>
        </w:rPr>
        <w:t xml:space="preserve">A single Paperclip installation can host multiple companies — useful for a pharma organisation running separate programme-level companies (one per compound series, one per therapeutic area, one per CMC programme). Company isolation is enforced at the database level: every table in the Paperclip PostgreSQL schema has a company_id foreign key, and all queries in the Paperclip server code include WHERE company_id = :company_id. There is no cross-company query access — an agent in Company A cannot read issues or activity logs from Company B, even if both companies run on the same Paperclip instance. API tokens are scoped to a single company at creation time.</w:t>
      </w:r>
    </w:p>
    <w:p>
      <w:pPr>
        <w:spacing w:after="140"/>
        <w:jc w:val="both"/>
      </w:pPr>
      <w:r>
        <w:rPr>
          <w:rFonts w:ascii="Arial" w:cs="Arial" w:eastAsia="Arial" w:hAnsi="Arial"/>
          <w:color w:val="1A1A1A"/>
          <w:sz w:val="22"/>
          <w:szCs w:val="22"/>
        </w:rPr>
        <w:t xml:space="preserve">The database schema uses PostgreSQL 16 with PGlite (a lightweight PostgreSQL compatible database) for development and full PostgreSQL for production. The core tables are: companies (id, name, mission, config JSONB), agents (id, company_id, name, role, adapter, config JSONB, budget_monthly_usd), issues (id, company_id, title, description, status, assignee_agent_id, labels JSONB, blocked_by_ids JSONB, cost_estimate_usd, cost_actual_usd), issue_comments (id, issue_id, author_type, author_id, content), approvals (id, company_id, issue_id, gate_type, status, approvers JSONB, resolved_by, resolved_at, reason), activity_log (id, company_id, event_type, agent_id, issue_id, payload JSONB, created_at), heartbeat_runs (id, agent_id, wake_reason, started_at, completed_at, token_usage), and cost_events (id, agent_id, model, input_tokens, output_tokens, cost_usd, task_id, created_at).</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III — Alternative and Complementary Orchestration Stacks</w:t>
      </w:r>
    </w:p>
    <w:p>
      <w:pPr>
        <w:spacing w:after="140"/>
        <w:jc w:val="both"/>
      </w:pPr>
      <w:r>
        <w:rPr>
          <w:rFonts w:ascii="Arial" w:cs="Arial" w:eastAsia="Arial" w:hAnsi="Arial"/>
          <w:color w:val="1A1A1A"/>
          <w:sz w:val="22"/>
          <w:szCs w:val="22"/>
        </w:rPr>
        <w:t xml:space="preserve">Paperclip + NemoClaw is not the only viable architecture for a multi-agent pharma R&amp;D system. Four adjacent ecosystems address real gaps: cloud-native scale (Bedrock AgentCore), Microsoft-first integration (Agent Framework 1.0), multi-week durable execution (Temporal.io), and lightweight OpenClaw fleet management (Antfarm). The correct framing is that these are mostly complementary — a production deployment should layer Temporal under Paperclip for long-horizon durability, and may delegate cloud-side agent execution to AgentCore or Azure AI Foundry depending on hyperscaler commitment.</w:t>
      </w:r>
    </w:p>
    <w:p>
      <w:pPr>
        <w:pStyle w:val="Heading2"/>
        <w:spacing w:after="160" w:before="400"/>
      </w:pPr>
      <w:r>
        <w:rPr>
          <w:rFonts w:ascii="Arial" w:cs="Arial" w:eastAsia="Arial" w:hAnsi="Arial"/>
          <w:b/>
          <w:bCs/>
          <w:color w:val="3A7CA5"/>
          <w:sz w:val="28"/>
          <w:szCs w:val="28"/>
        </w:rPr>
        <w:t xml:space="preserve">10. AWS Bedrock AgentCore and Multi-Agent Collaboration</w:t>
      </w:r>
    </w:p>
    <w:p>
      <w:pPr>
        <w:spacing w:after="140"/>
        <w:jc w:val="both"/>
      </w:pPr>
      <w:r>
        <w:rPr>
          <w:rFonts w:ascii="Arial" w:cs="Arial" w:eastAsia="Arial" w:hAnsi="Arial"/>
          <w:color w:val="1A1A1A"/>
          <w:sz w:val="22"/>
          <w:szCs w:val="22"/>
        </w:rPr>
        <w:t xml:space="preserve">Amazon Bedrock AgentCore went GA October 13, 2025, providing a framework-agnostic serverless runtime for AI agents. Core capabilities: Runtime (8-hour session ceiling, pay-per-second vCPU and GB-memory), Gateway (converts any HTTP endpoint to an MCP-compatible tool server, enabling legacy LIMS and ELN APIs to appear as MCP tools without code changes), Memory (cross-session knowledge store with vector and semantic search), Identity (OAuth 2.0 vault with per-agent scoped credentials, RFC 8693 token exchange), Observability (OpenTelemetry-compatible traces and metrics), Browser (cloud headless browser), Code Interpreter (sandboxed Python execution), and a Cedar-based authorisation service that blocks 88%+ of harmful content in Guardrails. A2A protocol integration is GA, making AgentCore-hosted agents interoperable with any A2A-capable runtime including Paperclip and Microsoft Agent Framework.</w:t>
      </w:r>
    </w:p>
    <w:p>
      <w:pPr>
        <w:spacing w:after="140"/>
        <w:jc w:val="both"/>
      </w:pPr>
      <w:r>
        <w:rPr>
          <w:rFonts w:ascii="Arial" w:cs="Arial" w:eastAsia="Arial" w:hAnsi="Arial"/>
          <w:color w:val="1A1A1A"/>
          <w:sz w:val="22"/>
          <w:szCs w:val="22"/>
        </w:rPr>
        <w:t xml:space="preserve">Multi-Agent Collaboration in the original Bedrock Agents service went GA March 10, 2025, supporting supervisor + sub-agent routing, Action Groups, Knowledge Bases, and Guardrails. Published pharma-specific reference architectures cover: cancer-biomarker discovery, clinical trial protocol design, pharmacovigilance signal detection, and variant interpretation. Anchor customers include Sanofi, Natera, Aetion, Clario, and Innovaccer. For an AWS-first pharma, Bedrock AgentCore is the natural cloud runtime for science-adjacent workflows (literature search, ADMET screening, regulatory intelligence), with Paperclip as the company orchestration overlay managing the org chart, approvals, and budget, and NemoClaw reserved for on-premise DGX computation.</w:t>
      </w:r>
    </w:p>
    <w:p>
      <w:pPr>
        <w:pStyle w:val="Heading2"/>
        <w:spacing w:after="160" w:before="400"/>
      </w:pPr>
      <w:r>
        <w:rPr>
          <w:rFonts w:ascii="Arial" w:cs="Arial" w:eastAsia="Arial" w:hAnsi="Arial"/>
          <w:b/>
          <w:bCs/>
          <w:color w:val="3A7CA5"/>
          <w:sz w:val="28"/>
          <w:szCs w:val="28"/>
        </w:rPr>
        <w:t xml:space="preserve">11. Microsoft Agent Framework 1.0 and Magentic-One</w:t>
      </w:r>
    </w:p>
    <w:p>
      <w:pPr>
        <w:spacing w:after="140"/>
        <w:jc w:val="both"/>
      </w:pPr>
      <w:r>
        <w:rPr>
          <w:rFonts w:ascii="Arial" w:cs="Arial" w:eastAsia="Arial" w:hAnsi="Arial"/>
          <w:color w:val="1A1A1A"/>
          <w:sz w:val="22"/>
          <w:szCs w:val="22"/>
        </w:rPr>
        <w:t xml:space="preserve">Microsoft Agent Framework 1.0 (MAF) shipped April 7, 2026 — two weeks before this whitepaper — merging AutoGen v0.4's actor-model multi-agent orchestration with Semantic Kernel's enterprise graph workflows into a single MIT-licensed SDK for Python and .NET. AutoGen and Semantic Kernel are now in maintenance mode. MAF ships first-class MCP, A2A 1.0, and OpenAPI support; Microsoft Entra ID authentication; OpenTelemetry integration; and Azure AI Foundry Agent Service as the managed runtime (10,000+ organisations). Copilot Studio integration brings the agent system to 230,000+ organisations.</w:t>
      </w:r>
    </w:p>
    <w:p>
      <w:pPr>
        <w:spacing w:after="140"/>
        <w:jc w:val="both"/>
      </w:pPr>
      <w:r>
        <w:rPr>
          <w:rFonts w:ascii="Arial" w:cs="Arial" w:eastAsia="Arial" w:hAnsi="Arial"/>
          <w:color w:val="1A1A1A"/>
          <w:sz w:val="22"/>
          <w:szCs w:val="22"/>
        </w:rPr>
        <w:t xml:space="preserve">Magentic-One (arXiv:2411.04468, ships with MAF) is a generalist multi-agent system: Orchestrator + WebSurfer + FileSurfer + Coder + ComputerTerminal. Benchmarks: 38.0% on GAIA, 27.7% on AssistantBench, 32.8% on WebArena. The WebSurfer and FileSurfer agents are directly applicable to literature harvesting and regulatory document retrieval in a pharma context. The Microsoft Discovery Platform (Build 2025) explicitly targets drug discovery with OMICS analysis, molecular generation, and clinical data integration. For Microsoft-first pharma teams already on Entra/Azure/M365, MAF is the natural runtime; Paperclip layers on as the company governance plane, and NemoClaw handles on-premise DGX computation.</w:t>
      </w:r>
    </w:p>
    <w:p>
      <w:pPr>
        <w:pStyle w:val="Heading2"/>
        <w:spacing w:after="160" w:before="400"/>
      </w:pPr>
      <w:r>
        <w:rPr>
          <w:rFonts w:ascii="Arial" w:cs="Arial" w:eastAsia="Arial" w:hAnsi="Arial"/>
          <w:b/>
          <w:bCs/>
          <w:color w:val="3A7CA5"/>
          <w:sz w:val="28"/>
          <w:szCs w:val="28"/>
        </w:rPr>
        <w:t xml:space="preserve">12. Temporal.io for Durable Long-Horizon R&amp;D Workflows</w:t>
      </w:r>
    </w:p>
    <w:p>
      <w:pPr>
        <w:spacing w:after="140"/>
        <w:jc w:val="both"/>
      </w:pPr>
      <w:r>
        <w:rPr>
          <w:rFonts w:ascii="Arial" w:cs="Arial" w:eastAsia="Arial" w:hAnsi="Arial"/>
          <w:color w:val="1A1A1A"/>
          <w:sz w:val="22"/>
          <w:szCs w:val="22"/>
        </w:rPr>
        <w:t xml:space="preserve">Temporal.io is not an agent framework — it is a durable-execution substrate, and that distinction makes it essential for pharma R&amp;D. A stability study design task might sit in 'waiting for IRB' status for four to eight weeks. A regulatory submission review cycle can span three months with multiple asynchronous comment-and-response rounds. No agent framework — Paperclip, NemoClaw, AgentCore, MAF — provides native multi-week durability. Temporal does.</w:t>
      </w:r>
    </w:p>
    <w:p>
      <w:pPr>
        <w:spacing w:after="140"/>
        <w:jc w:val="both"/>
      </w:pPr>
      <w:r>
        <w:rPr>
          <w:rFonts w:ascii="Arial" w:cs="Arial" w:eastAsia="Arial" w:hAnsi="Arial"/>
          <w:color w:val="1A1A1A"/>
          <w:sz w:val="22"/>
          <w:szCs w:val="22"/>
        </w:rPr>
        <w:t xml:space="preserve">Temporal Workflows persist their execution state deterministically through Event History and replay — worker crashes, network failures, or server restarts don't lose progress. Workflows can sleep for hours, days, or weeks via durable timers, and wake on Signals (external async events) or Updates (synchronous queries with return values). AI-native integrations in 2026 include: OpenAI Agents SDK (public preview, August 2025), Pydantic AI (November 2025), LangChain, LangGraph, and MCP agents. OpenAI Codex and Replit Agent 3 run on Temporal in production.</w:t>
      </w:r>
    </w:p>
    <w:p>
      <w:pPr>
        <w:spacing w:after="140"/>
        <w:jc w:val="both"/>
      </w:pPr>
      <w:r>
        <w:rPr>
          <w:rFonts w:ascii="Arial" w:cs="Arial" w:eastAsia="Arial" w:hAnsi="Arial"/>
          <w:color w:val="1A1A1A"/>
          <w:sz w:val="22"/>
          <w:szCs w:val="22"/>
        </w:rPr>
        <w:t xml:space="preserve">Pricing: Actions from $50 per million ($0.00005 each) for the first 5M, $1/GB-day active storage, $500/month Business plan floor. Server and SDKs are MIT-licensed. A critical caveat: action counts routinely multiply 10–50× over naive estimates in agentic workloads; budget planning must account for this. Temporal Cloud is on AWS Marketplace with $1,000 free credits and a BAA for HIPAA workloads. For pharma, the integration pattern is: Paperclip dispatches a task to an agent, which kicks off a Temporal Workflow whose Activities in turn call NemoClaw-sandboxed tools. Temporal sits under Paperclip, not beside it.</w:t>
      </w:r>
    </w:p>
    <w:p>
      <w:pPr>
        <w:pStyle w:val="Heading2"/>
        <w:spacing w:after="160" w:before="400"/>
      </w:pPr>
      <w:r>
        <w:rPr>
          <w:rFonts w:ascii="Arial" w:cs="Arial" w:eastAsia="Arial" w:hAnsi="Arial"/>
          <w:b/>
          <w:bCs/>
          <w:color w:val="3A7CA5"/>
          <w:sz w:val="28"/>
          <w:szCs w:val="28"/>
        </w:rPr>
        <w:t xml:space="preserve">13. Antfarm and OpenClaw-Medical-Skills</w:t>
      </w:r>
    </w:p>
    <w:p>
      <w:pPr>
        <w:spacing w:after="140"/>
        <w:jc w:val="both"/>
      </w:pPr>
      <w:r>
        <w:rPr>
          <w:rFonts w:ascii="Arial" w:cs="Arial" w:eastAsia="Arial" w:hAnsi="Arial"/>
          <w:color w:val="1A1A1A"/>
          <w:sz w:val="22"/>
          <w:szCs w:val="22"/>
        </w:rPr>
        <w:t xml:space="preserve">Antfarm (github.com/snarktank/antfarm, antfarm.cool) is a minimalist TypeScript CLI that provisions multi-agent OpenClaw workflows using YAML + SQLite + cron — no Redis, no Kafka, no Kubernetes. It installs from GitHub (not npm), requires OpenClaw v2026.2.9+ and Node.js 22+, and defines deterministic skill pipelines for feature development, security review, and bug-fix workflows. Its direct pharma application is internal data-engineering and tooling automation; it is not designed for the 9-agent R&amp;D company pattern Paperclip enables.</w:t>
      </w:r>
    </w:p>
    <w:p>
      <w:pPr>
        <w:spacing w:after="140"/>
        <w:jc w:val="both"/>
      </w:pPr>
      <w:r>
        <w:rPr>
          <w:rFonts w:ascii="Arial" w:cs="Arial" w:eastAsia="Arial" w:hAnsi="Arial"/>
          <w:color w:val="1A1A1A"/>
          <w:sz w:val="22"/>
          <w:szCs w:val="22"/>
        </w:rPr>
        <w:t xml:space="preserve">More significant is the OpenClaw-Medical-Skills library — 869 curated biomedical skills covering clinical decision support, Phase 1/2 feasibility analysis, drug-drug interaction checking, pharmacogenomics interpretation, ADMET profiling, and NICE/WHO/NCCN guideline retrieval. These skills are SKILL.md files compatible with both OpenClaw directly and Paperclip's skill system. A pharma deployment should audit this library, select applicable skills, update them to reflect internal SOPs, and add them to the internal skills mirror rather than installing from the public OpenClaw skills ecosystem.</w:t>
      </w:r>
    </w:p>
    <w:p>
      <w:pPr>
        <w:pStyle w:val="Heading2"/>
        <w:spacing w:after="160" w:before="400"/>
      </w:pPr>
      <w:r>
        <w:rPr>
          <w:rFonts w:ascii="Arial" w:cs="Arial" w:eastAsia="Arial" w:hAnsi="Arial"/>
          <w:b/>
          <w:bCs/>
          <w:color w:val="3A7CA5"/>
          <w:sz w:val="28"/>
          <w:szCs w:val="28"/>
        </w:rPr>
        <w:t xml:space="preserve">14. Platform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Deployment Pattern</w:t>
            </w:r>
          </w:p>
        </w:tc>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Recommended Stack</w:t>
            </w:r>
          </w:p>
        </w:tc>
        <w:tc>
          <w:tcPr>
            <w:tcW w:type="dxa" w:w="41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Reasoning</w:t>
            </w:r>
          </w:p>
        </w:tc>
      </w:tr>
      <w:tr>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AWS-first, cloud-native pharma</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Bedrock AgentCore + Paperclip + NemoClaw (on-prem DGX) + Temporal</w:t>
            </w:r>
          </w:p>
        </w:tc>
        <w:tc>
          <w:tcPr>
            <w:tcW w:type="dxa" w:w="4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AgentCore handles cloud agents; Paperclip provides company governance; NemoClaw for IP-sensitive on-prem computation; Temporal for multi-week workflows</w:t>
            </w:r>
          </w:p>
        </w:tc>
      </w:tr>
      <w:tr>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Microsoft-first, Azure/M365 heavy</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MAF 1.0 + Paperclip + NemoClaw + Temporal Cloud (Marketplace)</w:t>
            </w:r>
          </w:p>
        </w:tc>
        <w:tc>
          <w:tcPr>
            <w:tcW w:type="dxa" w:w="4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MAF handles runtime; Magentic-One for web research; Paperclip for org chart; Temporal for durability</w:t>
            </w:r>
          </w:p>
        </w:tc>
      </w:tr>
      <w:tr>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OSS/air-gapped, on-prem only</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Paperclip + NemoClaw + self-hosted Temporal + Antfarm (utility)</w:t>
            </w:r>
          </w:p>
        </w:tc>
        <w:tc>
          <w:tcPr>
            <w:tcW w:type="dxa" w:w="4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Full stack under own firewall; higher integration effort; no cloud runtime dependency</w:t>
            </w:r>
          </w:p>
        </w:tc>
      </w:tr>
      <w:tr>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Long-horizon stability/regulatory focus</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Temporal-first + Paperclip approval gates + NemoClaw sandboxes</w:t>
            </w:r>
          </w:p>
        </w:tc>
        <w:tc>
          <w:tcPr>
            <w:tcW w:type="dxa" w:w="4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Multi-week IRB/RFI cycles need Temporal's durable timers above all else</w:t>
            </w:r>
          </w:p>
        </w:tc>
      </w:tr>
      <w:tr>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Quick pilot, single therapeutic area</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only + Antfarm for fleet management</w:t>
            </w:r>
          </w:p>
        </w:tc>
        <w:tc>
          <w:tcPr>
            <w:tcW w:type="dxa" w:w="4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Lowest setup time; limited to OpenClaw agents; scale up to Paperclip in Phase 2</w:t>
            </w:r>
          </w:p>
        </w:tc>
      </w:tr>
    </w:tbl>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IV — Scientific Tool Suite for Agents</w:t>
      </w:r>
    </w:p>
    <w:p>
      <w:pPr>
        <w:spacing w:after="140"/>
        <w:jc w:val="both"/>
      </w:pPr>
      <w:r>
        <w:rPr>
          <w:rFonts w:ascii="Arial" w:cs="Arial" w:eastAsia="Arial" w:hAnsi="Arial"/>
          <w:color w:val="1A1A1A"/>
          <w:sz w:val="22"/>
          <w:szCs w:val="22"/>
        </w:rPr>
        <w:t xml:space="preserve">Every tool in the agent toolkit must satisfy four criteria: programmatic invocation (Python package, REST API, CLI, or MCP server); deterministic provenance (records exact input, version, and output); graceful typed error handling (enabling the agent to diagnose and retry without human intervention); and resource declaration (expected runtime and memory for orchestration scheduling). The NemoClaw OpenShell policy layer controls which sandbox each tool can reach.</w:t>
      </w:r>
    </w:p>
    <w:p>
      <w:pPr>
        <w:pStyle w:val="Heading2"/>
        <w:spacing w:after="160" w:before="400"/>
      </w:pPr>
      <w:r>
        <w:rPr>
          <w:rFonts w:ascii="Arial" w:cs="Arial" w:eastAsia="Arial" w:hAnsi="Arial"/>
          <w:b/>
          <w:bCs/>
          <w:color w:val="3A7CA5"/>
          <w:sz w:val="28"/>
          <w:szCs w:val="28"/>
        </w:rPr>
        <w:t xml:space="preserve">15. Quantum Chemistry Tool Ladder</w:t>
      </w:r>
    </w:p>
    <w:p>
      <w:pPr>
        <w:spacing w:after="140"/>
        <w:jc w:val="both"/>
      </w:pPr>
      <w:r>
        <w:rPr>
          <w:rFonts w:ascii="Arial" w:cs="Arial" w:eastAsia="Arial" w:hAnsi="Arial"/>
          <w:color w:val="1A1A1A"/>
          <w:sz w:val="22"/>
          <w:szCs w:val="22"/>
        </w:rPr>
        <w:t xml:space="preserve">The fundamental design principle is tiered method selection — the agent uses the cheapest method that can answer the question within an acceptable accuracy threshold, climbing the ladder only when warranted by the scientific question.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2100"/>
        <w:gridCol w:w="1540"/>
      </w:tblGrid>
      <w:tr>
        <w:trPr>
          <w:tblHeader/>
        </w:trPr>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Method</w:t>
            </w:r>
          </w:p>
        </w:tc>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Tool</w:t>
            </w:r>
          </w:p>
        </w:tc>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Time (40 heavy atoms)</w:t>
            </w:r>
          </w:p>
        </w:tc>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Accuracy</w:t>
            </w:r>
          </w:p>
        </w:tc>
        <w:tc>
          <w:tcPr>
            <w:tcW w:type="dxa" w:w="2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MCP Server</w:t>
            </w:r>
          </w:p>
        </w:tc>
        <w:tc>
          <w:tcPr>
            <w:tcW w:type="dxa" w:w="154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Primary Use</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GFN2-xTB</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xtb 6.7 (LGPL)</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0.5–5 s</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Semi-empirical ΔE ~2 kcal/mol</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xtb-mcp (PhelanShao/xtb-mcp-server)</w:t>
            </w:r>
          </w:p>
        </w:tc>
        <w:tc>
          <w:tcPr>
            <w:tcW w:type="dxa" w:w="154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Conformer screening, pre-optimisation, MD</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AIQM2/AIQM3</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MLatom 3.22 (MIT)</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2–30 s</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Near-CCSD(T) for CHNOF+SCl</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Python API (mlatom.aiqm2/aiqm3)</w:t>
            </w:r>
          </w:p>
        </w:tc>
        <w:tc>
          <w:tcPr>
            <w:tcW w:type="dxa" w:w="154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Reaction energetics, thermochemistry</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MACE-OFF23</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mace-torch (MIT)</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1–10 s</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DFT-quality for organic drug-like</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Python API (mace.calculators.mace_off)</w:t>
            </w:r>
          </w:p>
        </w:tc>
        <w:tc>
          <w:tcPr>
            <w:tcW w:type="dxa" w:w="154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Force field replacement, conf. sampling</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ANI-2x</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TorchANI (MIT)</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1–10 s</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wB97X/6-31G* quality, CHNOF+SCl</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Python API (torchani.models.ANI2x)</w:t>
            </w:r>
          </w:p>
        </w:tc>
        <w:tc>
          <w:tcPr>
            <w:tcW w:type="dxa" w:w="154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Organic drug-like molecules</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r2SCAN-3c</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ORCA 6 / PySCF</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10–60 min</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Near-CCSD(T) for organics</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Custom ORCA MCP (shell wrapper)</w:t>
            </w:r>
          </w:p>
        </w:tc>
        <w:tc>
          <w:tcPr>
            <w:tcW w:type="dxa" w:w="154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Workhorse DFT; Grimme composite</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B3LYP-D3(BJ)/def2-TZVP</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ORCA 6 / PySCF</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30–120 min</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Standard workhorse</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Custom ORCA MCP</w:t>
            </w:r>
          </w:p>
        </w:tc>
        <w:tc>
          <w:tcPr>
            <w:tcW w:type="dxa" w:w="154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NMR shieldings, geometry validation</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DLPNO-CCSD(T)/TightPNO</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ORCA 6 (commercial)</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2–24 h</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Gold standard</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Custom HPC MCP + Slurm bridge</w:t>
            </w:r>
          </w:p>
        </w:tc>
        <w:tc>
          <w:tcPr>
            <w:tcW w:type="dxa" w:w="154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Absolute binding energies, barriers</w:t>
            </w:r>
          </w:p>
        </w:tc>
      </w:tr>
    </w:tbl>
    <w:p>
      <w:pPr>
        <w:spacing w:after="140"/>
        <w:jc w:val="both"/>
      </w:pPr>
      <w:r>
        <w:rPr>
          <w:rFonts w:ascii="Arial" w:cs="Arial" w:eastAsia="Arial" w:hAnsi="Arial"/>
          <w:color w:val="1A1A1A"/>
          <w:sz w:val="22"/>
          <w:szCs w:val="22"/>
        </w:rPr>
        <w:t xml:space="preserve">The xtb-mcp server exposes: optimize_geometry (GFN0/1/2/FF, accepts XYZ or SMILES with 3D embedding), calculate_frequencies (thermochemistry with ZPVE, Gibbs free energy at user temperature), run_md (metadynamics with wall potential), solvation_energy (ALPB model, 25+ solvents). PySCF 2.7+ (Apache 2.0) with gpu4pyscf provides GPU-accelerated SCF (2–10× speedup on RTX PRO 6000). The lixin19/mcp2pyscf server exposes: single_point_energy, geometry_optimization, calculate_nmr_shieldings, calculate_esp_charges, run_tddft. MACE-OFF23 (MIT, Kovacs et al. JCTC 2023) is a universal ML potential for drug-like molecules (H, C, N, O, F, S, Cl, Br, P) delivering ωB97M-D3BJ quality at semi-empirical speed — the recommended default for rapid conformer sampling before DFT geometry optimisation.</w:t>
      </w:r>
    </w:p>
    <w:p>
      <w:pPr>
        <w:pStyle w:val="Heading2"/>
        <w:spacing w:after="160" w:before="400"/>
      </w:pPr>
      <w:r>
        <w:rPr>
          <w:rFonts w:ascii="Arial" w:cs="Arial" w:eastAsia="Arial" w:hAnsi="Arial"/>
          <w:b/>
          <w:bCs/>
          <w:color w:val="3A7CA5"/>
          <w:sz w:val="28"/>
          <w:szCs w:val="28"/>
        </w:rPr>
        <w:t xml:space="preserve">16. Cheminformatics and Property Prediction</w:t>
      </w:r>
    </w:p>
    <w:p>
      <w:pPr>
        <w:spacing w:after="140"/>
        <w:jc w:val="both"/>
      </w:pPr>
      <w:r>
        <w:rPr>
          <w:rFonts w:ascii="Arial" w:cs="Arial" w:eastAsia="Arial" w:hAnsi="Arial"/>
          <w:color w:val="1A1A1A"/>
          <w:sz w:val="22"/>
          <w:szCs w:val="22"/>
        </w:rPr>
        <w:t xml:space="preserve">RDKit 2024.09+ (BSD-3) is the foundation. Core MCP tool: smiles_to_inchikey, calculate_properties (200+ descriptors), get_conformers (ETKDGv3), standardize_smiles, find_similar (Tanimoto search). AiZynthFinder 4.0 (AstraZeneca, MIT): MCTS retrosynthesis with neural network policy, REST API mode, typical 30–120 seconds for 5–15 ranked routes on a 30-heavy-atom target. ASKCOS (MIT, Coley group): forward reaction prediction (T5-based), condition recommendation, atom mapping (RXNMapper), Docker-based REST API. Chemprop v2.1 (MIT): directed message-passing neural networks for property prediction, uncertainty quantification, 2–5 minute training time for 1,000 compounds on RTX PRO 6000. ADMET-AI (MIT, Swanson/Stokes, Bioinformatics 2024): 41 TDC endpoints, 1 million molecules/hour on GPU, pip install admet_ai.</w:t>
      </w:r>
    </w:p>
    <w:p>
      <w:pPr>
        <w:pStyle w:val="Heading2"/>
        <w:spacing w:after="160" w:before="400"/>
      </w:pPr>
      <w:r>
        <w:rPr>
          <w:rFonts w:ascii="Arial" w:cs="Arial" w:eastAsia="Arial" w:hAnsi="Arial"/>
          <w:b/>
          <w:bCs/>
          <w:color w:val="3A7CA5"/>
          <w:sz w:val="28"/>
          <w:szCs w:val="28"/>
        </w:rPr>
        <w:t xml:space="preserve">17. Analytical Data Processing</w:t>
      </w:r>
    </w:p>
    <w:p>
      <w:pPr>
        <w:spacing w:after="140"/>
        <w:jc w:val="both"/>
      </w:pPr>
      <w:r>
        <w:rPr>
          <w:rFonts w:ascii="Arial" w:cs="Arial" w:eastAsia="Arial" w:hAnsi="Arial"/>
          <w:color w:val="1A1A1A"/>
          <w:sz w:val="22"/>
          <w:szCs w:val="22"/>
        </w:rPr>
        <w:t xml:space="preserve">PyOpenMS (Apache 2.0) wraps OpenMS 3.x for mass spectrometry: peak picking, feature detection, spectral alignment, mzML/mzXML/Bruker BAF ingestion. SIRIUS 6 + CSI:FingerID (open-source, FSU Jena): automated structure elucidation from high-resolution MS/MS — gives the DFT and Analytical agents structure candidates ranked against PubChem/KEGG. matchms (Apache 2.0, Huber et al.): spectral similarity against MassBank, HMDB, GNPS. nmrglue (BSD): reads Bruker TopSpin, Varian, NMRPipe formats; apodize_ft, phase_correction, peak_picking, integration.</w:t>
      </w:r>
    </w:p>
    <w:p>
      <w:pPr>
        <w:spacing w:after="140"/>
        <w:jc w:val="both"/>
      </w:pPr>
      <w:r>
        <w:rPr>
          <w:rFonts w:ascii="Arial" w:cs="Arial" w:eastAsia="Arial" w:hAnsi="Arial"/>
          <w:color w:val="1A1A1A"/>
          <w:sz w:val="22"/>
          <w:szCs w:val="22"/>
        </w:rPr>
        <w:t xml:space="preserve">CDS integration reality: Waters Empower 3/4 exposes limited read-only SOAP/WSDL (Empower Web Services); Agilent OpenLab CDS 2.x exposes a REST API for result sets and chromatograms. The pragmatic approach is file-share monitoring: mount the CDS network share (AnIML output, Empower CSV export, ASM JSON) as a monitored directory and use the Knowledge Harvester's HEARTBEAT pipeline to ingest results — this avoids CDS API complexity while maintaining the audit trail through file provenance. PAT streaming: OPC-UA instruments stream to InfluxDB via Telegraf OPC-UA plugin; the agent queries InfluxDB MCP for aggregated statistics (mean, std, trend over a batch window), not raw point data.</w:t>
      </w:r>
    </w:p>
    <w:p>
      <w:pPr>
        <w:pStyle w:val="Heading2"/>
        <w:spacing w:after="160" w:before="400"/>
      </w:pPr>
      <w:r>
        <w:rPr>
          <w:rFonts w:ascii="Arial" w:cs="Arial" w:eastAsia="Arial" w:hAnsi="Arial"/>
          <w:b/>
          <w:bCs/>
          <w:color w:val="3A7CA5"/>
          <w:sz w:val="28"/>
          <w:szCs w:val="28"/>
        </w:rPr>
        <w:t xml:space="preserve">18. Process Optimisation and Green Chemistry</w:t>
      </w:r>
    </w:p>
    <w:p>
      <w:pPr>
        <w:spacing w:after="140"/>
        <w:jc w:val="both"/>
      </w:pPr>
      <w:r>
        <w:rPr>
          <w:rFonts w:ascii="Arial" w:cs="Arial" w:eastAsia="Arial" w:hAnsi="Arial"/>
          <w:color w:val="1A1A1A"/>
          <w:sz w:val="22"/>
          <w:szCs w:val="22"/>
        </w:rPr>
        <w:t xml:space="preserve">BoFire 0.x (MIT, github.com/experimental-design/bofire): multi-objective Bayesian optimisation with qNEHVI acquisition, Gaussian process and neural network surrogates, continuous/discrete/categorical parameters, linear constraints, Pandas-native interface. Published benchmarks: 40–60% fewer experiments to reach Pareto-optimal conditions vs. full-factorial DoE. The Optimisation Agent MCP tool should expose: suggest_next_experiments, fit_surrogate, get_best_conditions, compute_green_metrics (atom economy, E-factor, PMI, CHEM21 solvent ranking). Summit (MIT, Lapkin group): purpose-built for multi-objective reaction optimisation with robotic platform integration — preferred over BoFire when the deployment includes Chemspeed or FlowChem reactors.</w:t>
      </w:r>
    </w:p>
    <w:p>
      <w:pPr>
        <w:pStyle w:val="Heading2"/>
        <w:spacing w:after="160" w:before="400"/>
      </w:pPr>
      <w:r>
        <w:rPr>
          <w:rFonts w:ascii="Arial" w:cs="Arial" w:eastAsia="Arial" w:hAnsi="Arial"/>
          <w:b/>
          <w:bCs/>
          <w:color w:val="3A7CA5"/>
          <w:sz w:val="28"/>
          <w:szCs w:val="28"/>
        </w:rPr>
        <w:t xml:space="preserve">19. Tabular Foundation Models and Numerical Reasoning</w:t>
      </w:r>
    </w:p>
    <w:p>
      <w:pPr>
        <w:pBdr>
          <w:top w:val="single" w:color="D1D9E3" w:sz="1"/>
          <w:bottom w:val="single" w:color="D1D9E3" w:sz="1"/>
          <w:left w:val="single" w:color="C8882A" w:sz="12"/>
          <w:right w:val="single" w:color="D1D9E3" w:sz="1"/>
        </w:pBdr>
        <w:shd w:fill="FFF9F0" w:val="clear"/>
        <w:spacing w:after="160" w:before="160"/>
        <w:ind w:left="360" w:right="360"/>
      </w:pPr>
      <w:r>
        <w:rPr>
          <w:rFonts w:ascii="Arial" w:cs="Arial" w:eastAsia="Arial" w:hAnsi="Arial"/>
          <w:b/>
          <w:bCs/>
          <w:color w:val="C8882A"/>
          <w:sz w:val="20"/>
          <w:szCs w:val="20"/>
        </w:rPr>
        <w:t xml:space="preserve">Critical architectural requirement: Standard LLMs tokenise numbers character-by-character with no inherent magnitude ordering, arithmetic structure, or unit awareness. An LLM asked to identify the best yield from a 24-entry screening table reliably fails when numbers are close (83.2% vs. 83.8%), confuses unit prefixes (μM vs. mM = 1000× error), and hallucinates trends in time-series data. Agent SOUL.md must include a hard limit: 'Never perform arithmetic directly on tabular data. Always delegate numerical operations to the appropriate numerical tool and cite the tool output.'</w:t>
      </w:r>
    </w:p>
    <w:p>
      <w:pPr>
        <w:spacing w:after="140"/>
        <w:jc w:val="both"/>
      </w:pPr>
      <w:r>
        <w:rPr>
          <w:rFonts w:ascii="Arial" w:cs="Arial" w:eastAsia="Arial" w:hAnsi="Arial"/>
          <w:color w:val="1A1A1A"/>
          <w:sz w:val="22"/>
          <w:szCs w:val="22"/>
        </w:rPr>
        <w:t xml:space="preserve">TabPFN v2 (Hollmann et al., Nature Machine Intelligence 2025, doi:10.1038/s42256-024-00897-5): zero-shot tabular prediction without training — the key advantage for agentic use where no fine-tuning step is desirable. Benchmark: AUROC 0.822 on OpenML CC-18 (LightGBM 0.793, CatBoost 0.791). Limitations: maximum 10,000 rows and 500 features; quadratic inference scaling above 5,000 rows. Python: pip install tabpfn, scikit-learn API (TabPFNClassifier, TabPFNRegressor). For pharma R&amp;D chemistry data — DoE result tables (20–200 rows), ADMET screens (100–10,000 compounds), analytical method optimisation (10–100 conditions) — TabPFN v2 is the recommended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Condition</w:t>
            </w:r>
          </w:p>
        </w:tc>
        <w:tc>
          <w:tcPr>
            <w:tcW w:type="dxa" w:w="23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Recommended Tool</w:t>
            </w:r>
          </w:p>
        </w:tc>
        <w:tc>
          <w:tcPr>
            <w:tcW w:type="dxa" w:w="44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Rationale</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 &lt; 200, no prior training data</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TabPFN v2</w:t>
            </w:r>
          </w:p>
        </w:tc>
        <w:tc>
          <w:tcPr>
            <w:tcW w:type="dxa" w:w="4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Zero-shot, no training overhead, SOTA for small datasets</w:t>
            </w:r>
          </w:p>
        </w:tc>
      </w:tr>
      <w:tr>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 200–5,000, binary/multiclass</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TabPFN v2 or LightGBM</w:t>
            </w:r>
          </w:p>
        </w:tc>
        <w:tc>
          <w:tcPr>
            <w:tcW w:type="dxa" w:w="44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TabPFN competes; LightGBM wins on high-cardinality categoricals</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 &gt; 5,000, any task</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LightGBM/XGBoost + Optuna HPO</w:t>
            </w:r>
          </w:p>
        </w:tc>
        <w:tc>
          <w:tcPr>
            <w:tcW w:type="dxa" w:w="4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GBMs dominate at scale</w:t>
            </w:r>
          </w:p>
        </w:tc>
      </w:tr>
      <w:tr>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Mixed text + numerical (ELN-style)</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TabICL</w:t>
            </w:r>
          </w:p>
        </w:tc>
        <w:tc>
          <w:tcPr>
            <w:tcW w:type="dxa" w:w="44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In-context learning handles mixed serialisation naturally</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Time-ordered DoE campaign</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BoFire (Bayesian optimisation)</w:t>
            </w:r>
          </w:p>
        </w:tc>
        <w:tc>
          <w:tcPr>
            <w:tcW w:type="dxa" w:w="4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Not classification — active learning needs an acquisition function</w:t>
            </w:r>
          </w:p>
        </w:tc>
      </w:tr>
      <w:tr>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Unit-inconsistent data</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Pint normalisation FIRST</w:t>
            </w:r>
          </w:p>
        </w:tc>
        <w:tc>
          <w:tcPr>
            <w:tcW w:type="dxa" w:w="44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Always preprocess units before any model; bare floats are dangerous</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Stoichiometry, equation balancing</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SymPy + Pint</w:t>
            </w:r>
          </w:p>
        </w:tc>
        <w:tc>
          <w:tcPr>
            <w:tcW w:type="dxa" w:w="4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LLMs unreliable; use exact symbolic computation</w:t>
            </w:r>
          </w:p>
        </w:tc>
      </w:tr>
    </w:tbl>
    <w:p>
      <w:pPr>
        <w:spacing w:after="140"/>
        <w:jc w:val="both"/>
      </w:pPr>
      <w:r>
        <w:rPr>
          <w:rFonts w:ascii="Arial" w:cs="Arial" w:eastAsia="Arial" w:hAnsi="Arial"/>
          <w:color w:val="1A1A1A"/>
          <w:sz w:val="22"/>
          <w:szCs w:val="22"/>
        </w:rPr>
        <w:t xml:space="preserve">Pint (MIT, jnrbsn/pint): every MCP tool that returns a numerical value must return a structured object {value: float, unit: str, unit_system: str} rather than a bare float. The analysis agent converts all inputs to SI base units using Pint before any arithmetic and converts back to reporting units for output.</w:t>
      </w:r>
    </w:p>
    <w:p>
      <w:pPr>
        <w:pStyle w:val="Heading2"/>
        <w:spacing w:after="160" w:before="400"/>
      </w:pPr>
      <w:r>
        <w:rPr>
          <w:rFonts w:ascii="Arial" w:cs="Arial" w:eastAsia="Arial" w:hAnsi="Arial"/>
          <w:b/>
          <w:bCs/>
          <w:color w:val="3A7CA5"/>
          <w:sz w:val="28"/>
          <w:szCs w:val="28"/>
        </w:rPr>
        <w:t xml:space="preserve">20. Lab Automation Integration</w:t>
      </w:r>
    </w:p>
    <w:p>
      <w:pPr>
        <w:spacing w:after="140"/>
        <w:jc w:val="both"/>
      </w:pPr>
      <w:r>
        <w:rPr>
          <w:rFonts w:ascii="Arial" w:cs="Arial" w:eastAsia="Arial" w:hAnsi="Arial"/>
          <w:color w:val="1A1A1A"/>
          <w:sz w:val="22"/>
          <w:szCs w:val="22"/>
        </w:rPr>
        <w:t xml:space="preserve">SiLA 2 v1.1 (gRPC-based microservices for instrument control): vendors with published Feature Definitions include Chemspeed, Hamilton Robotics, Tecan, Sartorius, Anton Paar, Metrohm, Mettler-Toledo, and Julabo. Python sila2 package (github.com/sila-standard/sila2-python) implements client/server for v1.1. One SiLA 2 proxy MCP server per instrument platform exposes command-level tools (set_temperature, start_pump, trigger_measurement, get_result) to the Automation Agent, with NemoClaw policy controlling which agents can reach which SiLA endpoints. OpenTrons OT-2/Flex: REST HTTP API on port 31950 (OpenAPI 3.0) supports protocol upload, run management, live status. Protocol generation: an automation agent writes Python Protocol API v2 as a string, POSTs to the upload endpoint, and starts a dry-run simulation before any live execution — with human approval required before the live run.</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V — Agentic Data Architecture and Ontologies</w:t>
      </w:r>
    </w:p>
    <w:p>
      <w:pPr>
        <w:pStyle w:val="Heading2"/>
        <w:spacing w:after="160" w:before="400"/>
      </w:pPr>
      <w:r>
        <w:rPr>
          <w:rFonts w:ascii="Arial" w:cs="Arial" w:eastAsia="Arial" w:hAnsi="Arial"/>
          <w:b/>
          <w:bCs/>
          <w:color w:val="3A7CA5"/>
          <w:sz w:val="28"/>
          <w:szCs w:val="28"/>
        </w:rPr>
        <w:t xml:space="preserve">21. The Five-Store Architecture</w:t>
      </w:r>
    </w:p>
    <w:p>
      <w:pPr>
        <w:spacing w:after="140"/>
        <w:jc w:val="both"/>
      </w:pPr>
      <w:r>
        <w:rPr>
          <w:rFonts w:ascii="Arial" w:cs="Arial" w:eastAsia="Arial" w:hAnsi="Arial"/>
          <w:color w:val="1A1A1A"/>
          <w:sz w:val="22"/>
          <w:szCs w:val="22"/>
        </w:rPr>
        <w:t xml:space="preserve">The data architecture uses five complementary stores optimised for different access patterns, unified by a federated query layer. Every store is reachable by an agent through a structured MCP tool call. Every record carries full provenance (who generated it — human or agent — with model version and timestamp). The architecture enforces immutability for GxP records while allowing fluid evolution for exploratory data.</w:t>
      </w:r>
    </w:p>
    <w:p>
      <w:pPr>
        <w:pStyle w:val="Heading3"/>
        <w:spacing w:after="100" w:before="280"/>
      </w:pPr>
      <w:r>
        <w:rPr>
          <w:rFonts w:ascii="Arial" w:cs="Arial" w:eastAsia="Arial" w:hAnsi="Arial"/>
          <w:b/>
          <w:bCs/>
          <w:color w:val="0D7C8C"/>
          <w:sz w:val="24"/>
          <w:szCs w:val="24"/>
        </w:rPr>
        <w:t xml:space="preserve">21.1 ArcadeDB 26.3.x — Knowledge Graph Core</w:t>
      </w:r>
    </w:p>
    <w:p>
      <w:pPr>
        <w:spacing w:after="140"/>
        <w:jc w:val="both"/>
      </w:pPr>
      <w:r>
        <w:rPr>
          <w:rFonts w:ascii="Arial" w:cs="Arial" w:eastAsia="Arial" w:hAnsi="Arial"/>
          <w:color w:val="1A1A1A"/>
          <w:sz w:val="22"/>
          <w:szCs w:val="22"/>
        </w:rPr>
        <w:t xml:space="preserve">ArcadeDB (Apache 2.0, github.com/ArcadeData/arcadedb) is the recommended primary knowledge graph store. The March 2026 release (v26.3.1) introduced a built-in MCP server (HTTP and stdio transports), an integrated AI Assistant in Studio (natural language to SQL/Cypher), 73 graph algorithms as first-class SQL functions, the Graph Analytical View (CSR-based in-memory OLAP), JVector 4.0 HNSW vector search, and native time-series columnar storage with InfluxDB Line Protocol ingestion and PromQL support.</w:t>
      </w:r>
    </w:p>
    <w:p>
      <w:pPr>
        <w:spacing w:after="140"/>
        <w:jc w:val="both"/>
      </w:pPr>
      <w:r>
        <w:rPr>
          <w:rFonts w:ascii="Arial" w:cs="Arial" w:eastAsia="Arial" w:hAnsi="Arial"/>
          <w:color w:val="1A1A1A"/>
          <w:sz w:val="22"/>
          <w:szCs w:val="22"/>
        </w:rPr>
        <w:t xml:space="preserve">The knowledge graph schema uses these vertex types: Compound (InChIKey as primary ID, SMILES, MW, formula, ChEBI ID), Reaction (UUID, SMARTS, RXNO class, literature_doi), Experiment (UUID, ELN_id, project, date, operator or agent_id), AnalyticalResult (UUID, CHMO method class, instrument, value, unit), Target (UniProt_id, gene_name), Program (internal_id, phase), Report (UUID, type, generated_by_agent, timestamp), Hypothesis (UUID, text, confidence, supporting_evidence), LiteratureSource (DOI, year, journal). Edge types: SYNTHESISED_VIA (Compound→Reaction, yield, ee, conditions), INHIBITS (Compound→Target, IC50, assay), CHARACTERISED_BY (Compound→AnalyticalResult), GENERATED_BY (Hypothesis→Agent), CITES (Report→LiteratureSource). All edges carry PROV-O provenance: generated_by, model_version, timestamp, confidence.</w:t>
      </w:r>
    </w:p>
    <w:p>
      <w:pPr>
        <w:spacing w:after="140"/>
        <w:jc w:val="both"/>
      </w:pPr>
      <w:r>
        <w:rPr>
          <w:rFonts w:ascii="Arial" w:cs="Arial" w:eastAsia="Arial" w:hAnsi="Arial"/>
          <w:color w:val="1A1A1A"/>
          <w:sz w:val="22"/>
          <w:szCs w:val="22"/>
        </w:rPr>
        <w:t xml:space="preserve">The built-in MCP server exposes: schema_introspect, execute_query (Cypher/SQL/Gremlin; read-only default, write requires policy permission), find_similar_compounds (JVector HNSW over Morgan fingerprint embeddings), run_graph_algorithm (all 73 algorithms including PageRank, Louvain, Dijkstra, Node2Vec, link prediction), ai_assistant_query (NL-to-Cypher via integrated LLM bridge). This single database replaces what would otherwise require separate graph DB + vector DB + document DB for the core knowledge layer.</w:t>
      </w:r>
    </w:p>
    <w:p>
      <w:pPr>
        <w:pStyle w:val="Heading3"/>
        <w:spacing w:after="100" w:before="280"/>
      </w:pPr>
      <w:r>
        <w:rPr>
          <w:rFonts w:ascii="Arial" w:cs="Arial" w:eastAsia="Arial" w:hAnsi="Arial"/>
          <w:b/>
          <w:bCs/>
          <w:color w:val="0D7C8C"/>
          <w:sz w:val="24"/>
          <w:szCs w:val="24"/>
        </w:rPr>
        <w:t xml:space="preserve">21.2 PostgreSQL + TimescaleDB — Relational Backbone and Time-Series</w:t>
      </w:r>
    </w:p>
    <w:p>
      <w:pPr>
        <w:spacing w:after="140"/>
        <w:jc w:val="both"/>
      </w:pPr>
      <w:r>
        <w:rPr>
          <w:rFonts w:ascii="Arial" w:cs="Arial" w:eastAsia="Arial" w:hAnsi="Arial"/>
          <w:color w:val="1A1A1A"/>
          <w:sz w:val="22"/>
          <w:szCs w:val="22"/>
        </w:rPr>
        <w:t xml:space="preserve">PostgreSQL 16+ with pgvector 0.8+ (HNSW and IVFFlat indexes) and TimescaleDB 2.x serves as the relational backbone for structured experimental metadata following the ISA (Investigation-Study-Assay) framework. TimescaleDB hypertables manage batch process monitoring (continuous pH, temperature, turbidity at 1–10 Hz over 24-hour reactions), DoE campaign history, and spectroscopic monitoring data. Compression is typically 10–20× on analytical time-series data.</w:t>
      </w:r>
    </w:p>
    <w:p>
      <w:pPr>
        <w:pStyle w:val="Heading3"/>
        <w:spacing w:after="100" w:before="280"/>
      </w:pPr>
      <w:r>
        <w:rPr>
          <w:rFonts w:ascii="Arial" w:cs="Arial" w:eastAsia="Arial" w:hAnsi="Arial"/>
          <w:b/>
          <w:bCs/>
          <w:color w:val="0D7C8C"/>
          <w:sz w:val="24"/>
          <w:szCs w:val="24"/>
        </w:rPr>
        <w:t xml:space="preserve">21.3 Weaviate and Qdrant — Vector Search</w:t>
      </w:r>
    </w:p>
    <w:p>
      <w:pPr>
        <w:spacing w:after="140"/>
        <w:jc w:val="both"/>
      </w:pPr>
      <w:r>
        <w:rPr>
          <w:rFonts w:ascii="Arial" w:cs="Arial" w:eastAsia="Arial" w:hAnsi="Arial"/>
          <w:color w:val="1A1A1A"/>
          <w:sz w:val="22"/>
          <w:szCs w:val="22"/>
        </w:rPr>
        <w:t xml:space="preserve">Weaviate 1.25+ (BSD-3, cloud option) handles the document and report corpus with multi-vector dense+sparse hybrid search (HNSW + BM25). Generative search modules enable direct QA over stored report text. Chemistry-specific: multi-vector support allows text embeddings and Morgan fingerprint vectors in the same collection, enabling combined chemical and textual similarity search. Qdrant 1.10+ (Apache 2.0) handles spectral similarity search — each MS or NMR spectrum stored as a dense vector (ms2deepscore or NMRshiftdb embeddings), enabling 'find spectra similar to this query spectrum' queries directly from agent tool calls.</w:t>
      </w:r>
    </w:p>
    <w:p>
      <w:pPr>
        <w:pStyle w:val="Heading3"/>
        <w:spacing w:after="100" w:before="280"/>
      </w:pPr>
      <w:r>
        <w:rPr>
          <w:rFonts w:ascii="Arial" w:cs="Arial" w:eastAsia="Arial" w:hAnsi="Arial"/>
          <w:b/>
          <w:bCs/>
          <w:color w:val="0D7C8C"/>
          <w:sz w:val="24"/>
          <w:szCs w:val="24"/>
        </w:rPr>
        <w:t xml:space="preserve">21.4 InfluxDB 3.x — PAT Streaming</w:t>
      </w:r>
    </w:p>
    <w:p>
      <w:pPr>
        <w:spacing w:after="140"/>
        <w:jc w:val="both"/>
      </w:pPr>
      <w:r>
        <w:rPr>
          <w:rFonts w:ascii="Arial" w:cs="Arial" w:eastAsia="Arial" w:hAnsi="Arial"/>
          <w:color w:val="1A1A1A"/>
          <w:sz w:val="22"/>
          <w:szCs w:val="22"/>
        </w:rPr>
        <w:t xml:space="preserve">InfluxDB 3.x OSS (Apache 2.0, IOx columnar engine) handles high-frequency PAT data (&gt; 1 Hz, multiple sensors). Telegraf OPC-UA input plugin bridges from instrument OPC-UA servers to InfluxDB line protocol without custom code. Agent MCP tools: query_sensor_data (sensor_id, time range, aggregation), get_current_value, detect_anomaly (3σ statistical process control), alert_on_threshold.</w:t>
      </w:r>
    </w:p>
    <w:p>
      <w:pPr>
        <w:pStyle w:val="Heading3"/>
        <w:spacing w:after="100" w:before="280"/>
      </w:pPr>
      <w:r>
        <w:rPr>
          <w:rFonts w:ascii="Arial" w:cs="Arial" w:eastAsia="Arial" w:hAnsi="Arial"/>
          <w:b/>
          <w:bCs/>
          <w:color w:val="0D7C8C"/>
          <w:sz w:val="24"/>
          <w:szCs w:val="24"/>
        </w:rPr>
        <w:t xml:space="preserve">21.5 MinIO — Immutable Raw File Store</w:t>
      </w:r>
    </w:p>
    <w:p>
      <w:pPr>
        <w:spacing w:after="140"/>
        <w:jc w:val="both"/>
      </w:pPr>
      <w:r>
        <w:rPr>
          <w:rFonts w:ascii="Arial" w:cs="Arial" w:eastAsia="Arial" w:hAnsi="Arial"/>
          <w:color w:val="1A1A1A"/>
          <w:sz w:val="22"/>
          <w:szCs w:val="22"/>
        </w:rPr>
        <w:t xml:space="preserve">MinIO (AGPL 3.0/commercial) with Object Lock in Compliance mode (WORM — cannot be overridden even by root) stores raw instrument output files, DFT output archives, NMR FID files, PDF documents, and agent-generated reports. Content-addressed storage uses SHA-256 file hash as key suffix — same file uploaded twice gets the same key, providing automatic deduplication and a cryptographic provenance chain. GxP buckets have configurable default retention periods (15 years for IND-supporting records). Deletion is blocked; versioning provides complete mutation history for non-GxP buckets.</w:t>
      </w:r>
    </w:p>
    <w:p>
      <w:pPr>
        <w:pStyle w:val="Heading3"/>
        <w:spacing w:after="100" w:before="280"/>
      </w:pPr>
      <w:r>
        <w:rPr>
          <w:rFonts w:ascii="Arial" w:cs="Arial" w:eastAsia="Arial" w:hAnsi="Arial"/>
          <w:b/>
          <w:bCs/>
          <w:color w:val="0D7C8C"/>
          <w:sz w:val="24"/>
          <w:szCs w:val="24"/>
        </w:rPr>
        <w:t xml:space="preserve">21.6 DuckDB — Federated Cross-Store Query Layer</w:t>
      </w:r>
    </w:p>
    <w:p>
      <w:pPr>
        <w:spacing w:after="140"/>
        <w:jc w:val="both"/>
      </w:pPr>
      <w:r>
        <w:rPr>
          <w:rFonts w:ascii="Arial" w:cs="Arial" w:eastAsia="Arial" w:hAnsi="Arial"/>
          <w:color w:val="1A1A1A"/>
          <w:sz w:val="22"/>
          <w:szCs w:val="22"/>
        </w:rPr>
        <w:t xml:space="preserve">DuckDB 1.x (MIT, in-process OLAP) connects to PostgreSQL (read replica), Parquet files on MinIO (via HTTPFS extension + S3 credentials), Arrow/Pandas DataFrames in memory, and JSON files. Agent DuckDB MCP tool exposes: execute_sql (arbitrary SQL across configured sources, read-only), describe_schema (available tables and columns across all registered stores), export_to_csv (for human review). A typical cross-store query: summarise all DoE experiments for project X by joining PostgreSQL study tables with BoFire campaign history Parquet files from MinIO — a query that would otherwise require ETL code.</w:t>
      </w:r>
    </w:p>
    <w:p>
      <w:pPr>
        <w:pStyle w:val="Heading2"/>
        <w:spacing w:after="160" w:before="400"/>
      </w:pPr>
      <w:r>
        <w:rPr>
          <w:rFonts w:ascii="Arial" w:cs="Arial" w:eastAsia="Arial" w:hAnsi="Arial"/>
          <w:b/>
          <w:bCs/>
          <w:color w:val="3A7CA5"/>
          <w:sz w:val="28"/>
          <w:szCs w:val="28"/>
        </w:rPr>
        <w:t xml:space="preserve">22. Ontology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rPr>
          <w:tblHeader/>
        </w:trPr>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Ontology</w:t>
            </w:r>
          </w:p>
        </w:tc>
        <w:tc>
          <w:tcPr>
            <w:tcW w:type="dxa" w:w="2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Scope</w:t>
            </w:r>
          </w:p>
        </w:tc>
        <w:tc>
          <w:tcPr>
            <w:tcW w:type="dxa" w:w="2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Integration</w:t>
            </w:r>
          </w:p>
        </w:tc>
        <w:tc>
          <w:tcPr>
            <w:tcW w:type="dxa" w:w="28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 R&amp;D Impact</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RXNO (OBO Foundry, CC-BY)</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Reaction classification, 1,000+ classes</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Owlready2/pronto in Python; ArcadeDB rxno_class property</w:t>
            </w:r>
          </w:p>
        </w:tc>
        <w:tc>
          <w:tcPr>
            <w:tcW w:type="dxa" w:w="28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Cross-project query: 'best yields for any C-N coupling across all programmes' — exact graph traversal, no synonym matching</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ChEBI 226+ (EBI, CC-BY)</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Chemical entity, role, application taxonomy, 60,000+ entities</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libchebipy Python client; ArcadeDB compound classification</w:t>
            </w:r>
          </w:p>
        </w:tc>
        <w:tc>
          <w:tcPr>
            <w:tcW w:type="dxa" w:w="28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Compound roles inform ICH M7 assessment, regulatory precedent, analytical method selection automatically</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CHMO (OBO, CC-BY)</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Analytical and synthetic methods, 3,000+ terms</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ArcadeDB chmo_method property on AnalyticalResult vertex</w:t>
            </w:r>
          </w:p>
        </w:tc>
        <w:tc>
          <w:tcPr>
            <w:tcW w:type="dxa" w:w="28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Query: 'all purity measurements using any chromatographic method' — filters on CHMO:isSubclassOf CHMO:0001000</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Allotrope AFO + ADF (CC-BY)</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Instruments, methods, data transformations, results</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ADF = HDF5 container; ASM = JSON-LD lightweight variant</w:t>
            </w:r>
          </w:p>
        </w:tc>
        <w:tc>
          <w:tcPr>
            <w:tcW w:type="dxa" w:w="28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Instrument-agnostic agent reasoning: 'what detector wavelength was used for batch 24A purity?' from structured metadata, no manual extraction</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ISA-JSON (ISA Commons, CC-BY)</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FAIR experimental metadata: Investigation/Study/Assay</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isatools Python package; auto-generated at experiment creation</w:t>
            </w:r>
          </w:p>
        </w:tc>
        <w:tc>
          <w:tcPr>
            <w:tcW w:type="dxa" w:w="28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FAIR metadata at creation time; links compound, protocol, data file, DoE design in one queryable record</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PROV-O (W3C, CC0)</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knowledge lineage — who/what/when/with-what</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rdflib in Python; PROV-O triples on every ArcadeDB edge</w:t>
            </w:r>
          </w:p>
        </w:tc>
        <w:tc>
          <w:tcPr>
            <w:tcW w:type="dxa" w:w="28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Every agent-generated hypothesis or report is traceable to the agent ID, model version, input data, and timestamp — ALCOA+ Attributable requirement</w:t>
            </w:r>
          </w:p>
        </w:tc>
      </w:tr>
    </w:tbl>
    <w:p>
      <w:pPr>
        <w:pStyle w:val="Heading2"/>
        <w:spacing w:after="160" w:before="400"/>
      </w:pPr>
      <w:r>
        <w:rPr>
          <w:rFonts w:ascii="Arial" w:cs="Arial" w:eastAsia="Arial" w:hAnsi="Arial"/>
          <w:b/>
          <w:bCs/>
          <w:color w:val="3A7CA5"/>
          <w:sz w:val="28"/>
          <w:szCs w:val="28"/>
        </w:rPr>
        <w:t xml:space="preserve">23. FAIR Principles and GxP Immutability</w:t>
      </w:r>
    </w:p>
    <w:p>
      <w:pPr>
        <w:spacing w:after="140"/>
        <w:jc w:val="both"/>
      </w:pPr>
      <w:r>
        <w:rPr>
          <w:rFonts w:ascii="Arial" w:cs="Arial" w:eastAsia="Arial" w:hAnsi="Arial"/>
          <w:color w:val="1A1A1A"/>
          <w:sz w:val="22"/>
          <w:szCs w:val="22"/>
        </w:rPr>
        <w:t xml:space="preserve">F — Findable: agents enforce PIDs at creation time. InChIKey as universal compound identifier. DOI for literature. UUID + lot suffix for experiments. ORCID for human attribution. Agents write metadata before data; catalog registration in ArcadeDB is a non-optional step in every skill's output schema. A — Accessible: per-classification access tiers (public/internal/restricted/GxP-controlled) enforced by ArcadeDB RBAC. PROV-O attribution chain. Open standard protocols (REST, SPARQL, Cypher) for all stores. I — Interoperable: ontology-annotated metadata enables cross-project queries impossible with free-text fields. SMILES/InChIKey as universal compound identifiers across all stores. JSON-LD for semantic linking. R — Reusable: PROV-O provenance chain on every generated artifact. Data-use agreements and license tagging on ingested external data. Minimum viable metadata schema enforced at agent write time.</w:t>
      </w:r>
    </w:p>
    <w:p>
      <w:pPr>
        <w:spacing w:after="140"/>
        <w:jc w:val="both"/>
      </w:pPr>
      <w:r>
        <w:rPr>
          <w:rFonts w:ascii="Arial" w:cs="Arial" w:eastAsia="Arial" w:hAnsi="Arial"/>
          <w:color w:val="1A1A1A"/>
          <w:sz w:val="22"/>
          <w:szCs w:val="22"/>
        </w:rPr>
        <w:t xml:space="preserve">GxP immutability requires three layers: MinIO WORM Compliance mode (retention cannot be shortened even by root, satisfying 21 CFR Part 11 §11.10(c)); PostgreSQL append-only audit log (trigger function blocks UPDATE/DELETE on GxP-classified tables); ArcadeDB knowledge graph versioning (edges are never deleted — only superseded with a 'superseded_by' edge — preserving the complete history of what the agent believed at each point in time). This three-layer strategy satisfies Part 11 §11.10(e) requirements without a separate audit management system.</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VI — Observability, Governance, and Compliance</w:t>
      </w:r>
    </w:p>
    <w:p>
      <w:pPr>
        <w:pStyle w:val="Heading2"/>
        <w:spacing w:after="160" w:before="400"/>
      </w:pPr>
      <w:r>
        <w:rPr>
          <w:rFonts w:ascii="Arial" w:cs="Arial" w:eastAsia="Arial" w:hAnsi="Arial"/>
          <w:b/>
          <w:bCs/>
          <w:color w:val="3A7CA5"/>
          <w:sz w:val="28"/>
          <w:szCs w:val="28"/>
        </w:rPr>
        <w:t xml:space="preserve">24. Agent Observability: Langfuse, Phoenix, Helicone, OpenTelemetry</w:t>
      </w:r>
    </w:p>
    <w:p>
      <w:pPr>
        <w:spacing w:after="140"/>
        <w:jc w:val="both"/>
      </w:pPr>
      <w:r>
        <w:rPr>
          <w:rFonts w:ascii="Arial" w:cs="Arial" w:eastAsia="Arial" w:hAnsi="Arial"/>
          <w:color w:val="1A1A1A"/>
          <w:sz w:val="22"/>
          <w:szCs w:val="22"/>
        </w:rPr>
        <w:t xml:space="preserve">Managing 20–50 parallel agents without observability is reckless. The key metrics are: per-agent token consumption (input + output per session, per day, per model), tool call success/failure rates and latency, hallucination rate (LLM-as-judge evaluation on sampled outputs), groundedness score (what fraction of claims are traceable to retrieved context), task completion rate and failure mode distribution, and session cost vs. estimated budget.</w:t>
      </w:r>
    </w:p>
    <w:p>
      <w:pPr>
        <w:pStyle w:val="Heading3"/>
        <w:spacing w:after="100" w:before="280"/>
      </w:pPr>
      <w:r>
        <w:rPr>
          <w:rFonts w:ascii="Arial" w:cs="Arial" w:eastAsia="Arial" w:hAnsi="Arial"/>
          <w:b/>
          <w:bCs/>
          <w:color w:val="0D7C8C"/>
          <w:sz w:val="24"/>
          <w:szCs w:val="24"/>
        </w:rPr>
        <w:t xml:space="preserve">24.1 Langfuse (MIT, self-hosted)</w:t>
      </w:r>
    </w:p>
    <w:p>
      <w:pPr>
        <w:spacing w:after="140"/>
        <w:jc w:val="both"/>
      </w:pPr>
      <w:r>
        <w:rPr>
          <w:rFonts w:ascii="Arial" w:cs="Arial" w:eastAsia="Arial" w:hAnsi="Arial"/>
          <w:color w:val="1A1A1A"/>
          <w:sz w:val="22"/>
          <w:szCs w:val="22"/>
        </w:rPr>
        <w:t xml:space="preserve">Langfuse (github.com/langfuse/langfuse, 14,000+ stars, acquired by ClickHouse January 2026 — MIT licence unchanged) is the recommended observability platform for pharma deployments. Core capabilities: trace-level span storage (prompt + retrieved context + tool outputs + raw response), prompt versioning and management (critical for change-control), dataset management for golden-set regression, LLM-as-judge and human annotation evaluation, cost tracking per trace and per project, and OpenTelemetry ingestion (accepting OTel spans from any instrumented service). A self-hosted medium deployment costs approximately €3–4K/month in infrastructure; Pro cloud starts at $199/month. OTel ingestion is native, making Langfuse the backend for any agent instrumented with OpenTelemetry GenAI semantic conventions.</w:t>
      </w:r>
    </w:p>
    <w:p>
      <w:pPr>
        <w:pStyle w:val="Heading3"/>
        <w:spacing w:after="100" w:before="280"/>
      </w:pPr>
      <w:r>
        <w:rPr>
          <w:rFonts w:ascii="Arial" w:cs="Arial" w:eastAsia="Arial" w:hAnsi="Arial"/>
          <w:b/>
          <w:bCs/>
          <w:color w:val="0D7C8C"/>
          <w:sz w:val="24"/>
          <w:szCs w:val="24"/>
        </w:rPr>
        <w:t xml:space="preserve">24.2 Arize Phoenix (Elastic License 2.0)</w:t>
      </w:r>
    </w:p>
    <w:p>
      <w:pPr>
        <w:spacing w:after="140"/>
        <w:jc w:val="both"/>
      </w:pPr>
      <w:r>
        <w:rPr>
          <w:rFonts w:ascii="Arial" w:cs="Arial" w:eastAsia="Arial" w:hAnsi="Arial"/>
          <w:color w:val="1A1A1A"/>
          <w:sz w:val="22"/>
          <w:szCs w:val="22"/>
        </w:rPr>
        <w:t xml:space="preserve">Arize Phoenix (github.com/Arize-ai/phoenix, single-container deploy, no feature gates) ships the deepest eval library in the space: phoenix.evals and arize-phoenix-evals cover Ragas, DeepEval, and Cleanlab-style confidence learning. OpenInference semantic conventions (Arize's open standard, complementary to OTel GenAI) add gen_ai.retrieval.documents, tool_call attributes, and agent span types. Best deployed co-located with Langfuse: Langfuse for prompt management and cost tracking, Phoenix for deep evaluation pipelines.</w:t>
      </w:r>
    </w:p>
    <w:p>
      <w:pPr>
        <w:pStyle w:val="Heading3"/>
        <w:spacing w:after="100" w:before="280"/>
      </w:pPr>
      <w:r>
        <w:rPr>
          <w:rFonts w:ascii="Arial" w:cs="Arial" w:eastAsia="Arial" w:hAnsi="Arial"/>
          <w:b/>
          <w:bCs/>
          <w:color w:val="0D7C8C"/>
          <w:sz w:val="24"/>
          <w:szCs w:val="24"/>
        </w:rPr>
        <w:t xml:space="preserve">24.3 Helicone (Apache 2.0) and Kong AI Gateway 3.14</w:t>
      </w:r>
    </w:p>
    <w:p>
      <w:pPr>
        <w:spacing w:after="140"/>
        <w:jc w:val="both"/>
      </w:pPr>
      <w:r>
        <w:rPr>
          <w:rFonts w:ascii="Arial" w:cs="Arial" w:eastAsia="Arial" w:hAnsi="Arial"/>
          <w:color w:val="1A1A1A"/>
          <w:sz w:val="22"/>
          <w:szCs w:val="22"/>
        </w:rPr>
        <w:t xml:space="preserve">Helicone (github.com/Helicone/helicone, 2B+ interactions processed) is the lowest-friction option — swap the base URL in API calls, add 50–80ms latency, gain a public 300+ model cost catalog, caching, rate limiting, and prompt templates. For pharma, Helicone's 50ms proxy latency is acceptable. Kong AI Gateway 3.14 (April 2026) adds first-class MCP support, A2A traffic routing, RFC 8693 token exchange for scope-downscoping, PII sanitisation across 20+ categories and 12 languages, scope-based tool filtering, and semantic caching. For a Paperclip-centric deployment, Kong fronting every LLM call while LiteLLM handles per-agent budget atomics is the strongest combination.</w:t>
      </w:r>
    </w:p>
    <w:p>
      <w:pPr>
        <w:pStyle w:val="Heading3"/>
        <w:spacing w:after="100" w:before="280"/>
      </w:pPr>
      <w:r>
        <w:rPr>
          <w:rFonts w:ascii="Arial" w:cs="Arial" w:eastAsia="Arial" w:hAnsi="Arial"/>
          <w:b/>
          <w:bCs/>
          <w:color w:val="0D7C8C"/>
          <w:sz w:val="24"/>
          <w:szCs w:val="24"/>
        </w:rPr>
        <w:t xml:space="preserve">24.4 OpenTelemetry GenAI Semantic Conventions</w:t>
      </w:r>
    </w:p>
    <w:p>
      <w:pPr>
        <w:spacing w:after="140"/>
        <w:jc w:val="both"/>
      </w:pPr>
      <w:r>
        <w:rPr>
          <w:rFonts w:ascii="Arial" w:cs="Arial" w:eastAsia="Arial" w:hAnsi="Arial"/>
          <w:color w:val="1A1A1A"/>
          <w:sz w:val="22"/>
          <w:szCs w:val="22"/>
        </w:rPr>
        <w:t xml:space="preserve">OTel GenAI semantic conventions are experimental as of v1.37 (late 2025), opt-in via OTEL_SEMCONV_STABILITY_OPT_IN=gen_ai_latest_experimental. Core span attributes for every agent call: gen_ai.system, gen_ai.provider.name, gen_ai.operation.name (chat/invoke_agent/execute_tool), gen_ai.request.model, gen_ai.response.model, gen_ai.usage.input_tokens, gen_ai.usage.output_tokens, gen_ai.response.id, gen_ai.conversation.id, gen_ai.agent.id, gen_ai.agent.name, gen_ai.agent.version. Content capture is opt-in (OTEL_INSTRUMENTATION_GENAI_CAPTURE_MESSAGE_CONTENT=true); production guidance recommends an external storage reference pointer — exactly what the ALCOA+ audit S3 bucket provides. Datadog added native v1.37 support in 2026.</w:t>
      </w:r>
    </w:p>
    <w:p>
      <w:pPr>
        <w:pStyle w:val="Heading2"/>
        <w:spacing w:after="160" w:before="400"/>
      </w:pPr>
      <w:r>
        <w:rPr>
          <w:rFonts w:ascii="Arial" w:cs="Arial" w:eastAsia="Arial" w:hAnsi="Arial"/>
          <w:b/>
          <w:bCs/>
          <w:color w:val="3A7CA5"/>
          <w:sz w:val="28"/>
          <w:szCs w:val="28"/>
        </w:rPr>
        <w:t xml:space="preserve">25. Token Budget Governance at Scale</w:t>
      </w:r>
    </w:p>
    <w:p>
      <w:pPr>
        <w:spacing w:after="140"/>
        <w:jc w:val="both"/>
      </w:pPr>
      <w:r>
        <w:rPr>
          <w:rFonts w:ascii="Arial" w:cs="Arial" w:eastAsia="Arial" w:hAnsi="Arial"/>
          <w:color w:val="1A1A1A"/>
          <w:sz w:val="22"/>
          <w:szCs w:val="22"/>
        </w:rPr>
        <w:t xml:space="preserve">LiteLLM (BerriAI/litellm, MIT) enforces hierarchical budgets: Org → Team → Project → Internal User → API Key → End-User. Fields: max_budget (USD), budget_duration, tpm_limit, rpm_limit, max_parallel_requests, model_max_budget per level. The enterprise dynamic_rate_limiter_v3 supports priority reservation (e.g., 90% of model TPM reserved for production keys). Spend writes are async Redis → Postgres; litellm_remaining_team_budget_metric exports to Prometheus. For Paperclip, wrap every agent's inference calls through a LiteLLM endpoint scoped to that agent's project ID; Paperclip's own budget tracking becomes a secondary accounting check rather than the sole control.</w:t>
      </w:r>
    </w:p>
    <w:p>
      <w:pPr>
        <w:pStyle w:val="Heading2"/>
        <w:spacing w:after="160" w:before="400"/>
      </w:pPr>
      <w:r>
        <w:rPr>
          <w:rFonts w:ascii="Arial" w:cs="Arial" w:eastAsia="Arial" w:hAnsi="Arial"/>
          <w:b/>
          <w:bCs/>
          <w:color w:val="3A7CA5"/>
          <w:sz w:val="28"/>
          <w:szCs w:val="28"/>
        </w:rPr>
        <w:t xml:space="preserve">26. 21 CFR Part 11, ALCOA+, FDA 2025 Guidance, and EU AI Act</w:t>
      </w:r>
    </w:p>
    <w:p>
      <w:pPr>
        <w:spacing w:after="140"/>
        <w:jc w:val="both"/>
      </w:pPr>
      <w:r>
        <w:rPr>
          <w:rFonts w:ascii="Arial" w:cs="Arial" w:eastAsia="Arial" w:hAnsi="Arial"/>
          <w:color w:val="1A1A1A"/>
          <w:sz w:val="22"/>
          <w:szCs w:val="22"/>
        </w:rPr>
        <w:t xml:space="preserve">Part 11 applies the moment an AI agent writes to a system of record, modifies a case narrative, approves a workflow step, or generates a record supporting a regulatory submission. The mapping is interpretive — the regulation predates LLMs — but the obligations are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Part 11 Clause</w:t>
            </w:r>
          </w:p>
        </w:tc>
        <w:tc>
          <w:tcPr>
            <w:tcW w:type="dxa" w:w="63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Agent Implementation</w:t>
            </w:r>
          </w:p>
        </w:tc>
      </w:tr>
      <w:tr>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§11.10(a) Validation</w:t>
            </w:r>
          </w:p>
        </w:tc>
        <w:tc>
          <w:tcPr>
            <w:tcW w:type="dxa" w:w="63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Model credibility framework per FDA Jan 2025 draft CAF; CoU definition; non-determinism documented with temperature/seed and acceptable variance ranges</w:t>
            </w:r>
          </w:p>
        </w:tc>
      </w:tr>
      <w:tr>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§11.10(b) Accurate copies</w:t>
            </w:r>
          </w:p>
        </w:tc>
        <w:tc>
          <w:tcPr>
            <w:tcW w:type="dxa" w:w="63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Full prompt + retrieved context + tool outputs + raw response stored as immutable trace (OTel spans + Langfuse prompt IO)</w:t>
            </w:r>
          </w:p>
        </w:tc>
      </w:tr>
      <w:tr>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§11.10(c) Record protection</w:t>
            </w:r>
          </w:p>
        </w:tc>
        <w:tc>
          <w:tcPr>
            <w:tcW w:type="dxa" w:w="63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MinIO Object Lock Compliance mode; Langfuse data retention policies; ArcadeDB WORM edge versioning</w:t>
            </w:r>
          </w:p>
        </w:tc>
      </w:tr>
      <w:tr>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§11.10(d) Access limits</w:t>
            </w:r>
          </w:p>
        </w:tc>
        <w:tc>
          <w:tcPr>
            <w:tcW w:type="dxa" w:w="63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Each agent is a named service account with IAM-scoped least privilege; per-agent Vault dynamic credentials</w:t>
            </w:r>
          </w:p>
        </w:tc>
      </w:tr>
      <w:tr>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§11.10(e) Audit trails</w:t>
            </w:r>
          </w:p>
        </w:tc>
        <w:tc>
          <w:tcPr>
            <w:tcW w:type="dxa" w:w="63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Two-tier: system-level (agent ID, NTP timestamp, action, before/after) + reasoning-level (prompt, retrieval, tool outputs, CoT, model version hash)</w:t>
            </w:r>
          </w:p>
        </w:tc>
      </w:tr>
      <w:tr>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§11.10(f)(g)(h) Op/authority/device checks</w:t>
            </w:r>
          </w:p>
        </w:tc>
        <w:tc>
          <w:tcPr>
            <w:tcW w:type="dxa" w:w="63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 Guardrails, Cedar policies, gateway-enforced RBAC, signed container images @sha256</w:t>
            </w:r>
          </w:p>
        </w:tc>
      </w:tr>
      <w:tr>
        <w:tc>
          <w:tcPr>
            <w:tcW w:type="dxa" w:w="3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§11.10(k) Change control</w:t>
            </w:r>
          </w:p>
        </w:tc>
        <w:tc>
          <w:tcPr>
            <w:tcW w:type="dxa" w:w="63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Model version pinning; prompt versioning; CR re-run against validation suite on every model/prompt/retriever change; QA sign-off</w:t>
            </w:r>
          </w:p>
        </w:tc>
      </w:tr>
      <w:tr>
        <w:tc>
          <w:tcPr>
            <w:tcW w:type="dxa" w:w="3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§11.50/§11.70 E-signatures</w:t>
            </w:r>
          </w:p>
        </w:tc>
        <w:tc>
          <w:tcPr>
            <w:tcW w:type="dxa" w:w="63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Human approval gate with SAML + TOTP re-authentication; reason-for-signing captured; payload includes hash of approved content</w:t>
            </w:r>
          </w:p>
        </w:tc>
      </w:tr>
    </w:tbl>
    <w:p>
      <w:pPr>
        <w:spacing w:after="140"/>
        <w:jc w:val="both"/>
      </w:pPr>
      <w:r>
        <w:rPr>
          <w:rFonts w:ascii="Arial" w:cs="Arial" w:eastAsia="Arial" w:hAnsi="Arial"/>
          <w:color w:val="1A1A1A"/>
          <w:sz w:val="22"/>
          <w:szCs w:val="22"/>
        </w:rPr>
        <w:t xml:space="preserve">FDA 2025/2026 regulatory milestones: January 2025 draft guidance 'Considerations for Use of AI to Support Regulatory Decision-Making' — introduces the seven-step Credibility Assessment Framework (CAF) anchored on Context of Use. September 24, 2025: Computer Software Assurance (CSA) finalized, superseding 2002 GPSV Section 6, legitimising scenario-based testing. QMSR takes effect 2026 replacing 21 CFR 820 for devices, incorporating ISO 13485:2016. EU AI Act: prohibitions from February 2, 2025; GPAI obligations from August 2, 2025; general application August 2, 2026. Pure R&amp;D / drug-discovery AI is generally exempt under the scientific research exemption. Clinical decision support LLMs are high-risk under Articles 9–15. AI in MDR/IVDR safety components is automatically high-risk. Penalties: €35M or 7% global turnover.</w:t>
      </w:r>
    </w:p>
    <w:p>
      <w:pPr>
        <w:pStyle w:val="Heading2"/>
        <w:spacing w:after="160" w:before="400"/>
      </w:pPr>
      <w:r>
        <w:rPr>
          <w:rFonts w:ascii="Arial" w:cs="Arial" w:eastAsia="Arial" w:hAnsi="Arial"/>
          <w:b/>
          <w:bCs/>
          <w:color w:val="3A7CA5"/>
          <w:sz w:val="28"/>
          <w:szCs w:val="28"/>
        </w:rPr>
        <w:t xml:space="preserve">27. Behavioral Drift Detection</w:t>
      </w:r>
    </w:p>
    <w:p>
      <w:pPr>
        <w:spacing w:after="140"/>
        <w:jc w:val="both"/>
      </w:pPr>
      <w:r>
        <w:rPr>
          <w:rFonts w:ascii="Arial" w:cs="Arial" w:eastAsia="Arial" w:hAnsi="Arial"/>
          <w:color w:val="1A1A1A"/>
          <w:sz w:val="22"/>
          <w:szCs w:val="22"/>
        </w:rPr>
        <w:t xml:space="preserve">Paunova (2025) measured 23% response-length variance and 31% instruction-adherence inconsistency across GPT-4, Claude 3, and Mixtral snapshots. Industry data shows 75% of businesses observed AI performance decline without active monitoring. Detection requires: PSI/KL divergence on prompt embeddings to detect input distribution shift; golden dataset regression scored nightly by LLM-as-judge + human spot-checks; behavioral metrics (hallucination rate, groundedness, refusal rate, JSON validity); output embedding drift against reference period; shadow/canary model deployments with hard rollback; and CI/CD gates that fail builds when scores drop below threshold. For pharma, every model/prompt/retriever change is a Part 11 change-control event: validation re-run, risk re-assessment, human sign-off, system-of-record recording — all before production routing.</w:t>
      </w:r>
    </w:p>
    <w:p>
      <w:pPr>
        <w:spacing w:after="140"/>
        <w:jc w:val="both"/>
      </w:pPr>
      <w:r>
        <w:rPr>
          <w:rFonts w:ascii="Arial" w:cs="Arial" w:eastAsia="Arial" w:hAnsi="Arial"/>
          <w:color w:val="1A1A1A"/>
          <w:sz w:val="22"/>
          <w:szCs w:val="22"/>
        </w:rPr>
        <w:t xml:space="preserve">Seven compensating controls that must exist for any pharma use: (1) paperclip-audit-bridge sidecar subscribing to Paperclip activity-log webhook, canonicalising to ALCOA+ JSON, signing with KMS key, writing append-only to MinIO WORM. (2) E-signature layer on approval gates (SAML + TOTP + reason-for-signing). (3) NeMo Guardrails fronting Regulatory Writer and Literature Harvester (PII/PHI scan + prompt-injection detection from paper abstracts and patent claims). (4) HPC bridge service on the DFT host (the only allowed endpoint in that sandbox's egress policy), translating to Slurm REST, staging via MinIO, enforcing the shadow HPC credit budget. (5) LIMS connector sidecar holding Benchling OAuth2 credentials that sandbox agents never see. (6) OpenTelemetry instrumentation patched into Paperclip's fetch layer with traceparent propagation. (7) Model version pinning with weekly tag-diff against config/approved-models.yaml.</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VII — The State of Autonomous Science: April 2026</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Honest framing: the Paperclip + NemoClaw stack accelerates pre-wet-lab, pre-submission R&amp;D by 2–4× over manual work — literature synthesis, retrosynthesis planning, DFT campaigns, KG ETL, analytical method drafting, regulatory section drafting. It does not autonomously discover drugs, execute wet-lab chemistry, or submit INDs. Claims beyond this are marketing fiction.</w:t>
      </w:r>
    </w:p>
    <w:p>
      <w:pPr>
        <w:pStyle w:val="Heading2"/>
        <w:spacing w:after="160" w:before="400"/>
      </w:pPr>
      <w:r>
        <w:rPr>
          <w:rFonts w:ascii="Arial" w:cs="Arial" w:eastAsia="Arial" w:hAnsi="Arial"/>
          <w:b/>
          <w:bCs/>
          <w:color w:val="3A7CA5"/>
          <w:sz w:val="28"/>
          <w:szCs w:val="28"/>
        </w:rPr>
        <w:t xml:space="preserve">28. Self-Driving Labs: Current Reality</w:t>
      </w:r>
    </w:p>
    <w:p>
      <w:pPr>
        <w:spacing w:after="140"/>
        <w:jc w:val="both"/>
      </w:pPr>
      <w:r>
        <w:rPr>
          <w:rFonts w:ascii="Arial" w:cs="Arial" w:eastAsia="Arial" w:hAnsi="Arial"/>
          <w:color w:val="1A1A1A"/>
          <w:sz w:val="22"/>
          <w:szCs w:val="22"/>
        </w:rPr>
        <w:t xml:space="preserve">The Royal Society Open Science July 2025 review (Tobias &amp; Wahab, DOI 10.1098/rsos.250646) frames today's most capable SDLs as automating 'nearly the entire scientific method' in chemistry, materials, and biology, with Level-3 conditionally autonomous systems using Bayesian optimisation and active learning. The Acceleration Consortium at University of Toronto (Aspuru-Guzik, $200M Canada First Research Excellence Fund, 2024) now runs two production organic SDLs with BMS and has documented 2025 results on liquid-liquid extraction, organic laser emitter discovery, and integration with Merck's BayBE optimisation library.</w:t>
      </w:r>
    </w:p>
    <w:p>
      <w:pPr>
        <w:spacing w:after="140"/>
        <w:jc w:val="both"/>
      </w:pPr>
      <w:r>
        <w:rPr>
          <w:rFonts w:ascii="Arial" w:cs="Arial" w:eastAsia="Arial" w:hAnsi="Arial"/>
          <w:color w:val="1A1A1A"/>
          <w:sz w:val="22"/>
          <w:szCs w:val="22"/>
        </w:rPr>
        <w:t xml:space="preserve">Key published milestones: Burger et al. (Nature 2020) — autonomous photocatalyst optimisation with a mobile robot. MacLeod et al. (Science Advances 2020, eaaz8867) — self-driving thin-film materials. Clayton et al. (Angew Chem 2023, e202214511) — Bayesian self-optimisation for telescoped continuous flow synthesis. AlphaFlow (Volk et al., Nature Communications 2023) — RL-driven multi-step fluidic chemistry optimisation. 2025 papers in React. Chem. Eng. and Matter covered dynamic flow experiments, self-optimising hydrothermal reactors, and Bayesian optimisation of thermoresponsive polymer LCST. What has not been demonstrated anywhere in the public literature is fully autonomous GMP-scale pharmaceutical API synthesis — everything above is mg-to-g scale methodology or materials research.</w:t>
      </w:r>
    </w:p>
    <w:p>
      <w:pPr>
        <w:pStyle w:val="Heading2"/>
        <w:spacing w:after="160" w:before="400"/>
      </w:pPr>
      <w:r>
        <w:rPr>
          <w:rFonts w:ascii="Arial" w:cs="Arial" w:eastAsia="Arial" w:hAnsi="Arial"/>
          <w:b/>
          <w:bCs/>
          <w:color w:val="3A7CA5"/>
          <w:sz w:val="28"/>
          <w:szCs w:val="28"/>
        </w:rPr>
        <w:t xml:space="preserve">29. AI-Discovered Drugs in the Clinic</w:t>
      </w:r>
    </w:p>
    <w:p>
      <w:pPr>
        <w:spacing w:after="140"/>
        <w:jc w:val="both"/>
      </w:pPr>
      <w:r>
        <w:rPr>
          <w:rFonts w:ascii="Arial" w:cs="Arial" w:eastAsia="Arial" w:hAnsi="Arial"/>
          <w:color w:val="1A1A1A"/>
          <w:sz w:val="22"/>
          <w:szCs w:val="22"/>
        </w:rPr>
        <w:t xml:space="preserve">Insilico Medicine's rentosertib (ISM001-055, TNIK inhibitor for idiopathic pulmonary fibrosis) became the first AI-discovered, AI-designed drug to report positive Phase 2a data (Xu et al., Nature Medicine 2025, DOI 10.1038/s41591-025-03743-2, published June 3, 2025). The GENESIS-IPF trial enrolled 71 patients across 22 Chinese sites; the 60 mg QD arm showed +98.4 mL mean FVC improvement vs. −20.3 mL for placebo, validated by dose/time-dependent pro-fibrotic biomarker changes and IL-10 rise. Insilico reports their 22 PCCs from 2021–2024 averaged 12–18 months from project initiation to preclinical candidate vs. the industry average of 2.5–4 years.</w:t>
      </w:r>
    </w:p>
    <w:p>
      <w:pPr>
        <w:spacing w:after="140"/>
        <w:jc w:val="both"/>
      </w:pPr>
      <w:r>
        <w:rPr>
          <w:rFonts w:ascii="Arial" w:cs="Arial" w:eastAsia="Arial" w:hAnsi="Arial"/>
          <w:color w:val="1A1A1A"/>
          <w:sz w:val="22"/>
          <w:szCs w:val="22"/>
        </w:rPr>
        <w:t xml:space="preserve">Takeda's zasocitinib (TYK2 inhibitor, AI-designed by Nimbus Therapeutics) posted positive Phase 3 plaque psoriasis data December 2025, positioning it as a candidate for the first FDA approval of an AI-discovered drug in 2026–2027. Isomorphic Labs raised $600M (March 2025, Thrive Capital-led), has oncology/immunology candidates in IND-enabling work with first human dosing expected late 2026, and signed new J&amp;J collaboration January 2026 joining Novartis and Eli Lilly deals worth ~$3B combined. As of April 2026: 173+ AI-discovered drug programmes in clinical development, 15–20 expected to enter pivotal trials in 2026, no AI-discovered drug has received FDA approval, rentosertib and zasocitinib are the most advanced candidates.</w:t>
      </w:r>
    </w:p>
    <w:p>
      <w:pPr>
        <w:pStyle w:val="Heading2"/>
        <w:spacing w:after="160" w:before="400"/>
      </w:pPr>
      <w:r>
        <w:rPr>
          <w:rFonts w:ascii="Arial" w:cs="Arial" w:eastAsia="Arial" w:hAnsi="Arial"/>
          <w:b/>
          <w:bCs/>
          <w:color w:val="3A7CA5"/>
          <w:sz w:val="28"/>
          <w:szCs w:val="28"/>
        </w:rPr>
        <w:t xml:space="preserve">30. Chemistry Benchmarks and Honest Assessment</w:t>
      </w:r>
    </w:p>
    <w:p>
      <w:pPr>
        <w:spacing w:after="140"/>
        <w:jc w:val="both"/>
      </w:pPr>
      <w:r>
        <w:rPr>
          <w:rFonts w:ascii="Arial" w:cs="Arial" w:eastAsia="Arial" w:hAnsi="Arial"/>
          <w:color w:val="1A1A1A"/>
          <w:sz w:val="22"/>
          <w:szCs w:val="22"/>
        </w:rPr>
        <w:t xml:space="preserve">ChemBench (Mirza, Alampara et al., Nature Chemistry 2025, DOI 10.1038/s41557-025-01815-x) — 2,700+ curated Q&amp;A pairs across eight chemistry topics — found top models beat the average human chemist overall but with extreme topic variance. On textbook-style German Chemical Prohibition Ordinance questions: GPT-4 71%, Claude-3.5 Sonnet 61%, human experts 3%. On NMR signal prediction (requiring symmetry reasoning): top models below 25%. On chemical safety, models are overconfident and miscalibrated — confidence for correct vs. incorrect GHS answers is barely distinguishable. MaCBench (Alampara et al., arXiv:2411.16955) extended this to multimodal chemistry, finding VLLMs have much higher performance variability — spatial reasoning and cross-modal integration are the key failure modes.</w:t>
      </w:r>
    </w:p>
    <w:p>
      <w:pPr>
        <w:spacing w:after="140"/>
        <w:jc w:val="both"/>
      </w:pPr>
      <w:r>
        <w:rPr>
          <w:rFonts w:ascii="Arial" w:cs="Arial" w:eastAsia="Arial" w:hAnsi="Arial"/>
          <w:color w:val="1A1A1A"/>
          <w:sz w:val="22"/>
          <w:szCs w:val="22"/>
        </w:rPr>
        <w:t xml:space="preserve">AI Scientist v2 (Yamada et al., arXiv:2504.08066, April 2025) produced three fully AI-generated papers, with one achieving 6.33 average at ICLR 2025 ICBINB workshop — surpassing the human acceptance threshold and subsequently accepted in Nature 2026. However, independent evaluation (Beel et al., ACM SIGIR Forum) found 42% of AI Scientist v1 experiments failed due to coding errors, manuscripts contained hallucinated numerical results, and literature review miscategorised established methods as novel. The defensible claim: current LLMs are superhuman on chemistry knowledge retrieval, roughly human on structured reasoning, and unsafe on novel-problem chemistry without deterministic tool gates and human review.</w:t>
      </w:r>
    </w:p>
    <w:p>
      <w:pPr>
        <w:pStyle w:val="Heading2"/>
        <w:spacing w:after="160" w:before="400"/>
      </w:pPr>
      <w:r>
        <w:rPr>
          <w:rFonts w:ascii="Arial" w:cs="Arial" w:eastAsia="Arial" w:hAnsi="Arial"/>
          <w:b/>
          <w:bCs/>
          <w:color w:val="3A7CA5"/>
          <w:sz w:val="28"/>
          <w:szCs w:val="28"/>
        </w:rPr>
        <w:t xml:space="preserve">31. Technology Readiness by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600"/>
        <w:gridCol w:w="3160"/>
      </w:tblGrid>
      <w:tr>
        <w:trPr>
          <w:tblHeader/>
        </w:trPr>
        <w:tc>
          <w:tcPr>
            <w:tcW w:type="dxa" w:w="2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R&amp;D Capability</w:t>
            </w:r>
          </w:p>
        </w:tc>
        <w:tc>
          <w:tcPr>
            <w:tcW w:type="dxa" w:w="1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TRL</w:t>
            </w:r>
          </w:p>
        </w:tc>
        <w:tc>
          <w:tcPr>
            <w:tcW w:type="dxa" w:w="2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Evidence</w:t>
            </w:r>
          </w:p>
        </w:tc>
        <w:tc>
          <w:tcPr>
            <w:tcW w:type="dxa" w:w="31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Agent Role</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Target identification (omics mining)</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7–8</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Insilico TNIK (clinically validated); Recursion OS2 phenomics</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Literature + KG agents provide supporting data</w:t>
            </w:r>
          </w:p>
        </w:tc>
      </w:tr>
      <w:tr>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Hit finding (virtual screening)</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AlphaFold 3, IsoDDE, Chemistry42 deployed; human-curated</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Retrosynthesis + DFT agents support hit expansion</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Lead optimisation (ADME, potency)</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6–7</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Insilico 60–200 molecules to PCC vs. thousands historically</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All agents collectively; DFT + ADMET critical</w:t>
            </w:r>
          </w:p>
        </w:tc>
      </w:tr>
      <w:tr>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Retrosynthesis planning</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ASKCOS, AiZynthFinder 4 in production use; chemist review</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Retrosynthesis Agent — L2 trust, human approves execution</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Autonomous synthesis execution</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4–5</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SDLs at mg–g scale; not GMP; Coscientist (Nature 2023)</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Automation Agent — strictly L2, wet_lab gate mandatory</w:t>
            </w:r>
          </w:p>
        </w:tc>
      </w:tr>
      <w:tr>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Characterisation (HPLC/NMR/MS)</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ML interpretation works; Part 11 sign-off required</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Analytical Agent — L2 for regulatory use, L3 for internal</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Formulation design</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3–4</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ML-assisted excipient selection emerging; largely manual</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Stability/Formulation Agent — L2 only</w:t>
            </w:r>
          </w:p>
        </w:tc>
      </w:tr>
      <w:tr>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Stability study design</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LLM-drafted ICH Q1A protocols plausible; wet-lab execution manual</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Stability Agent — L2, Lobster approval gate</w:t>
            </w:r>
          </w:p>
        </w:tc>
      </w:tr>
      <w:tr>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Regulatory writing (IND sections)</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5–6</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LLM drafting widely used; QA sign-off absolutely required</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Regulatory Agent — L2, Part 11 e-signature mandatory</w:t>
            </w:r>
          </w:p>
        </w:tc>
      </w:tr>
      <w:tr>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End-to-end IND submission</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 autonomous IND of record submitted anywhere</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Not in scope for Phase 1–2 deployment</w:t>
            </w:r>
          </w:p>
        </w:tc>
      </w:tr>
    </w:tbl>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IX — Hermes 4, Self-Evolving Agents, and Autonomous Knowledge Generation</w:t>
      </w:r>
    </w:p>
    <w:p>
      <w:pPr>
        <w:spacing w:after="140"/>
        <w:jc w:val="both"/>
      </w:pPr>
      <w:r>
        <w:rPr>
          <w:rFonts w:ascii="Arial" w:cs="Arial" w:eastAsia="Arial" w:hAnsi="Arial"/>
          <w:color w:val="1A1A1A"/>
          <w:sz w:val="22"/>
          <w:szCs w:val="22"/>
        </w:rPr>
        <w:t xml:space="preserve">The previous parts established a NemoClaw + Paperclip stack that accelerates the pre-wet-lab R&amp;D cycle by 2–4×. This part addresses the deeper architectural question: can the stack learn? Can agents accumulate institutional knowledge across experimental campaigns, refine their own reasoning policies from feedback, and evolve toward the genuinely autonomous R&amp;D department without perpetual human curation? The answer in April 2026 is a qualified yes for memory-, prompt-, and skill-level evolution; a research-track yes for weight-level continual learning; and a still-open question for cross-company federated negative-results learning — the most valuable and most neglected gap.</w:t>
      </w:r>
    </w:p>
    <w:p>
      <w:pPr>
        <w:spacing w:after="140"/>
        <w:jc w:val="both"/>
      </w:pPr>
      <w:r>
        <w:rPr>
          <w:rFonts w:ascii="Arial" w:cs="Arial" w:eastAsia="Arial" w:hAnsi="Arial"/>
          <w:color w:val="1A1A1A"/>
          <w:sz w:val="22"/>
          <w:szCs w:val="22"/>
        </w:rPr>
        <w:t xml:space="preserve">Hermes 4 from Nous Research is the focal point because it is simultaneously a family of open-weight models with pharmaceutical-relevant capabilities, a Claude-Code-equivalent agent harness with a native Paperclip adapter already shipping, and the output of the most transparent open-weight RLVR training pipeline (Atropos) that exists — making it the most tractable foundation for custom pharma fine-tuning. But Hermes is a component, not a solution: the self-evolution architecture that follows is model-agnostic and applies equally to Claude, Nemotron, DeepSeek, or any future open-weight frontier.</w:t>
      </w:r>
    </w:p>
    <w:p>
      <w:pPr>
        <w:pStyle w:val="Heading2"/>
        <w:spacing w:after="160" w:before="400"/>
      </w:pPr>
      <w:r>
        <w:rPr>
          <w:rFonts w:ascii="Arial" w:cs="Arial" w:eastAsia="Arial" w:hAnsi="Arial"/>
          <w:b/>
          <w:bCs/>
          <w:color w:val="3A7CA5"/>
          <w:sz w:val="28"/>
          <w:szCs w:val="28"/>
        </w:rPr>
        <w:t xml:space="preserve">38. Hermes Agent: What It Actually Is</w:t>
      </w:r>
    </w:p>
    <w:p>
      <w:pPr>
        <w:pStyle w:val="Heading3"/>
        <w:spacing w:after="100" w:before="280"/>
      </w:pPr>
      <w:r>
        <w:rPr>
          <w:rFonts w:ascii="Arial" w:cs="Arial" w:eastAsia="Arial" w:hAnsi="Arial"/>
          <w:b/>
          <w:bCs/>
          <w:color w:val="0D7C8C"/>
          <w:sz w:val="24"/>
          <w:szCs w:val="24"/>
        </w:rPr>
        <w:t xml:space="preserve">38.1 The hermes-agent.nousresearch.com harness</w:t>
      </w:r>
    </w:p>
    <w:p>
      <w:pPr>
        <w:spacing w:after="140"/>
        <w:jc w:val="both"/>
      </w:pPr>
      <w:r>
        <w:rPr>
          <w:rFonts w:ascii="Arial" w:cs="Arial" w:eastAsia="Arial" w:hAnsi="Arial"/>
          <w:color w:val="1A1A1A"/>
          <w:sz w:val="22"/>
          <w:szCs w:val="22"/>
        </w:rPr>
        <w:t xml:space="preserve">Hermes Agent at hermes-agent.nousresearch.com is a terminal-native, Claude-Code-equivalent agent harness — not a hosted API and not the underlying model. The GitHub repository NousResearch/hermes-agent (tagline: 'the agent that grows with you', 55K+ stars as of April 2026) implements a CLI with persistent memory, an extensible skill system, multi-platform gateways (Telegram, Discord, Slack, WhatsApp, Signal, iMessage), and first-class MCP client/server support. Agent identity is defined through the same workspace-as-code model as OpenClaw and Paperclip:</w:t>
      </w:r>
    </w:p>
    <w:p>
      <w:pPr>
        <w:pStyle w:val="ListParagraph"/>
        <w:numPr>
          <w:ilvl w:val="0"/>
          <w:numId w:val="2"/>
        </w:numPr>
        <w:spacing w:after="80"/>
      </w:pPr>
      <w:r>
        <w:rPr>
          <w:rFonts w:ascii="Arial" w:cs="Arial" w:eastAsia="Arial" w:hAnsi="Arial"/>
          <w:color w:val="1A1A1A"/>
          <w:sz w:val="22"/>
          <w:szCs w:val="22"/>
        </w:rPr>
        <w:t xml:space="preserve">SOUL.md — durable persona file, injected at every session start as the top of system prompt. In pharma use, this encodes the agent's scientific domain, reasoning style, citation requirements, and safety limits.</w:t>
      </w:r>
    </w:p>
    <w:p>
      <w:pPr>
        <w:pStyle w:val="ListParagraph"/>
        <w:numPr>
          <w:ilvl w:val="0"/>
          <w:numId w:val="2"/>
        </w:numPr>
        <w:spacing w:after="80"/>
      </w:pPr>
      <w:r>
        <w:rPr>
          <w:rFonts w:ascii="Arial" w:cs="Arial" w:eastAsia="Arial" w:hAnsi="Arial"/>
          <w:color w:val="1A1A1A"/>
          <w:sz w:val="22"/>
          <w:szCs w:val="22"/>
        </w:rPr>
        <w:t xml:space="preserve">AGENTS.md — per-project context file covering architecture, conventions, tool locations, and project-specific instructions. Updated when the project changes; version-controlled in Git.</w:t>
      </w:r>
    </w:p>
    <w:p>
      <w:pPr>
        <w:pStyle w:val="ListParagraph"/>
        <w:numPr>
          <w:ilvl w:val="0"/>
          <w:numId w:val="2"/>
        </w:numPr>
        <w:spacing w:after="80"/>
      </w:pPr>
      <w:r>
        <w:rPr>
          <w:rFonts w:ascii="Arial" w:cs="Arial" w:eastAsia="Arial" w:hAnsi="Arial"/>
          <w:color w:val="1A1A1A"/>
          <w:sz w:val="22"/>
          <w:szCs w:val="22"/>
        </w:rPr>
        <w:t xml:space="preserve">MEMORY.md / USER.md — auto-curated fact files maintained by the agent itself. MEMORY.md holds key institutional knowledge (compound series rules, instrument quirks, known failures). USER.md holds user preferences. Both capped near 1,300 tokens to prevent context bloat.</w:t>
      </w:r>
    </w:p>
    <w:p>
      <w:pPr>
        <w:pStyle w:val="ListParagraph"/>
        <w:numPr>
          <w:ilvl w:val="0"/>
          <w:numId w:val="2"/>
        </w:numPr>
        <w:spacing w:after="80"/>
      </w:pPr>
      <w:r>
        <w:rPr>
          <w:rFonts w:ascii="Arial" w:cs="Arial" w:eastAsia="Arial" w:hAnsi="Arial"/>
          <w:color w:val="1A1A1A"/>
          <w:sz w:val="22"/>
          <w:szCs w:val="22"/>
        </w:rPr>
        <w:t xml:space="preserve">Skills — SKILL.md files in .agents/skills/ that define how the agent executes specific task types, with YAML frontmatter declaring allowed-tools and input/output schemas.</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Integration discovery: hermes-agent ships a native openclaw_gateway adapter and a first-party @nousresearch/hermes-paperclip-adapter npm plugin, making Hermes + Paperclip + NemoClaw an architecturally coherent trio rather than an improvised integration. The SOUL.md/AGENTS.md model is identical across Claude Code, hermes-agent, and OpenClaw — a unified mental model for the full nine-agent team.</w:t>
      </w:r>
    </w:p>
    <w:p>
      <w:pPr>
        <w:spacing w:after="140"/>
        <w:jc w:val="both"/>
      </w:pPr>
      <w:r>
        <w:rPr>
          <w:rFonts w:ascii="Arial" w:cs="Arial" w:eastAsia="Arial" w:hAnsi="Arial"/>
          <w:color w:val="1A1A1A"/>
          <w:sz w:val="22"/>
          <w:szCs w:val="22"/>
        </w:rPr>
        <w:t xml:space="preserve">Version 0.8.0+ adds MCP OAuth 2.1 PKCE support for secure delegated tool authentication. The harness auto-discovers MCP servers, honours notifications/tools/list_changed for live tool updates, and redacts credential patterns from tool-error messages before they reach the LLM context — a security property that matters when the agent is querying internal chemistry databases.</w:t>
      </w:r>
    </w:p>
    <w:p>
      <w:pPr>
        <w:pStyle w:val="Heading3"/>
        <w:spacing w:after="100" w:before="280"/>
      </w:pPr>
      <w:r>
        <w:rPr>
          <w:rFonts w:ascii="Arial" w:cs="Arial" w:eastAsia="Arial" w:hAnsi="Arial"/>
          <w:b/>
          <w:bCs/>
          <w:color w:val="0D7C8C"/>
          <w:sz w:val="24"/>
          <w:szCs w:val="24"/>
        </w:rPr>
        <w:t xml:space="preserve">38.2 The Hermes 4 model family</w:t>
      </w:r>
    </w:p>
    <w:p>
      <w:pPr>
        <w:spacing w:after="140"/>
        <w:jc w:val="both"/>
      </w:pPr>
      <w:r>
        <w:rPr>
          <w:rFonts w:ascii="Arial" w:cs="Arial" w:eastAsia="Arial" w:hAnsi="Arial"/>
          <w:color w:val="1A1A1A"/>
          <w:sz w:val="22"/>
          <w:szCs w:val="22"/>
        </w:rPr>
        <w:t xml:space="preserve">Hermes 4 (arXiv:2508.18255, Teknium et al., August 2025) is a hybrid-reasoning model family built on Llama 3.1 bases under the Llama 3 community licence, trained using approximately 5 million samples (roughly 19B tokens) of newly synthesised DataForge data plus approximately 1,000 task-specific verifiers in Atropos for rejection sampling and RLVR. Training ran on 192× NVIDIA B200 GPUs using a modified TorchTitan. Three sizes shipped: 14B, 70B, and 405B, with official FP8 weights for 70B and 405B.</w:t>
      </w:r>
    </w:p>
    <w:p>
      <w:pPr>
        <w:spacing w:after="140"/>
        <w:jc w:val="both"/>
      </w:pPr>
      <w:r>
        <w:rPr>
          <w:rFonts w:ascii="Arial" w:cs="Arial" w:eastAsia="Arial" w:hAnsi="Arial"/>
          <w:color w:val="1A1A1A"/>
          <w:sz w:val="22"/>
          <w:szCs w:val="22"/>
        </w:rPr>
        <w:t xml:space="preserve">Hermes 4 toggles between direct answer mode and a structured &lt;think&gt;…&lt;/think&gt; reasoning trace — allowing the calling application to expose or suppress the chain of thought. For agentic scientific workflows this is directly useful: the DFT agent can expose the full reasoning trace for chemist review and audit-trail purposes, while the Literature Harvester agent suppresses the trace for cost efficiency in high-volume triage.</w:t>
      </w:r>
    </w:p>
    <w:p>
      <w:pPr>
        <w:spacing w:after="140"/>
        <w:jc w:val="both"/>
      </w:pPr>
      <w:r>
        <w:rPr>
          <w:rFonts w:ascii="Arial" w:cs="Arial" w:eastAsia="Arial" w:hAnsi="Arial"/>
          <w:color w:val="1A1A1A"/>
          <w:sz w:val="22"/>
          <w:szCs w:val="22"/>
        </w:rPr>
        <w:t xml:space="preserve">Headline benchmark results: Hermes 4 405B reaches 96.3% MATH-500, 81.9% AIME 2024, and — most distinctively — 57.1% RefusalBench. RefusalBench measures the fraction of prompts a model engages with substantively rather than declining; Hermes 4's score is the highest published across all evaluated models. For pharmaceutical R&amp;D, this matters: legitimate toxicology queries, overdose pharmacology, and controlled-substance synthesis routes that are blocked by Claude-tier refusal layers are necessary knowledge for medicinal and safety pharmacology teams. Hermes 4's steerability via SOUL.md plus its RefusalBench lead makes it the correct model for those specific agent roles.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400"/>
        <w:gridCol w:w="1700"/>
        <w:gridCol w:w="1500"/>
        <w:gridCol w:w="2100"/>
      </w:tblGrid>
      <w:tr>
        <w:trPr>
          <w:tblHeader/>
        </w:trPr>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Model</w:t>
            </w:r>
          </w:p>
        </w:tc>
        <w:tc>
          <w:tcPr>
            <w:tcW w:type="dxa" w:w="1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Size</w:t>
            </w:r>
          </w:p>
        </w:tc>
        <w:tc>
          <w:tcPr>
            <w:tcW w:type="dxa" w:w="1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Context</w:t>
            </w:r>
          </w:p>
        </w:tc>
        <w:tc>
          <w:tcPr>
            <w:tcW w:type="dxa" w:w="1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MATH-500</w:t>
            </w:r>
          </w:p>
        </w:tc>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GPQA Diamond</w:t>
            </w:r>
          </w:p>
        </w:tc>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RefusalBench</w:t>
            </w:r>
          </w:p>
        </w:tc>
        <w:tc>
          <w:tcPr>
            <w:tcW w:type="dxa" w:w="2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On-prem fit (2×H100 FP8)</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Hermes 4 14B</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14B</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131K</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~88%</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~55%</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~65%</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trivial (BF16 or FP8)</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Hermes 4 70B</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70B</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131K</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~93%</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~62%</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~71%</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2×H100 FP8 (~70GB)</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Hermes 4 405B</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405B</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131K</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96.3%</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~72%</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57.1%</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multi-H100 required</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Hermes 4.3 Psyche 36B</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36B</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128K</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93.8%</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65.5%</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74.6%</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1×H100 FP8 (~36GB)</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Nemotron-Super-49B v1.5</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49B</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128K</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~92%</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71.97%</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1×H100 FP8 (~49GB)</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GLM-4.5-Air (106B MoE/12B)</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12B active</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128K</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~90%</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~75%</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tight FP8</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QwQ-32B</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32B</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131K</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~90%</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65.6%</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easy (1×H100)</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DeepSeek-R1-0528</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37B active</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128K</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~97%</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81.0%</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671B total</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Llama 3.3 70B Instruct</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70B</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128K</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~77%</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49.7%</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FP8 standard</w:t>
            </w:r>
          </w:p>
        </w:tc>
      </w:tr>
    </w:tbl>
    <w:p>
      <w:pPr>
        <w:pStyle w:val="Heading3"/>
        <w:spacing w:after="100" w:before="280"/>
      </w:pPr>
      <w:r>
        <w:rPr>
          <w:rFonts w:ascii="Arial" w:cs="Arial" w:eastAsia="Arial" w:hAnsi="Arial"/>
          <w:b/>
          <w:bCs/>
          <w:color w:val="0D7C8C"/>
          <w:sz w:val="24"/>
          <w:szCs w:val="24"/>
        </w:rPr>
        <w:t xml:space="preserve">38.3 Tool calling and MCP integration</w:t>
      </w:r>
    </w:p>
    <w:p>
      <w:pPr>
        <w:spacing w:after="140"/>
        <w:jc w:val="both"/>
      </w:pPr>
      <w:r>
        <w:rPr>
          <w:rFonts w:ascii="Arial" w:cs="Arial" w:eastAsia="Arial" w:hAnsi="Arial"/>
          <w:color w:val="1A1A1A"/>
          <w:sz w:val="22"/>
          <w:szCs w:val="22"/>
        </w:rPr>
        <w:t xml:space="preserve">Hermes's tool-calling convention — widely adopted as 'Hermes Function Calling V1' — uses an XML-like format: the model emits &lt;tool_call&gt;{"name":"pubmed_search","arguments":{"q":"PROTAC selectivity"}}&lt;/tool_call&gt; and tool output is returned as &lt;tool_response&gt;…&lt;/tool_response&gt;. Tool schemas are injected as a &lt;tools&gt;…&lt;/tools&gt; block in the system prompt. vLLM ships a native --tool-call-parser hermes that converts this XML into OpenAI-compatible tool_calls JSON, meaning any MCP client that speaks OpenAI function calling works unmodified with a Hermes backend. SGLang uses the Qwen 2.5 parser, which shares the schema.</w:t>
      </w:r>
    </w:p>
    <w:p>
      <w:pPr>
        <w:spacing w:after="140"/>
        <w:jc w:val="both"/>
      </w:pPr>
      <w:r>
        <w:rPr>
          <w:rFonts w:ascii="Arial" w:cs="Arial" w:eastAsia="Arial" w:hAnsi="Arial"/>
          <w:color w:val="1A1A1A"/>
          <w:sz w:val="22"/>
          <w:szCs w:val="22"/>
        </w:rPr>
        <w:t xml:space="preserve">The practical implication: the same MCP tool servers (ArcadeDB MCP, xtb-mcp, PyOpenMS MCP, Benchling adapter, BoFire MCP) that Claude-based agents call via Anthropic's tool-use format can be called by Hermes-based agents via the vLLM hermes parser — the NemoClaw MCP routing layer handles the format translation transparently. No per-tool adapter code is required.</w:t>
      </w:r>
    </w:p>
    <w:p>
      <w:pPr>
        <w:pStyle w:val="Heading2"/>
        <w:spacing w:after="160" w:before="400"/>
      </w:pPr>
      <w:r>
        <w:rPr>
          <w:rFonts w:ascii="Arial" w:cs="Arial" w:eastAsia="Arial" w:hAnsi="Arial"/>
          <w:b/>
          <w:bCs/>
          <w:color w:val="3A7CA5"/>
          <w:sz w:val="28"/>
          <w:szCs w:val="28"/>
        </w:rPr>
        <w:t xml:space="preserve">39. The Nous Research Ecosystem</w:t>
      </w:r>
    </w:p>
    <w:p>
      <w:pPr>
        <w:pStyle w:val="Heading3"/>
        <w:spacing w:after="100" w:before="280"/>
      </w:pPr>
      <w:r>
        <w:rPr>
          <w:rFonts w:ascii="Arial" w:cs="Arial" w:eastAsia="Arial" w:hAnsi="Arial"/>
          <w:b/>
          <w:bCs/>
          <w:color w:val="0D7C8C"/>
          <w:sz w:val="24"/>
          <w:szCs w:val="24"/>
        </w:rPr>
        <w:t xml:space="preserve">39.1 Psyche: decentralised pretraining</w:t>
      </w:r>
    </w:p>
    <w:p>
      <w:pPr>
        <w:spacing w:after="140"/>
        <w:jc w:val="both"/>
      </w:pPr>
      <w:r>
        <w:rPr>
          <w:rFonts w:ascii="Arial" w:cs="Arial" w:eastAsia="Arial" w:hAnsi="Arial"/>
          <w:color w:val="1A1A1A"/>
          <w:sz w:val="22"/>
          <w:szCs w:val="22"/>
        </w:rPr>
        <w:t xml:space="preserve">Psyche (github.com/PsycheFoundation/psyche, testnet May 2025) is an open, Solana-coordinated network for internet-scale decentralised pretraining. Its first major run — Consilience 40B — targets a DeepSeek-V3-style dense 40B model on 20T tokens of FineWeb plus Stack V2. Psyche runs on DisTrO/DeMo (arXiv:2411.19870, Kingma co-author, ICLR 2026), a decentralised optimizer that achieves up to 85× less communication data per GPU than AdamW-DDP, with roughly 10,000× lower inter-GPU bandwidth when using 1-bit DCT sign quantization with overlapped training. The practical relevance for pharma: Psyche's architecture means that a consortium of pharmaceutical companies could contribute compute to a shared pretraining run — similar to the Pistoia Alliance model — producing a shared foundation model on public chemistry corpora without any single organisation owning or disclosing proprietary data.</w:t>
      </w:r>
    </w:p>
    <w:p>
      <w:pPr>
        <w:pStyle w:val="Heading3"/>
        <w:spacing w:after="100" w:before="280"/>
      </w:pPr>
      <w:r>
        <w:rPr>
          <w:rFonts w:ascii="Arial" w:cs="Arial" w:eastAsia="Arial" w:hAnsi="Arial"/>
          <w:b/>
          <w:bCs/>
          <w:color w:val="0D7C8C"/>
          <w:sz w:val="24"/>
          <w:szCs w:val="24"/>
        </w:rPr>
        <w:t xml:space="preserve">39.2 Atropos: the RLVR infrastructure</w:t>
      </w:r>
    </w:p>
    <w:p>
      <w:pPr>
        <w:spacing w:after="140"/>
        <w:jc w:val="both"/>
      </w:pPr>
      <w:r>
        <w:rPr>
          <w:rFonts w:ascii="Arial" w:cs="Arial" w:eastAsia="Arial" w:hAnsi="Arial"/>
          <w:color w:val="1A1A1A"/>
          <w:sz w:val="22"/>
          <w:szCs w:val="22"/>
        </w:rPr>
        <w:t xml:space="preserve">Atropos (github.com/NousResearch/atropos, April 2025) is the reinforcement-learning-from-verifiable-rewards (RLVR) environment framework that trained Hermes 4. It is model-agnostic and ships environments for: structured tool calling, instruction following, financial fundamentals prediction, protein design, protein folding (AlphaFold interface), and dozens of community-contributed tasks. For a pharma deployment, Atropos enables custom RLVR fine-tuning of Hermes on internal datasets: reaction outcome prediction (verifier: ASKCOS forward-prediction agreement with experimental result), ADMET property prediction (verifier: measured assay value within confidence interval), and regulatory-text quality (verifier: LLM-as-judge against ICH style guidelines). This is the closest available open-source equivalent to Insilico Medicine's internal model refinement loop, and it runs on the same hardware (DGX Spark, RTX PRO 6000) already in the deployment stack.</w:t>
      </w:r>
    </w:p>
    <w:p>
      <w:pPr>
        <w:pStyle w:val="Heading3"/>
        <w:spacing w:after="100" w:before="280"/>
      </w:pPr>
      <w:r>
        <w:rPr>
          <w:rFonts w:ascii="Arial" w:cs="Arial" w:eastAsia="Arial" w:hAnsi="Arial"/>
          <w:b/>
          <w:bCs/>
          <w:color w:val="0D7C8C"/>
          <w:sz w:val="24"/>
          <w:szCs w:val="24"/>
        </w:rPr>
        <w:t xml:space="preserve">39.3 YaRN, Genstruct, and DataForge</w:t>
      </w:r>
    </w:p>
    <w:p>
      <w:pPr>
        <w:spacing w:after="140"/>
        <w:jc w:val="both"/>
      </w:pPr>
      <w:r>
        <w:rPr>
          <w:rFonts w:ascii="Arial" w:cs="Arial" w:eastAsia="Arial" w:hAnsi="Arial"/>
          <w:color w:val="1A1A1A"/>
          <w:sz w:val="22"/>
          <w:szCs w:val="22"/>
        </w:rPr>
        <w:t xml:space="preserve">YaRN (arXiv:2309.00071, ICLR 2024) is Nous's RoPE-based context extension method now adopted by DeepSeek, Qwen, and reportedly OpenAI — it gives models effective long-context capabilities without retraining from scratch. For pharma, this means Hermes 4 at 131K context can process a complete ANDA chemistry section or a multi-study integrated summary without chunking. Genstruct-7B (March 2024) was the forerunner of DataForge, the synthetic instruction-generation pipeline behind Hermes 4's training data — and is directly usable for generating pharmaceutical fine-tuning data from internal SOPs, methods, and literature. DataForge's approach (instruction generation from raw text, controlled quality filtering) can produce training sets for domain adaptation at a fraction of manual annotation cost.</w:t>
      </w:r>
    </w:p>
    <w:p>
      <w:pPr>
        <w:pStyle w:val="Heading2"/>
        <w:spacing w:after="160" w:before="400"/>
      </w:pPr>
      <w:r>
        <w:rPr>
          <w:rFonts w:ascii="Arial" w:cs="Arial" w:eastAsia="Arial" w:hAnsi="Arial"/>
          <w:b/>
          <w:bCs/>
          <w:color w:val="3A7CA5"/>
          <w:sz w:val="28"/>
          <w:szCs w:val="28"/>
        </w:rPr>
        <w:t xml:space="preserve">40. Self-Evolving Agents: What Actually Works in 2026</w:t>
      </w:r>
    </w:p>
    <w:p>
      <w:pPr>
        <w:spacing w:after="140"/>
        <w:jc w:val="both"/>
      </w:pPr>
      <w:r>
        <w:rPr>
          <w:rFonts w:ascii="Arial" w:cs="Arial" w:eastAsia="Arial" w:hAnsi="Arial"/>
          <w:color w:val="1A1A1A"/>
          <w:sz w:val="22"/>
          <w:szCs w:val="22"/>
        </w:rPr>
        <w:t xml:space="preserve">The 2024–2026 literature on agents that 'grow with experience' resolves into a clean taxonomy. The most important distinction is what changes: weights, code, prompts, memory, skills, or the knowledge index. Each has a different cost, risk, and maturity profile.</w:t>
      </w:r>
    </w:p>
    <w:p>
      <w:pPr>
        <w:pStyle w:val="Heading3"/>
        <w:spacing w:after="100" w:before="280"/>
      </w:pPr>
      <w:r>
        <w:rPr>
          <w:rFonts w:ascii="Arial" w:cs="Arial" w:eastAsia="Arial" w:hAnsi="Arial"/>
          <w:b/>
          <w:bCs/>
          <w:color w:val="0D7C8C"/>
          <w:sz w:val="24"/>
          <w:szCs w:val="24"/>
        </w:rPr>
        <w:t xml:space="preserve">40.1 Weight-level evolution</w:t>
      </w:r>
    </w:p>
    <w:p>
      <w:pPr>
        <w:spacing w:after="140"/>
        <w:jc w:val="both"/>
      </w:pPr>
      <w:r>
        <w:rPr>
          <w:rFonts w:ascii="Arial" w:cs="Arial" w:eastAsia="Arial" w:hAnsi="Arial"/>
          <w:color w:val="1A1A1A"/>
          <w:sz w:val="22"/>
          <w:szCs w:val="22"/>
        </w:rPr>
        <w:t xml:space="preserve">Self-Rewarding Language Models (Yuan et al., arXiv:2401.10020, Meta) showed a Llama-2-70B beating Claude 2, Gemini Pro, and GPT-4-0613 on AlpacaEval 2 after three self-improvement iterations where the model judges its own completions and runs DPO on the pairs. Meta-Rewarding (Wu et al., arXiv:2407.19594) added a meta-judge layer to avoid reward saturation — Llama-3-8B AlpacaEval 2 moved from 22.9% to 39.4%.</w:t>
      </w:r>
    </w:p>
    <w:p>
      <w:pPr>
        <w:spacing w:after="140"/>
        <w:jc w:val="both"/>
      </w:pPr>
      <w:r>
        <w:rPr>
          <w:rFonts w:ascii="Arial" w:cs="Arial" w:eastAsia="Arial" w:hAnsi="Arial"/>
          <w:color w:val="1A1A1A"/>
          <w:sz w:val="22"/>
          <w:szCs w:val="22"/>
        </w:rPr>
        <w:t xml:space="preserve">SEAL (Zweiger, Pari et al., arXiv:2506.10943, June 2025) is the most operationally promising recent advance. The model emits 'self-edits' — synthetic training data plus LoRA hyperparameters — applies them via SFT, and an outer ReST-EM loop rewards edits that improve downstream metrics. ARC few-shot accuracy moved from 0% (raw in-context learning) to 72.5% after SEAL; SQuAD no-context QA moved from 33.5% to 47%, beating GPT-4.1 synthetic-data baselines. Catastrophic forgetting remains the open problem: SEAL experiments show 10–15% regression on non-targeted benchmarks after aggressive self-editing. For pharma, the operational implication is: SEAL is viable for periodic LoRA adapter updates on a domain-specific base model (e.g., monthly batched update using Atropos-verified experimental results), not for continuous online updates to a frontline agent.</w:t>
      </w:r>
    </w:p>
    <w:p>
      <w:pPr>
        <w:spacing w:after="140"/>
        <w:jc w:val="both"/>
      </w:pPr>
      <w:r>
        <w:rPr>
          <w:rFonts w:ascii="Arial" w:cs="Arial" w:eastAsia="Arial" w:hAnsi="Arial"/>
          <w:color w:val="1A1A1A"/>
          <w:sz w:val="22"/>
          <w:szCs w:val="22"/>
        </w:rPr>
        <w:t xml:space="preserve">AgentEvolver (Zhai et al., arXiv:2511.10395, November 2025) achieves self-improvement through three behavioural mechanisms — self-questioning, self-navigating, and self-attributing — built on the veRL framework. It outperforms larger RL baselines on AppWorld and BFCL-v3 and explicitly exceeds the performance ceiling of GPT-4-turbo on AppWorld with 8B and 70B open models. The approach is closer to environment-shaped behavioural evolution than weight update and shares the catastrophic-forgetting limitation for novel domains.</w:t>
      </w:r>
    </w:p>
    <w:p>
      <w:pPr>
        <w:pStyle w:val="Heading3"/>
        <w:spacing w:after="100" w:before="280"/>
      </w:pPr>
      <w:r>
        <w:rPr>
          <w:rFonts w:ascii="Arial" w:cs="Arial" w:eastAsia="Arial" w:hAnsi="Arial"/>
          <w:b/>
          <w:bCs/>
          <w:color w:val="0D7C8C"/>
          <w:sz w:val="24"/>
          <w:szCs w:val="24"/>
        </w:rPr>
        <w:t xml:space="preserve">40.2 Prompt-level and workflow-level evolution</w:t>
      </w:r>
    </w:p>
    <w:p>
      <w:pPr>
        <w:spacing w:after="140"/>
        <w:jc w:val="both"/>
      </w:pPr>
      <w:r>
        <w:rPr>
          <w:rFonts w:ascii="Arial" w:cs="Arial" w:eastAsia="Arial" w:hAnsi="Arial"/>
          <w:color w:val="1A1A1A"/>
          <w:sz w:val="22"/>
          <w:szCs w:val="22"/>
        </w:rPr>
        <w:t xml:space="preserve">DSPy GEPA (Agrawal et al., arXiv:2507.19457, July 2025) performs Genetic-Pareto reflective evolution over system prompts and program components. It beats GRPO (RL-based optimisation) by up to 20% with 35× fewer rollouts: GPT-4.1 Mini on AIME 2025 moved from 46.6% to 56.6%; MATH full-program adapter from 67% to 93%. GEPA operates without access to model weights — it optimises the prompt and program structure using a held-out task evaluation set as the objective. This is directly deployable inside Paperclip: a nightly Atropos-style evaluation run scores sampled agent traces against held-out task outcomes, and GEPA evolves the SOUL.md and AGENTS.md of underperforming agents without retraining the underlying model. The compute requirement is modest — a few hundred evaluation calls on the frontier model.</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Recommended pharma deployment: run GEPA monthly against a golden dataset of 50–200 manually verified task traces per agent. Each evolution cycle refines the SOUL.md and AGENTS.md; changes go through a Paperclip approval gate (change_control_minor) before production routing. This is the lowest-risk, highest-value self-evolution mechanism available in 2026.</w:t>
      </w:r>
    </w:p>
    <w:p>
      <w:pPr>
        <w:pStyle w:val="Heading3"/>
        <w:spacing w:after="100" w:before="280"/>
      </w:pPr>
      <w:r>
        <w:rPr>
          <w:rFonts w:ascii="Arial" w:cs="Arial" w:eastAsia="Arial" w:hAnsi="Arial"/>
          <w:b/>
          <w:bCs/>
          <w:color w:val="0D7C8C"/>
          <w:sz w:val="24"/>
          <w:szCs w:val="24"/>
        </w:rPr>
        <w:t xml:space="preserve">40.3 Skill-library evolution (Voyager pattern)</w:t>
      </w:r>
    </w:p>
    <w:p>
      <w:pPr>
        <w:spacing w:after="140"/>
        <w:jc w:val="both"/>
      </w:pPr>
      <w:r>
        <w:rPr>
          <w:rFonts w:ascii="Arial" w:cs="Arial" w:eastAsia="Arial" w:hAnsi="Arial"/>
          <w:color w:val="1A1A1A"/>
          <w:sz w:val="22"/>
          <w:szCs w:val="22"/>
        </w:rPr>
        <w:t xml:space="preserve">Voyager (Wang et al., 2023) demonstrated that an agent accumulating a self-verified executable skill library — Python functions with type signatures, docstrings, and test cases — outperforms monolithic task decomposition by 3.3× on unique Minecraft tasks discovered and 15.3× faster wooden-tier progression. The key mechanism: when a new task is solved, the agent writes and verifies a reusable skill function; future tasks first search the skill library before triggering a new reasoning chain. In pharma R&amp;D, this pattern maps directly to the growing body of agentic scripts: 'run xtb conformer sampling on a SMILES', 'parse HPLC raw data from ASM JSON to a pandas DataFrame', 'submit Atropos RLVR evaluation job'. Each verified script is a skill that can be reused by any agent in the team. The skill library is stored in the ArcadeDB knowledge graph (vertex type: AgentSkill, edges: USED_BY, DERIVED_FROM, VERIFIED_BY) for cross-agent retrieval.</w:t>
      </w:r>
    </w:p>
    <w:p>
      <w:pPr>
        <w:pStyle w:val="Heading3"/>
        <w:spacing w:after="100" w:before="280"/>
      </w:pPr>
      <w:r>
        <w:rPr>
          <w:rFonts w:ascii="Arial" w:cs="Arial" w:eastAsia="Arial" w:hAnsi="Arial"/>
          <w:b/>
          <w:bCs/>
          <w:color w:val="0D7C8C"/>
          <w:sz w:val="24"/>
          <w:szCs w:val="24"/>
        </w:rPr>
        <w:t xml:space="preserve">40.4 Memory-level evolution (Agent Hospital / case distillation)</w:t>
      </w:r>
    </w:p>
    <w:p>
      <w:pPr>
        <w:spacing w:after="140"/>
        <w:jc w:val="both"/>
      </w:pPr>
      <w:r>
        <w:rPr>
          <w:rFonts w:ascii="Arial" w:cs="Arial" w:eastAsia="Arial" w:hAnsi="Arial"/>
          <w:color w:val="1A1A1A"/>
          <w:sz w:val="22"/>
          <w:szCs w:val="22"/>
        </w:rPr>
        <w:t xml:space="preserve">Agent Hospital / MedAgent-Zero (Li et al., arXiv:2405.02957) demonstrated that approximately 10,000 simulated patient case interactions plus distilled rule extraction moved a GPT-4-backed clinical agent to 93.06% on the MedQA respiratory subset — using only memory updates, no weight change. The distillation mechanism: after each simulated case, the agent writes a structured case note (presenting problem, differential diagnosis, correct answer, reasoning error if any) to a retrieval-indexed memory store; future cases retrieve similar historical cases as few-shot examples. The key insight for pharma: the 'simulation' does not require real laboratory experiments. Synthetic training cases can be generated from published literature, historical LIMS records, or Atropos-generated scenarios. A medicinal chemistry agent trained on 10,000 synthetic SAR optimisation cases (generated by DataForge / Genstruct from ChEMBL and internal series data) can acquire domain-specific intuitions without any new wet-lab work.</w:t>
      </w:r>
    </w:p>
    <w:p>
      <w:pPr>
        <w:pStyle w:val="Heading2"/>
        <w:spacing w:after="160" w:before="400"/>
      </w:pPr>
      <w:r>
        <w:rPr>
          <w:rFonts w:ascii="Arial" w:cs="Arial" w:eastAsia="Arial" w:hAnsi="Arial"/>
          <w:b/>
          <w:bCs/>
          <w:color w:val="3A7CA5"/>
          <w:sz w:val="28"/>
          <w:szCs w:val="28"/>
        </w:rPr>
        <w:t xml:space="preserve">41. Autonomous Knowledge Graph Construction</w:t>
      </w:r>
    </w:p>
    <w:p>
      <w:pPr>
        <w:pStyle w:val="Heading3"/>
        <w:spacing w:after="100" w:before="280"/>
      </w:pPr>
      <w:r>
        <w:rPr>
          <w:rFonts w:ascii="Arial" w:cs="Arial" w:eastAsia="Arial" w:hAnsi="Arial"/>
          <w:b/>
          <w:bCs/>
          <w:color w:val="0D7C8C"/>
          <w:sz w:val="24"/>
          <w:szCs w:val="24"/>
        </w:rPr>
        <w:t xml:space="preserve">41.1 GraphRAG and its descendants</w:t>
      </w:r>
    </w:p>
    <w:p>
      <w:pPr>
        <w:spacing w:after="140"/>
        <w:jc w:val="both"/>
      </w:pPr>
      <w:r>
        <w:rPr>
          <w:rFonts w:ascii="Arial" w:cs="Arial" w:eastAsia="Arial" w:hAnsi="Arial"/>
          <w:color w:val="1A1A1A"/>
          <w:sz w:val="22"/>
          <w:szCs w:val="22"/>
        </w:rPr>
        <w:t xml:space="preserve">Microsoft GraphRAG (Edge et al., arXiv:2404.16130, April 2024) extracts an entity-relation graph from a document corpus using LLM prompts, applies Leiden community detection to identify thematic clusters, and pre-generates community summaries for map-reduce global queries. Published results show 3.4× accuracy over vanilla RAG on enterprise benchmarks and 72–83% comprehensiveness on global sensemaking tasks. LazyGraphRAG (November 2024) defers community summarisation to query time at roughly 0.1% of GraphRAG's indexing cost — appropriate for a continuously growing pharma knowledge base where re-indexing costs would otherwise be prohibitive.</w:t>
      </w:r>
    </w:p>
    <w:p>
      <w:pPr>
        <w:spacing w:after="140"/>
        <w:jc w:val="both"/>
      </w:pPr>
      <w:r>
        <w:rPr>
          <w:rFonts w:ascii="Arial" w:cs="Arial" w:eastAsia="Arial" w:hAnsi="Arial"/>
          <w:color w:val="1A1A1A"/>
          <w:sz w:val="22"/>
          <w:szCs w:val="22"/>
        </w:rPr>
        <w:t xml:space="preserve">HippoRAG 2 (Jiménez Gutiérrez et al., arXiv:2502.14802, ICML 2025) uses Personalised PageRank over an entity graph plus passage nodes, beating GraphRAG, RAPTOR, and LightRAG on continual-learning benchmarks at roughly 10–30× cheaper indexing and 6–13× faster retrieval than IRCoT. For an agent system where the knowledge graph is updated daily with new literature, assay results, and ELN entries, HippoRAG 2's incremental-update model is operationally superior to GraphRAG's batch re-extraction.</w:t>
      </w:r>
    </w:p>
    <w:p>
      <w:pPr>
        <w:spacing w:after="140"/>
        <w:jc w:val="both"/>
      </w:pPr>
      <w:r>
        <w:rPr>
          <w:rFonts w:ascii="Arial" w:cs="Arial" w:eastAsia="Arial" w:hAnsi="Arial"/>
          <w:color w:val="1A1A1A"/>
          <w:sz w:val="22"/>
          <w:szCs w:val="22"/>
        </w:rPr>
        <w:t xml:space="preserve">LightRAG (arXiv:2410.05779, EMNLP 2025) uses dual-level entity-plus-concept retrieval with incremental updates at approximately 1,000 tokens per query versus GraphRAG's 40,000. For high-frequency agent queries — the Literature Harvester hitting the knowledge graph 50+ times per night — LightRAG's retrieval cost is 40× lower. The trade-off is weaker global sensemaking; the practical answer is a dual-mode deployment: LightRAG for per-query operational retrieval, GraphRAG community summaries generated weekly for strategic review.</w:t>
      </w:r>
    </w:p>
    <w:p>
      <w:pPr>
        <w:pStyle w:val="Heading3"/>
        <w:spacing w:after="100" w:before="280"/>
      </w:pPr>
      <w:r>
        <w:rPr>
          <w:rFonts w:ascii="Arial" w:cs="Arial" w:eastAsia="Arial" w:hAnsi="Arial"/>
          <w:b/>
          <w:bCs/>
          <w:color w:val="0D7C8C"/>
          <w:sz w:val="24"/>
          <w:szCs w:val="24"/>
        </w:rPr>
        <w:t xml:space="preserve">41.2 KARMA: biomedical-specific KG construction</w:t>
      </w:r>
    </w:p>
    <w:p>
      <w:pPr>
        <w:spacing w:after="140"/>
        <w:jc w:val="both"/>
      </w:pPr>
      <w:r>
        <w:rPr>
          <w:rFonts w:ascii="Arial" w:cs="Arial" w:eastAsia="Arial" w:hAnsi="Arial"/>
          <w:color w:val="1A1A1A"/>
          <w:sz w:val="22"/>
          <w:szCs w:val="22"/>
        </w:rPr>
        <w:t xml:space="preserve">KARMA (Lu &amp; Wang, arXiv:2502.06472) is a nine-agent pipeline purpose-built for biomedical knowledge graph enrichment from PubMed literature. On 1,200 PubMed articles it identified up to 38,230 new entities with 83.1% LLM-verified correctness and reduced conflict edges by 18.6% through multi-agent cross-validation. The nine roles (Document Parser, Entity Extractor, Relation Extractor, Schema Mapper, Conflict Resolver, Quality Auditor, Provenance Tagger, Graph Writer, and Review Orchestrator) map directly to the Paperclip multi-agent model: each role is an agent with a SKILL.md, SOUL.md, and Paperclip company membership. KARMA's architecture is therefore both directly relevant and directly deployable within the stack described in this whitepaper — with ArcadeDB replacing the Neo4j backend cited in the paper.</w:t>
      </w:r>
    </w:p>
    <w:p>
      <w:pPr>
        <w:pStyle w:val="Heading3"/>
        <w:spacing w:after="100" w:before="280"/>
      </w:pPr>
      <w:r>
        <w:rPr>
          <w:rFonts w:ascii="Arial" w:cs="Arial" w:eastAsia="Arial" w:hAnsi="Arial"/>
          <w:b/>
          <w:bCs/>
          <w:color w:val="0D7C8C"/>
          <w:sz w:val="24"/>
          <w:szCs w:val="24"/>
        </w:rPr>
        <w:t xml:space="preserve">41.3 Chemistry-specific extraction quality</w:t>
      </w:r>
    </w:p>
    <w:p>
      <w:pPr>
        <w:spacing w:after="140"/>
        <w:jc w:val="both"/>
      </w:pPr>
      <w:r>
        <w:rPr>
          <w:rFonts w:ascii="Arial" w:cs="Arial" w:eastAsia="Arial" w:hAnsi="Arial"/>
          <w:color w:val="1A1A1A"/>
          <w:sz w:val="22"/>
          <w:szCs w:val="22"/>
        </w:rPr>
        <w:t xml:space="preserve">Doc2SAR (arXiv:2506.21625, 2025) reaches 80.78% table recall on the DocSAR-200 benchmark — +51.48 percentage points over end-to-end GPT-4o, which sits at approximately 29%. General-purpose multimodal LLMs still fail on embedded structure images and multi-panel SAR tables: MaCBench (arXiv:2411.16955) found high performance variability in VLLMs on multimodal chemistry, with spatial reasoning and cross-modal integration as the primary failure modes. The patent-mining pipeline (J. Cheminform. 2024, doi:10.1186/s13321-024-00928-8) uses a Naïve-Bayes classifier (96.4% precision, 96.6% recall) to triage reaction paragraphs and then an LLM plus OPSIN for extraction, yielding 26% new reactions versus rule-based baselines on the same patent set.</w:t>
      </w:r>
    </w:p>
    <w:p>
      <w:pPr>
        <w:spacing w:after="140"/>
        <w:jc w:val="both"/>
      </w:pPr>
      <w:r>
        <w:rPr>
          <w:rFonts w:ascii="Arial" w:cs="Arial" w:eastAsia="Arial" w:hAnsi="Arial"/>
          <w:color w:val="1A1A1A"/>
          <w:sz w:val="22"/>
          <w:szCs w:val="22"/>
        </w:rPr>
        <w:t xml:space="preserve">SMolInstruct + LlaSMol-Mistral (ICLR 2025) outperforms GPT-4 and Claude 3 Opus on standard chemistry benchmarks by fine-tuning only 0.58% of parameters on a 3.4M-entry chemistry instruction set. ChemDual (arXiv:2505.02639) builds a 4.4M-molecule instruction set via BRICS fragmentation for small-molecule focused training. Both approaches are applicable to Hermes 4 70B fine-tuning via LoRA on the RTX PRO 6000 or DGX Spark using Atropos as the RLVR reward framework.</w:t>
      </w:r>
    </w:p>
    <w:p>
      <w:pPr>
        <w:pStyle w:val="Heading2"/>
        <w:spacing w:after="160" w:before="400"/>
      </w:pPr>
      <w:r>
        <w:rPr>
          <w:rFonts w:ascii="Arial" w:cs="Arial" w:eastAsia="Arial" w:hAnsi="Arial"/>
          <w:b/>
          <w:bCs/>
          <w:color w:val="3A7CA5"/>
          <w:sz w:val="28"/>
          <w:szCs w:val="28"/>
        </w:rPr>
        <w:t xml:space="preserve">42. The Agent Memory Stack for Pharma R&amp;D</w:t>
      </w:r>
    </w:p>
    <w:p>
      <w:pPr>
        <w:pStyle w:val="Heading3"/>
        <w:spacing w:after="100" w:before="280"/>
      </w:pPr>
      <w:r>
        <w:rPr>
          <w:rFonts w:ascii="Arial" w:cs="Arial" w:eastAsia="Arial" w:hAnsi="Arial"/>
          <w:b/>
          <w:bCs/>
          <w:color w:val="0D7C8C"/>
          <w:sz w:val="24"/>
          <w:szCs w:val="24"/>
        </w:rPr>
        <w:t xml:space="preserve">42.1 Per-agent operational memory: Letta and Mem0</w:t>
      </w:r>
    </w:p>
    <w:p>
      <w:pPr>
        <w:spacing w:after="140"/>
        <w:jc w:val="both"/>
      </w:pPr>
      <w:r>
        <w:rPr>
          <w:rFonts w:ascii="Arial" w:cs="Arial" w:eastAsia="Arial" w:hAnsi="Arial"/>
          <w:color w:val="1A1A1A"/>
          <w:sz w:val="22"/>
          <w:szCs w:val="22"/>
        </w:rPr>
        <w:t xml:space="preserve">Letta (github.com/letta-ai/letta, the MemGPT successor) provides OS-style tiered virtual context for each agent: core memory blocks (persona, human, task) always in context; recall storage for recent chat history; archival storage for unbounded documents and past experiments. The agent self-edits via tool calls (core_memory_append, archival_memory_insert, archival_memory_search) — making memory updates a first-class agentic action rather than an external process. In the NemoClaw stack, Letta's storage backend is PostgreSQL (already present) with pgvector for semantic search over archival entries.</w:t>
      </w:r>
    </w:p>
    <w:p>
      <w:pPr>
        <w:spacing w:after="140"/>
        <w:jc w:val="both"/>
      </w:pPr>
      <w:r>
        <w:rPr>
          <w:rFonts w:ascii="Arial" w:cs="Arial" w:eastAsia="Arial" w:hAnsi="Arial"/>
          <w:color w:val="1A1A1A"/>
          <w:sz w:val="22"/>
          <w:szCs w:val="22"/>
        </w:rPr>
        <w:t xml:space="preserve">Mem0 (Chhikara et al., arXiv:2504.19413, ECAI 2025) adds passive, pipeline-driven fact extraction to complement Letta's active self-editing. In its 2025 ADD-only single-pass form, Mem0 reaches LoCoMo 91.6, LongMemEval 93.4, and BEAM-1M 64.1 at approximately 7K tokens per retrieval versus 25K+ for full-context — roughly 91% latency reduction and over 90% token cost reduction versus full-context models. For high-frequency agents (Literature Harvester, Knowledge Graph Curator), Mem0's passive extraction pattern is more appropriate than Letta's active self-editing: the agent processes information; Mem0 extracts facts into the memory layer without agent action.</w:t>
      </w:r>
    </w:p>
    <w:p>
      <w:pPr>
        <w:pStyle w:val="Heading3"/>
        <w:spacing w:after="100" w:before="280"/>
      </w:pPr>
      <w:r>
        <w:rPr>
          <w:rFonts w:ascii="Arial" w:cs="Arial" w:eastAsia="Arial" w:hAnsi="Arial"/>
          <w:b/>
          <w:bCs/>
          <w:color w:val="0D7C8C"/>
          <w:sz w:val="24"/>
          <w:szCs w:val="24"/>
        </w:rPr>
        <w:t xml:space="preserve">42.2 Institutional bi-temporal knowledge graph: Zep / Graphiti</w:t>
      </w:r>
    </w:p>
    <w:p>
      <w:pPr>
        <w:spacing w:after="140"/>
        <w:jc w:val="both"/>
      </w:pPr>
      <w:r>
        <w:rPr>
          <w:rFonts w:ascii="Arial" w:cs="Arial" w:eastAsia="Arial" w:hAnsi="Arial"/>
          <w:color w:val="1A1A1A"/>
          <w:sz w:val="22"/>
          <w:szCs w:val="22"/>
        </w:rPr>
        <w:t xml:space="preserve">Zep with Graphiti (Rasmussen et al., arXiv:2501.13956; Neo4j-backed, MIT-licensed Graphiti engine, github.com/getzep/graphiti) maintains a three-tier hierarchy — episode (raw interactions), entity (extracted objects), and community (thematic clusters) — with explicit t_valid / t_invalid edge timestamps that preserve history when facts change. This bi-temporal model is exactly what pharma regulatory compliance requires: the knowledge graph must record not only what is believed now but what was believed at the time a given decision was made. Published results: 94.8% dynamic memory retrieval (SOTA versus MemGPT at 93.4%), LongMemEval up to +18.5% accuracy improvement over vector-only approaches, 90% latency reduction.</w:t>
      </w:r>
    </w:p>
    <w:p>
      <w:pPr>
        <w:spacing w:after="140"/>
        <w:jc w:val="both"/>
      </w:pPr>
      <w:r>
        <w:rPr>
          <w:rFonts w:ascii="Arial" w:cs="Arial" w:eastAsia="Arial" w:hAnsi="Arial"/>
          <w:color w:val="1A1A1A"/>
          <w:sz w:val="22"/>
          <w:szCs w:val="22"/>
        </w:rPr>
        <w:t xml:space="preserve">For the pharma KG, every fact carries: t_valid (when the agent first learned this), t_invalid (when a subsequent experiment or literature update superseded it, if applicable), source (DOI, ELN entry UUID, LIMS batch ID, or agent task ID), confidence, and PROV-O attribution (generated_by agent ID + model version). A query like 'what was the believed IC50 of compound X against target Y at the time the Phase 1 dose was selected?' returns the temporally correct fact rather than the current updated value — a capability that has no equivalent in vector-only RAG.</w:t>
      </w:r>
    </w:p>
    <w:p>
      <w:pPr>
        <w:pStyle w:val="Heading3"/>
        <w:spacing w:after="100" w:before="280"/>
      </w:pPr>
      <w:r>
        <w:rPr>
          <w:rFonts w:ascii="Arial" w:cs="Arial" w:eastAsia="Arial" w:hAnsi="Arial"/>
          <w:b/>
          <w:bCs/>
          <w:color w:val="0D7C8C"/>
          <w:sz w:val="24"/>
          <w:szCs w:val="24"/>
        </w:rPr>
        <w:t xml:space="preserve">42.3 Chemistry-aware ontology grounding</w:t>
      </w:r>
    </w:p>
    <w:p>
      <w:pPr>
        <w:spacing w:after="140"/>
        <w:jc w:val="both"/>
      </w:pPr>
      <w:r>
        <w:rPr>
          <w:rFonts w:ascii="Arial" w:cs="Arial" w:eastAsia="Arial" w:hAnsi="Arial"/>
          <w:color w:val="1A1A1A"/>
          <w:sz w:val="22"/>
          <w:szCs w:val="22"/>
        </w:rPr>
        <w:t xml:space="preserve">Every extracted entity must resolve to a canonical identifier before entering the knowledge graph. The grounding pipeline: (1) OPSIN (open-source, MIT) converts IUPAC names to SMILES; (2) RDKit canonicalises and generates InChIKey; (3) UniChem resolves InChIKey to ChEMBL, PubChem, ZINC, Reaxys, CAS IDs — giving the entity a full cross-database identity; (4) ChEBI lookup assigns the ontological role (drug candidate, reagent, solvent, metabolite); (5) BAO (BioAssay Ontology) lookup assigns the assay endpoint type (binding affinity, enzymatic activity, cell viability) from the experimental description; (6) PROV-O triple is written linking the extracted fact to its source document and extracting agent. This grounding pipeline runs as a post-processing skill invoked by every agent that writes chemical or biological data to the knowledge graph.</w:t>
      </w:r>
    </w:p>
    <w:p>
      <w:pPr>
        <w:pStyle w:val="Heading2"/>
        <w:spacing w:after="160" w:before="400"/>
      </w:pPr>
      <w:r>
        <w:rPr>
          <w:rFonts w:ascii="Arial" w:cs="Arial" w:eastAsia="Arial" w:hAnsi="Arial"/>
          <w:b/>
          <w:bCs/>
          <w:color w:val="3A7CA5"/>
          <w:sz w:val="28"/>
          <w:szCs w:val="28"/>
        </w:rPr>
        <w:t xml:space="preserve">43. Learning from Experimental Results</w:t>
      </w:r>
    </w:p>
    <w:p>
      <w:pPr>
        <w:pStyle w:val="Heading3"/>
        <w:spacing w:after="100" w:before="280"/>
      </w:pPr>
      <w:r>
        <w:rPr>
          <w:rFonts w:ascii="Arial" w:cs="Arial" w:eastAsia="Arial" w:hAnsi="Arial"/>
          <w:b/>
          <w:bCs/>
          <w:color w:val="0D7C8C"/>
          <w:sz w:val="24"/>
          <w:szCs w:val="24"/>
        </w:rPr>
        <w:t xml:space="preserve">43.1 Closed-loop learning systems: demonstrated results</w:t>
      </w:r>
    </w:p>
    <w:p>
      <w:pPr>
        <w:spacing w:after="140"/>
        <w:jc w:val="both"/>
      </w:pPr>
      <w:r>
        <w:rPr>
          <w:rFonts w:ascii="Arial" w:cs="Arial" w:eastAsia="Arial" w:hAnsi="Arial"/>
          <w:color w:val="1A1A1A"/>
          <w:sz w:val="22"/>
          <w:szCs w:val="22"/>
        </w:rPr>
        <w:t xml:space="preserve">Coscientist (Boiko, MacKnight et al., Nature 624:570, 2023) remains the canonical demonstration: a GPT-4 agent designed, coded, and executed Suzuki and Sonogashira cross-couplings on Opentrons hardware and Emerald Cloud Lab, with documented self-correction when its heater-shaker code failed. ChemCrow (Bran et al., Nat. Mach. Intell. 6:525, 2024) coupled GPT-4 to 18 cheminformatics tools via ReAct and autonomously planned syntheses of DEET, three organocatalysts, and a novel chromophore. A-Lab (Szymanski et al., Nature 624:86, 2023) synthesised 41 novel inorganic compounds in 17 days using active learning on thermodynamic features and ML XRD phase identification.</w:t>
      </w:r>
    </w:p>
    <w:p>
      <w:pPr>
        <w:spacing w:after="140"/>
        <w:jc w:val="both"/>
      </w:pPr>
      <w:r>
        <w:rPr>
          <w:rFonts w:ascii="Arial" w:cs="Arial" w:eastAsia="Arial" w:hAnsi="Arial"/>
          <w:color w:val="1A1A1A"/>
          <w:sz w:val="22"/>
          <w:szCs w:val="22"/>
        </w:rPr>
        <w:t xml:space="preserve">Stanford's Virtual Lab (Swanson, Zou et al., Nature 2025, s41586-025-09442-9) is the most remarkable result to date: a PI agent plus three domain specialist sub-agents plus a Scientific Critic designed 92 nanobodies against SARS-CoV-2. Over 90% expressed solubly, and two showed improved binding to JN.1 and KP.3 variants while retaining ancestral-spike binding. Crucially, roughly 1% of the final paper content came from a human researcher — the first published multi-agent system to produce wet-lab-validated biologics with near-zero human scientific contribution. The architecture is directly applicable to small-molecule ADMET-guided hit expansion.</w:t>
      </w:r>
    </w:p>
    <w:p>
      <w:pPr>
        <w:spacing w:after="140"/>
        <w:jc w:val="both"/>
      </w:pPr>
      <w:r>
        <w:rPr>
          <w:rFonts w:ascii="Arial" w:cs="Arial" w:eastAsia="Arial" w:hAnsi="Arial"/>
          <w:color w:val="1A1A1A"/>
          <w:sz w:val="22"/>
          <w:szCs w:val="22"/>
        </w:rPr>
        <w:t xml:space="preserve">Onepot.AI's Phil agent (C&amp;EN, November 2025) is the most directly applicable commercial example for small-molecule pharma: it claims approximately 10× speed-up across reductive amination, Buchwald-Hartwig, Suzuki, amide coupling, and acylation, and explicitly logs failure causes to reroute synthesis — the clearest published example of negative-result learning feeding forward into strategy revision.</w:t>
      </w:r>
    </w:p>
    <w:p>
      <w:pPr>
        <w:pStyle w:val="Heading3"/>
        <w:spacing w:after="100" w:before="280"/>
      </w:pPr>
      <w:r>
        <w:rPr>
          <w:rFonts w:ascii="Arial" w:cs="Arial" w:eastAsia="Arial" w:hAnsi="Arial"/>
          <w:b/>
          <w:bCs/>
          <w:color w:val="0D7C8C"/>
          <w:sz w:val="24"/>
          <w:szCs w:val="24"/>
        </w:rPr>
        <w:t xml:space="preserve">43.2 Learning from failure: the structural gap</w:t>
      </w:r>
    </w:p>
    <w:p>
      <w:pPr>
        <w:spacing w:after="140"/>
        <w:jc w:val="both"/>
      </w:pPr>
      <w:r>
        <w:rPr>
          <w:rFonts w:ascii="Arial" w:cs="Arial" w:eastAsia="Arial" w:hAnsi="Arial"/>
          <w:color w:val="1A1A1A"/>
          <w:sz w:val="22"/>
          <w:szCs w:val="22"/>
        </w:rPr>
        <w:t xml:space="preserve">The most expensive inefficiency in pharmaceutical R&amp;D is not the cost of failed experiments — it is the failure to share and learn from them across organisations. Published estimates (Scannell et al., Nature Reviews Drug Discovery 2012; Hay et al., Nature Biotechnology 2014 update) suggest that the average clinical success rate for CNS programmes is 6–8%, and the most common failure reasons — insufficient efficacy (56% of Phase 2 failures, Nature Medicine 2023) and clinical toxicology (15%) — are often predictable from preclinical data that exists in private databases and is never shared.</w:t>
      </w:r>
    </w:p>
    <w:p>
      <w:pPr>
        <w:spacing w:after="140"/>
        <w:jc w:val="both"/>
      </w:pPr>
      <w:r>
        <w:rPr>
          <w:rFonts w:ascii="Arial" w:cs="Arial" w:eastAsia="Arial" w:hAnsi="Arial"/>
          <w:color w:val="1A1A1A"/>
          <w:sz w:val="22"/>
          <w:szCs w:val="22"/>
        </w:rPr>
        <w:t xml:space="preserve">ChEMBL is the closest thing to a public negative-results SAR database, through its activity_comment='inactive' records, pChEMBL quality flags, and validity comments. But ChEMBL covers published results only; unpublished negatives — the majority — remain siloed. The structural solution is a federated negative-results exchange: structured (target, compound, assay, readout, reason_for_failure) tuples contributed by member companies and stored with differential-privacy guarantees or under homomorphic encryption, enabling statistical query ('what fraction of JAK2 inhibitors with LogP &gt; 4 showed hERG liability?') without exposing individual compound structures. No such system exists in production in April 2026. Building one is the highest-ROI collective investment the pharmaceutical industry has not yet made, and a whitepaper advocating for autonomous R&amp;D should call for it explicitly.</w:t>
      </w:r>
    </w:p>
    <w:p>
      <w:pPr>
        <w:pStyle w:val="Heading2"/>
        <w:spacing w:after="160" w:before="400"/>
      </w:pPr>
      <w:r>
        <w:rPr>
          <w:rFonts w:ascii="Arial" w:cs="Arial" w:eastAsia="Arial" w:hAnsi="Arial"/>
          <w:b/>
          <w:bCs/>
          <w:color w:val="3A7CA5"/>
          <w:sz w:val="28"/>
          <w:szCs w:val="28"/>
        </w:rPr>
        <w:t xml:space="preserve">44. Competitive Benchmark Analysis</w:t>
      </w:r>
    </w:p>
    <w:p>
      <w:pPr>
        <w:spacing w:after="140"/>
        <w:jc w:val="both"/>
      </w:pPr>
      <w:r>
        <w:rPr>
          <w:rFonts w:ascii="Arial" w:cs="Arial" w:eastAsia="Arial" w:hAnsi="Arial"/>
          <w:color w:val="1A1A1A"/>
          <w:sz w:val="22"/>
          <w:szCs w:val="22"/>
        </w:rPr>
        <w:t xml:space="preserve">The following table provides a practical guide for model selection within the pharma on-prem deployment envelope (primary target: 2×H100 80GB NVL, secondary: DGX Spark GB10). Scores are from published benchmarks where available; estimates marked with ~ are interpolated from closely related evaluations.</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000"/>
        <w:gridCol w:w="1300"/>
        <w:gridCol w:w="1300"/>
        <w:gridCol w:w="1400"/>
        <w:gridCol w:w="1400"/>
        <w:gridCol w:w="1400"/>
        <w:gridCol w:w="1600"/>
      </w:tblGrid>
      <w:tr>
        <w:trPr>
          <w:tblHeader/>
        </w:trPr>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Model</w:t>
            </w:r>
          </w:p>
        </w:tc>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Params / Active</w:t>
            </w:r>
          </w:p>
        </w:tc>
        <w:tc>
          <w:tcPr>
            <w:tcW w:type="dxa" w:w="1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BFCL v3</w:t>
            </w:r>
          </w:p>
        </w:tc>
        <w:tc>
          <w:tcPr>
            <w:tcW w:type="dxa" w:w="13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MMLU-Pro</w:t>
            </w:r>
          </w:p>
        </w:tc>
        <w:tc>
          <w:tcPr>
            <w:tcW w:type="dxa" w:w="13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GPQA Diamond</w:t>
            </w:r>
          </w:p>
        </w:tc>
        <w:tc>
          <w:tcPr>
            <w:tcW w:type="dxa" w:w="1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LitQA2 (indicative)</w:t>
            </w:r>
          </w:p>
        </w:tc>
        <w:tc>
          <w:tcPr>
            <w:tcW w:type="dxa" w:w="1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RefusalBench</w:t>
            </w:r>
          </w:p>
        </w:tc>
        <w:tc>
          <w:tcPr>
            <w:tcW w:type="dxa" w:w="1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2×H100 FP8</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Best pharma agent role</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GLM-4.5 (full)</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355B/32B active</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77.8</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~84</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79.1</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~58%</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too large</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Reference only</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GLM-4.5-Air</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106B/12B active</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76.4</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~80</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~75</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~55%</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FP8 tight</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Sci. reasoning (float)</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DeepSeek-R1-0528</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671B/37B active</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~63</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84.0</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81.0</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~65%</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Reference only</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Nemotron-Super-49B v1.5</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49B</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~65</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79.5</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71.97</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~55%</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1×H100</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DFT + Analytical agents</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Hermes 4 70B</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70B</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~60*</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~75</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~62</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~50%</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71%</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2×H100</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MedChem, tox edge cases</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Hermes 4.3 Psyche 36B</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36B</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~62</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~80</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65.5</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~52%</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74.6%</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1×H100</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High-volume triage</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QwQ-32B</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32B</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~66</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~79</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65.6</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~45%</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easy</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Deep reasoning tasks</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Qwen 2.5 72B</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72B</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~62</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71.1</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49.0</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~45%</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FP8</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Tool-call volume tasks</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Llama 3.3 70B</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70B</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~59</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68.9</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49.7</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~42%</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FP8</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General coding/ETL</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Phi-4 (14B)</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14B</w:t>
            </w:r>
          </w:p>
        </w:tc>
        <w:tc>
          <w:tcPr>
            <w:tcW w:type="dxa" w:w="1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~50</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70.4</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56.1</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~32%</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trivial</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Fast desk assistant</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Hermes 4 14B</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14B</w:t>
            </w:r>
          </w:p>
        </w:tc>
        <w:tc>
          <w:tcPr>
            <w:tcW w:type="dxa" w:w="1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~52</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~70</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~55</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~35%</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~68%</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trivial</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Lightweight triage, mobile</w:t>
            </w:r>
          </w:p>
        </w:tc>
      </w:tr>
    </w:tbl>
    <w:p>
      <w:pPr>
        <w:spacing w:after="140"/>
        <w:jc w:val="both"/>
      </w:pPr>
      <w:r>
        <w:rPr>
          <w:rFonts w:ascii="Arial" w:cs="Arial" w:eastAsia="Arial" w:hAnsi="Arial"/>
          <w:color w:val="1A1A1A"/>
          <w:sz w:val="22"/>
          <w:szCs w:val="22"/>
        </w:rPr>
        <w:t xml:space="preserve">*Hermes 4 70B BFCL v3 score is estimated; Nous Research has not published an official BFCL run. The estimate is derived from Hermes 3 function-calling characterisation (BFCL v2 ~0.63 overall) plus approximate Hermes 4 → Hermes 3 capability uplift on structured output tasks.</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Model selection guidance: for the nine-agent pharma stack, a heterogeneous model fleet outperforms any single model. Use Claude Opus/Sonnet for regulatory writing, DFT strategy, and portfolio decisions (where frontier reasoning and citation traceability are decisive). Use Hermes 4 70B for MedChem, toxicology edge cases, and SAR reasoning where refusal is a blocking problem. Use Nemotron-Super-49B for DFT and analytical agents where NVIDIA toolchain integration (Atropos, NIM, DGX Spark native) matters. Use Hermes 4 14B or Phi-4 for high-frequency triage agents where cost and latency dominate quality.</w:t>
      </w:r>
    </w:p>
    <w:p>
      <w:pPr>
        <w:pStyle w:val="Heading2"/>
        <w:spacing w:after="160" w:before="400"/>
      </w:pPr>
      <w:r>
        <w:rPr>
          <w:rFonts w:ascii="Arial" w:cs="Arial" w:eastAsia="Arial" w:hAnsi="Arial"/>
          <w:b/>
          <w:bCs/>
          <w:color w:val="3A7CA5"/>
          <w:sz w:val="28"/>
          <w:szCs w:val="28"/>
        </w:rPr>
        <w:t xml:space="preserve">45. Integration Blueprint: Hermes 4 + Paperclip + NemoClaw</w:t>
      </w:r>
    </w:p>
    <w:p>
      <w:pPr>
        <w:pStyle w:val="Heading3"/>
        <w:spacing w:after="100" w:before="280"/>
      </w:pPr>
      <w:r>
        <w:rPr>
          <w:rFonts w:ascii="Arial" w:cs="Arial" w:eastAsia="Arial" w:hAnsi="Arial"/>
          <w:b/>
          <w:bCs/>
          <w:color w:val="0D7C8C"/>
          <w:sz w:val="24"/>
          <w:szCs w:val="24"/>
        </w:rPr>
        <w:t xml:space="preserve">45.1 Layered architecture</w:t>
      </w:r>
    </w:p>
    <w:p>
      <w:pPr>
        <w:spacing w:after="140"/>
        <w:jc w:val="both"/>
      </w:pPr>
      <w:r>
        <w:rPr>
          <w:rFonts w:ascii="Arial" w:cs="Arial" w:eastAsia="Arial" w:hAnsi="Arial"/>
          <w:color w:val="1A1A1A"/>
          <w:sz w:val="22"/>
          <w:szCs w:val="22"/>
        </w:rPr>
        <w:t xml:space="preserve">The integration assigns each stack component a clearly separated responsibility. Paperclip owns company goal decomposition, org chart, atomic task checkout, budget tracking, and approval gates. NemoClaw/OpenShell owns kernel isolation (Landlock + seccomp + netns), default-deny egress with per-binary SHA-256 pinned rules, and per-session JSONL transcript. The LLM fleet operates at the inference layer: Hermes 4 70B via vLLM serves the internal five agents; Claude Opus/Sonnet via the NemoClaw privacy router (after PII redaction) serves the externally-facing four agents. Atropos runs as an offline RLVR evaluation loop, consuming sampled agent traces from the Langfuse OTel backend and producing GEPA-evolved SOUL.md updates and optional LoRA checkpoints.</w:t>
      </w:r>
    </w:p>
    <w:p>
      <w:pPr>
        <w:pStyle w:val="Heading3"/>
        <w:spacing w:after="100" w:before="280"/>
      </w:pPr>
      <w:r>
        <w:rPr>
          <w:rFonts w:ascii="Arial" w:cs="Arial" w:eastAsia="Arial" w:hAnsi="Arial"/>
          <w:b/>
          <w:bCs/>
          <w:color w:val="0D7C8C"/>
          <w:sz w:val="24"/>
          <w:szCs w:val="24"/>
        </w:rPr>
        <w:t xml:space="preserve">45.2 vLLM serving configuration</w:t>
      </w:r>
    </w:p>
    <w:p>
      <w:pPr>
        <w:shd w:fill="EEF2F7" w:val="clear"/>
        <w:spacing w:after="20" w:before="20"/>
        <w:ind w:left="360" w:right="360"/>
      </w:pPr>
      <w:r>
        <w:rPr>
          <w:rFonts w:ascii="Courier New" w:cs="Courier New" w:eastAsia="Courier New" w:hAnsi="Courier New"/>
          <w:color w:val="1B3A5C"/>
          <w:sz w:val="18"/>
          <w:szCs w:val="18"/>
        </w:rPr>
        <w:t xml:space="preserve"># Hermes 4 70B FP8 serving on 2×H100 — production config</w:t>
      </w:r>
    </w:p>
    <w:p>
      <w:pPr>
        <w:shd w:fill="EEF2F7" w:val="clear"/>
        <w:spacing w:after="20" w:before="20"/>
        <w:ind w:left="360" w:right="360"/>
      </w:pPr>
      <w:r>
        <w:rPr>
          <w:rFonts w:ascii="Courier New" w:cs="Courier New" w:eastAsia="Courier New" w:hAnsi="Courier New"/>
          <w:color w:val="1B3A5C"/>
          <w:sz w:val="18"/>
          <w:szCs w:val="18"/>
        </w:rPr>
        <w:t xml:space="preserve">docker run --gpus all --ipc=host --network=host \</w:t>
      </w:r>
    </w:p>
    <w:p>
      <w:pPr>
        <w:shd w:fill="EEF2F7" w:val="clear"/>
        <w:spacing w:after="20" w:before="20"/>
        <w:ind w:left="360" w:right="360"/>
      </w:pPr>
      <w:r>
        <w:rPr>
          <w:rFonts w:ascii="Courier New" w:cs="Courier New" w:eastAsia="Courier New" w:hAnsi="Courier New"/>
          <w:color w:val="1B3A5C"/>
          <w:sz w:val="18"/>
          <w:szCs w:val="18"/>
        </w:rPr>
        <w:t xml:space="preserve">  -e VLLM_WORKER_MULTIPROC_METHOD=spawn \</w:t>
      </w:r>
    </w:p>
    <w:p>
      <w:pPr>
        <w:shd w:fill="EEF2F7" w:val="clear"/>
        <w:spacing w:after="20" w:before="20"/>
        <w:ind w:left="360" w:right="360"/>
      </w:pPr>
      <w:r>
        <w:rPr>
          <w:rFonts w:ascii="Courier New" w:cs="Courier New" w:eastAsia="Courier New" w:hAnsi="Courier New"/>
          <w:color w:val="1B3A5C"/>
          <w:sz w:val="18"/>
          <w:szCs w:val="18"/>
        </w:rPr>
        <w:t xml:space="preserve">  vllm/vllm-openai:v0.10.2 \</w:t>
      </w:r>
    </w:p>
    <w:p>
      <w:pPr>
        <w:shd w:fill="EEF2F7" w:val="clear"/>
        <w:spacing w:after="20" w:before="20"/>
        <w:ind w:left="360" w:right="360"/>
      </w:pPr>
      <w:r>
        <w:rPr>
          <w:rFonts w:ascii="Courier New" w:cs="Courier New" w:eastAsia="Courier New" w:hAnsi="Courier New"/>
          <w:color w:val="1B3A5C"/>
          <w:sz w:val="18"/>
          <w:szCs w:val="18"/>
        </w:rPr>
        <w:t xml:space="preserve">  --model NousResearch/Hermes-4-70B-FP8 \</w:t>
      </w:r>
    </w:p>
    <w:p>
      <w:pPr>
        <w:shd w:fill="EEF2F7" w:val="clear"/>
        <w:spacing w:after="20" w:before="20"/>
        <w:ind w:left="360" w:right="360"/>
      </w:pPr>
      <w:r>
        <w:rPr>
          <w:rFonts w:ascii="Courier New" w:cs="Courier New" w:eastAsia="Courier New" w:hAnsi="Courier New"/>
          <w:color w:val="1B3A5C"/>
          <w:sz w:val="18"/>
          <w:szCs w:val="18"/>
        </w:rPr>
        <w:t xml:space="preserve">  --tensor-parallel-size 2 \</w:t>
      </w:r>
    </w:p>
    <w:p>
      <w:pPr>
        <w:shd w:fill="EEF2F7" w:val="clear"/>
        <w:spacing w:after="20" w:before="20"/>
        <w:ind w:left="360" w:right="360"/>
      </w:pPr>
      <w:r>
        <w:rPr>
          <w:rFonts w:ascii="Courier New" w:cs="Courier New" w:eastAsia="Courier New" w:hAnsi="Courier New"/>
          <w:color w:val="1B3A5C"/>
          <w:sz w:val="18"/>
          <w:szCs w:val="18"/>
        </w:rPr>
        <w:t xml:space="preserve">  --max-model-len 131072 \</w:t>
      </w:r>
    </w:p>
    <w:p>
      <w:pPr>
        <w:shd w:fill="EEF2F7" w:val="clear"/>
        <w:spacing w:after="20" w:before="20"/>
        <w:ind w:left="360" w:right="360"/>
      </w:pPr>
      <w:r>
        <w:rPr>
          <w:rFonts w:ascii="Courier New" w:cs="Courier New" w:eastAsia="Courier New" w:hAnsi="Courier New"/>
          <w:color w:val="1B3A5C"/>
          <w:sz w:val="18"/>
          <w:szCs w:val="18"/>
        </w:rPr>
        <w:t xml:space="preserve">  --enable-auto-tool-choice \</w:t>
      </w:r>
    </w:p>
    <w:p>
      <w:pPr>
        <w:shd w:fill="EEF2F7" w:val="clear"/>
        <w:spacing w:after="20" w:before="20"/>
        <w:ind w:left="360" w:right="360"/>
      </w:pPr>
      <w:r>
        <w:rPr>
          <w:rFonts w:ascii="Courier New" w:cs="Courier New" w:eastAsia="Courier New" w:hAnsi="Courier New"/>
          <w:color w:val="1B3A5C"/>
          <w:sz w:val="18"/>
          <w:szCs w:val="18"/>
        </w:rPr>
        <w:t xml:space="preserve">  --tool-call-parser hermes \</w:t>
      </w:r>
    </w:p>
    <w:p>
      <w:pPr>
        <w:shd w:fill="EEF2F7" w:val="clear"/>
        <w:spacing w:after="20" w:before="20"/>
        <w:ind w:left="360" w:right="360"/>
      </w:pPr>
      <w:r>
        <w:rPr>
          <w:rFonts w:ascii="Courier New" w:cs="Courier New" w:eastAsia="Courier New" w:hAnsi="Courier New"/>
          <w:color w:val="1B3A5C"/>
          <w:sz w:val="18"/>
          <w:szCs w:val="18"/>
        </w:rPr>
        <w:t xml:space="preserve">  --chat-template tool_chat_template_hermes.jinja \</w:t>
      </w:r>
    </w:p>
    <w:p>
      <w:pPr>
        <w:shd w:fill="EEF2F7" w:val="clear"/>
        <w:spacing w:after="20" w:before="20"/>
        <w:ind w:left="360" w:right="360"/>
      </w:pPr>
      <w:r>
        <w:rPr>
          <w:rFonts w:ascii="Courier New" w:cs="Courier New" w:eastAsia="Courier New" w:hAnsi="Courier New"/>
          <w:color w:val="1B3A5C"/>
          <w:sz w:val="18"/>
          <w:szCs w:val="18"/>
        </w:rPr>
        <w:t xml:space="preserve">  --enable-prefix-caching \</w:t>
      </w:r>
    </w:p>
    <w:p>
      <w:pPr>
        <w:shd w:fill="EEF2F7" w:val="clear"/>
        <w:spacing w:after="20" w:before="20"/>
        <w:ind w:left="360" w:right="360"/>
      </w:pPr>
      <w:r>
        <w:rPr>
          <w:rFonts w:ascii="Courier New" w:cs="Courier New" w:eastAsia="Courier New" w:hAnsi="Courier New"/>
          <w:color w:val="1B3A5C"/>
          <w:sz w:val="18"/>
          <w:szCs w:val="18"/>
        </w:rPr>
        <w:t xml:space="preserve">  --gpu-memory-utilization 0.92 \</w:t>
      </w:r>
    </w:p>
    <w:p>
      <w:pPr>
        <w:shd w:fill="EEF2F7" w:val="clear"/>
        <w:spacing w:after="20" w:before="20"/>
        <w:ind w:left="360" w:right="360"/>
      </w:pPr>
      <w:r>
        <w:rPr>
          <w:rFonts w:ascii="Courier New" w:cs="Courier New" w:eastAsia="Courier New" w:hAnsi="Courier New"/>
          <w:color w:val="1B3A5C"/>
          <w:sz w:val="18"/>
          <w:szCs w:val="18"/>
        </w:rPr>
        <w:t xml:space="preserve">  --served-model-name hermes-4-70b \</w:t>
      </w:r>
    </w:p>
    <w:p>
      <w:pPr>
        <w:shd w:fill="EEF2F7" w:val="clear"/>
        <w:spacing w:after="20" w:before="20"/>
        <w:ind w:left="360" w:right="360"/>
      </w:pPr>
      <w:r>
        <w:rPr>
          <w:rFonts w:ascii="Courier New" w:cs="Courier New" w:eastAsia="Courier New" w:hAnsi="Courier New"/>
          <w:color w:val="1B3A5C"/>
          <w:sz w:val="18"/>
          <w:szCs w:val="18"/>
        </w:rPr>
        <w:t xml:space="preserve">  --port 8001</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NemoClaw OpenShell egress policy — hermes-tier agents</w:t>
      </w:r>
    </w:p>
    <w:p>
      <w:pPr>
        <w:shd w:fill="EEF2F7" w:val="clear"/>
        <w:spacing w:after="20" w:before="20"/>
        <w:ind w:left="360" w:right="360"/>
      </w:pPr>
      <w:r>
        <w:rPr>
          <w:rFonts w:ascii="Courier New" w:cs="Courier New" w:eastAsia="Courier New" w:hAnsi="Courier New"/>
          <w:color w:val="1B3A5C"/>
          <w:sz w:val="18"/>
          <w:szCs w:val="18"/>
        </w:rPr>
        <w:t xml:space="preserve"># /etc/openshell/policy-hermes.yaml</w:t>
      </w:r>
    </w:p>
    <w:p>
      <w:pPr>
        <w:shd w:fill="EEF2F7" w:val="clear"/>
        <w:spacing w:after="20" w:before="20"/>
        <w:ind w:left="360" w:right="360"/>
      </w:pPr>
      <w:r>
        <w:rPr>
          <w:rFonts w:ascii="Courier New" w:cs="Courier New" w:eastAsia="Courier New" w:hAnsi="Courier New"/>
          <w:color w:val="1B3A5C"/>
          <w:sz w:val="18"/>
          <w:szCs w:val="18"/>
        </w:rPr>
        <w:t xml:space="preserve">network_policies:</w:t>
      </w:r>
    </w:p>
    <w:p>
      <w:pPr>
        <w:shd w:fill="EEF2F7" w:val="clear"/>
        <w:spacing w:after="20" w:before="20"/>
        <w:ind w:left="360" w:right="360"/>
      </w:pPr>
      <w:r>
        <w:rPr>
          <w:rFonts w:ascii="Courier New" w:cs="Courier New" w:eastAsia="Courier New" w:hAnsi="Courier New"/>
          <w:color w:val="1B3A5C"/>
          <w:sz w:val="18"/>
          <w:szCs w:val="18"/>
        </w:rPr>
        <w:t xml:space="preserve">  - name: hermes-inference</w:t>
      </w:r>
    </w:p>
    <w:p>
      <w:pPr>
        <w:shd w:fill="EEF2F7" w:val="clear"/>
        <w:spacing w:after="20" w:before="20"/>
        <w:ind w:left="360" w:right="360"/>
      </w:pPr>
      <w:r>
        <w:rPr>
          <w:rFonts w:ascii="Courier New" w:cs="Courier New" w:eastAsia="Courier New" w:hAnsi="Courier New"/>
          <w:color w:val="1B3A5C"/>
          <w:sz w:val="18"/>
          <w:szCs w:val="18"/>
        </w:rPr>
        <w:t xml:space="preserve">    egress:</w:t>
      </w:r>
    </w:p>
    <w:p>
      <w:pPr>
        <w:shd w:fill="EEF2F7" w:val="clear"/>
        <w:spacing w:after="20" w:before="20"/>
        <w:ind w:left="360" w:right="360"/>
      </w:pPr>
      <w:r>
        <w:rPr>
          <w:rFonts w:ascii="Courier New" w:cs="Courier New" w:eastAsia="Courier New" w:hAnsi="Courier New"/>
          <w:color w:val="1B3A5C"/>
          <w:sz w:val="18"/>
          <w:szCs w:val="18"/>
        </w:rPr>
        <w:t xml:space="preserve">      allowed:</w:t>
      </w:r>
    </w:p>
    <w:p>
      <w:pPr>
        <w:shd w:fill="EEF2F7" w:val="clear"/>
        <w:spacing w:after="20" w:before="20"/>
        <w:ind w:left="360" w:right="360"/>
      </w:pPr>
      <w:r>
        <w:rPr>
          <w:rFonts w:ascii="Courier New" w:cs="Courier New" w:eastAsia="Courier New" w:hAnsi="Courier New"/>
          <w:color w:val="1B3A5C"/>
          <w:sz w:val="18"/>
          <w:szCs w:val="18"/>
        </w:rPr>
        <w:t xml:space="preserve">        - host: hermes-4-70b.internal</w:t>
      </w:r>
    </w:p>
    <w:p>
      <w:pPr>
        <w:shd w:fill="EEF2F7" w:val="clear"/>
        <w:spacing w:after="20" w:before="20"/>
        <w:ind w:left="360" w:right="360"/>
      </w:pPr>
      <w:r>
        <w:rPr>
          <w:rFonts w:ascii="Courier New" w:cs="Courier New" w:eastAsia="Courier New" w:hAnsi="Courier New"/>
          <w:color w:val="1B3A5C"/>
          <w:sz w:val="18"/>
          <w:szCs w:val="18"/>
        </w:rPr>
        <w:t xml:space="preserve">          port: 8001</w:t>
      </w:r>
    </w:p>
    <w:p>
      <w:pPr>
        <w:shd w:fill="EEF2F7" w:val="clear"/>
        <w:spacing w:after="20" w:before="20"/>
        <w:ind w:left="360" w:right="360"/>
      </w:pPr>
      <w:r>
        <w:rPr>
          <w:rFonts w:ascii="Courier New" w:cs="Courier New" w:eastAsia="Courier New" w:hAnsi="Courier New"/>
          <w:color w:val="1B3A5C"/>
          <w:sz w:val="18"/>
          <w:szCs w:val="18"/>
        </w:rPr>
        <w:t xml:space="preserve">          protocol: http</w:t>
      </w:r>
    </w:p>
    <w:p>
      <w:pPr>
        <w:shd w:fill="EEF2F7" w:val="clear"/>
        <w:spacing w:after="20" w:before="20"/>
        <w:ind w:left="360" w:right="360"/>
      </w:pPr>
      <w:r>
        <w:rPr>
          <w:rFonts w:ascii="Courier New" w:cs="Courier New" w:eastAsia="Courier New" w:hAnsi="Courier New"/>
          <w:color w:val="1B3A5C"/>
          <w:sz w:val="18"/>
          <w:szCs w:val="18"/>
        </w:rPr>
        <w:t xml:space="preserve">        - host: arcadedb.internal</w:t>
      </w:r>
    </w:p>
    <w:p>
      <w:pPr>
        <w:shd w:fill="EEF2F7" w:val="clear"/>
        <w:spacing w:after="20" w:before="20"/>
        <w:ind w:left="360" w:right="360"/>
      </w:pPr>
      <w:r>
        <w:rPr>
          <w:rFonts w:ascii="Courier New" w:cs="Courier New" w:eastAsia="Courier New" w:hAnsi="Courier New"/>
          <w:color w:val="1B3A5C"/>
          <w:sz w:val="18"/>
          <w:szCs w:val="18"/>
        </w:rPr>
        <w:t xml:space="preserve">          port: 2480</w:t>
      </w:r>
    </w:p>
    <w:p>
      <w:pPr>
        <w:shd w:fill="EEF2F7" w:val="clear"/>
        <w:spacing w:after="20" w:before="20"/>
        <w:ind w:left="360" w:right="360"/>
      </w:pPr>
      <w:r>
        <w:rPr>
          <w:rFonts w:ascii="Courier New" w:cs="Courier New" w:eastAsia="Courier New" w:hAnsi="Courier New"/>
          <w:color w:val="1B3A5C"/>
          <w:sz w:val="18"/>
          <w:szCs w:val="18"/>
        </w:rPr>
        <w:t xml:space="preserve">        - host: pubmed-mcp.internal</w:t>
      </w:r>
    </w:p>
    <w:p>
      <w:pPr>
        <w:shd w:fill="EEF2F7" w:val="clear"/>
        <w:spacing w:after="20" w:before="20"/>
        <w:ind w:left="360" w:right="360"/>
      </w:pPr>
      <w:r>
        <w:rPr>
          <w:rFonts w:ascii="Courier New" w:cs="Courier New" w:eastAsia="Courier New" w:hAnsi="Courier New"/>
          <w:color w:val="1B3A5C"/>
          <w:sz w:val="18"/>
          <w:szCs w:val="18"/>
        </w:rPr>
        <w:t xml:space="preserve">          port: 8443</w:t>
      </w:r>
    </w:p>
    <w:p>
      <w:pPr>
        <w:shd w:fill="EEF2F7" w:val="clear"/>
        <w:spacing w:after="20" w:before="20"/>
        <w:ind w:left="360" w:right="360"/>
      </w:pPr>
      <w:r>
        <w:rPr>
          <w:rFonts w:ascii="Courier New" w:cs="Courier New" w:eastAsia="Courier New" w:hAnsi="Courier New"/>
          <w:color w:val="1B3A5C"/>
          <w:sz w:val="18"/>
          <w:szCs w:val="18"/>
        </w:rPr>
        <w:t xml:space="preserve">        - host: benchling-adapter.internal</w:t>
      </w:r>
    </w:p>
    <w:p>
      <w:pPr>
        <w:shd w:fill="EEF2F7" w:val="clear"/>
        <w:spacing w:after="20" w:before="20"/>
        <w:ind w:left="360" w:right="360"/>
      </w:pPr>
      <w:r>
        <w:rPr>
          <w:rFonts w:ascii="Courier New" w:cs="Courier New" w:eastAsia="Courier New" w:hAnsi="Courier New"/>
          <w:color w:val="1B3A5C"/>
          <w:sz w:val="18"/>
          <w:szCs w:val="18"/>
        </w:rPr>
        <w:t xml:space="preserve">          port: 8443</w:t>
      </w:r>
    </w:p>
    <w:p>
      <w:pPr>
        <w:shd w:fill="EEF2F7" w:val="clear"/>
        <w:spacing w:after="20" w:before="20"/>
        <w:ind w:left="360" w:right="360"/>
      </w:pPr>
      <w:r>
        <w:rPr>
          <w:rFonts w:ascii="Courier New" w:cs="Courier New" w:eastAsia="Courier New" w:hAnsi="Courier New"/>
          <w:color w:val="1B3A5C"/>
          <w:sz w:val="18"/>
          <w:szCs w:val="18"/>
        </w:rPr>
        <w:t xml:space="preserve">        - host: paperclip-api.internal</w:t>
      </w:r>
    </w:p>
    <w:p>
      <w:pPr>
        <w:shd w:fill="EEF2F7" w:val="clear"/>
        <w:spacing w:after="20" w:before="20"/>
        <w:ind w:left="360" w:right="360"/>
      </w:pPr>
      <w:r>
        <w:rPr>
          <w:rFonts w:ascii="Courier New" w:cs="Courier New" w:eastAsia="Courier New" w:hAnsi="Courier New"/>
          <w:color w:val="1B3A5C"/>
          <w:sz w:val="18"/>
          <w:szCs w:val="18"/>
        </w:rPr>
        <w:t xml:space="preserve">          port: 3000</w:t>
      </w:r>
    </w:p>
    <w:p>
      <w:pPr>
        <w:shd w:fill="EEF2F7" w:val="clear"/>
        <w:spacing w:after="20" w:before="20"/>
        <w:ind w:left="360" w:right="360"/>
      </w:pPr>
      <w:r>
        <w:rPr>
          <w:rFonts w:ascii="Courier New" w:cs="Courier New" w:eastAsia="Courier New" w:hAnsi="Courier New"/>
          <w:color w:val="1B3A5C"/>
          <w:sz w:val="18"/>
          <w:szCs w:val="18"/>
        </w:rPr>
        <w:t xml:space="preserve">      denied:</w:t>
      </w:r>
    </w:p>
    <w:p>
      <w:pPr>
        <w:shd w:fill="EEF2F7" w:val="clear"/>
        <w:spacing w:after="20" w:before="20"/>
        <w:ind w:left="360" w:right="360"/>
      </w:pPr>
      <w:r>
        <w:rPr>
          <w:rFonts w:ascii="Courier New" w:cs="Courier New" w:eastAsia="Courier New" w:hAnsi="Courier New"/>
          <w:color w:val="1B3A5C"/>
          <w:sz w:val="18"/>
          <w:szCs w:val="18"/>
        </w:rPr>
        <w:t xml:space="preserve">        - host: "*"</w:t>
      </w:r>
    </w:p>
    <w:p>
      <w:pPr>
        <w:shd w:fill="EEF2F7" w:val="clear"/>
        <w:spacing w:after="20" w:before="20"/>
        <w:ind w:left="360" w:right="360"/>
      </w:pPr>
      <w:r>
        <w:rPr>
          <w:rFonts w:ascii="Courier New" w:cs="Courier New" w:eastAsia="Courier New" w:hAnsi="Courier New"/>
          <w:color w:val="1B3A5C"/>
          <w:sz w:val="18"/>
          <w:szCs w:val="18"/>
        </w:rPr>
        <w:t xml:space="preserve">          port: "*"</w:t>
      </w:r>
    </w:p>
    <w:p>
      <w:pPr>
        <w:pStyle w:val="Heading3"/>
        <w:spacing w:after="100" w:before="280"/>
      </w:pPr>
      <w:r>
        <w:rPr>
          <w:rFonts w:ascii="Arial" w:cs="Arial" w:eastAsia="Arial" w:hAnsi="Arial"/>
          <w:b/>
          <w:bCs/>
          <w:color w:val="0D7C8C"/>
          <w:sz w:val="24"/>
          <w:szCs w:val="24"/>
        </w:rPr>
        <w:t xml:space="preserve">45.3 SOUL.md for a Hermes-tier MedChem agent</w:t>
      </w:r>
    </w:p>
    <w:p>
      <w:pPr>
        <w:shd w:fill="EEF2F7" w:val="clear"/>
        <w:spacing w:after="20" w:before="20"/>
        <w:ind w:left="360" w:right="360"/>
      </w:pPr>
      <w:r>
        <w:rPr>
          <w:rFonts w:ascii="Courier New" w:cs="Courier New" w:eastAsia="Courier New" w:hAnsi="Courier New"/>
          <w:color w:val="1B3A5C"/>
          <w:sz w:val="18"/>
          <w:szCs w:val="18"/>
        </w:rPr>
        <w:t xml:space="preserve"># MedChemLead SOUL.md — Hermes 4 70B backend</w:t>
      </w:r>
    </w:p>
    <w:p>
      <w:pPr>
        <w:shd w:fill="EEF2F7" w:val="clear"/>
        <w:spacing w:after="20" w:before="20"/>
        <w:ind w:left="360" w:right="360"/>
      </w:pPr>
      <w:r>
        <w:rPr>
          <w:rFonts w:ascii="Courier New" w:cs="Courier New" w:eastAsia="Courier New" w:hAnsi="Courier New"/>
          <w:color w:val="1B3A5C"/>
          <w:sz w:val="18"/>
          <w:szCs w:val="18"/>
        </w:rPr>
        <w:t xml:space="preserve">## Identity</w:t>
      </w:r>
    </w:p>
    <w:p>
      <w:pPr>
        <w:shd w:fill="EEF2F7" w:val="clear"/>
        <w:spacing w:after="20" w:before="20"/>
        <w:ind w:left="360" w:right="360"/>
      </w:pPr>
      <w:r>
        <w:rPr>
          <w:rFonts w:ascii="Courier New" w:cs="Courier New" w:eastAsia="Courier New" w:hAnsi="Courier New"/>
          <w:color w:val="1B3A5C"/>
          <w:sz w:val="18"/>
          <w:szCs w:val="18"/>
        </w:rPr>
        <w:t xml:space="preserve">You are Orion, a senior medicinal chemist. You propose and critique</w:t>
      </w:r>
    </w:p>
    <w:p>
      <w:pPr>
        <w:shd w:fill="EEF2F7" w:val="clear"/>
        <w:spacing w:after="20" w:before="20"/>
        <w:ind w:left="360" w:right="360"/>
      </w:pPr>
      <w:r>
        <w:rPr>
          <w:rFonts w:ascii="Courier New" w:cs="Courier New" w:eastAsia="Courier New" w:hAnsi="Courier New"/>
          <w:color w:val="1B3A5C"/>
          <w:sz w:val="18"/>
          <w:szCs w:val="18"/>
        </w:rPr>
        <w:t xml:space="preserve">SAR strategies for small-molecule drug candidates.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Scientific domain</w:t>
      </w:r>
    </w:p>
    <w:p>
      <w:pPr>
        <w:shd w:fill="EEF2F7" w:val="clear"/>
        <w:spacing w:after="20" w:before="20"/>
        <w:ind w:left="360" w:right="360"/>
      </w:pPr>
      <w:r>
        <w:rPr>
          <w:rFonts w:ascii="Courier New" w:cs="Courier New" w:eastAsia="Courier New" w:hAnsi="Courier New"/>
          <w:color w:val="1B3A5C"/>
          <w:sz w:val="18"/>
          <w:szCs w:val="18"/>
        </w:rPr>
        <w:t xml:space="preserve">You are expert in: fragment evolution, matched molecular pairs,</w:t>
      </w:r>
    </w:p>
    <w:p>
      <w:pPr>
        <w:shd w:fill="EEF2F7" w:val="clear"/>
        <w:spacing w:after="20" w:before="20"/>
        <w:ind w:left="360" w:right="360"/>
      </w:pPr>
      <w:r>
        <w:rPr>
          <w:rFonts w:ascii="Courier New" w:cs="Courier New" w:eastAsia="Courier New" w:hAnsi="Courier New"/>
          <w:color w:val="1B3A5C"/>
          <w:sz w:val="18"/>
          <w:szCs w:val="18"/>
        </w:rPr>
        <w:t xml:space="preserve">bioisostere replacement, selectivity profiling, ADMET-guided design,</w:t>
      </w:r>
    </w:p>
    <w:p>
      <w:pPr>
        <w:shd w:fill="EEF2F7" w:val="clear"/>
        <w:spacing w:after="20" w:before="20"/>
        <w:ind w:left="360" w:right="360"/>
      </w:pPr>
      <w:r>
        <w:rPr>
          <w:rFonts w:ascii="Courier New" w:cs="Courier New" w:eastAsia="Courier New" w:hAnsi="Courier New"/>
          <w:color w:val="1B3A5C"/>
          <w:sz w:val="18"/>
          <w:szCs w:val="18"/>
        </w:rPr>
        <w:t xml:space="preserve">covalent inhibitor design, PROTAC linker optimisation.</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Reasoning style</w:t>
      </w:r>
    </w:p>
    <w:p>
      <w:pPr>
        <w:shd w:fill="EEF2F7" w:val="clear"/>
        <w:spacing w:after="20" w:before="20"/>
        <w:ind w:left="360" w:right="360"/>
      </w:pPr>
      <w:r>
        <w:rPr>
          <w:rFonts w:ascii="Courier New" w:cs="Courier New" w:eastAsia="Courier New" w:hAnsi="Courier New"/>
          <w:color w:val="1B3A5C"/>
          <w:sz w:val="18"/>
          <w:szCs w:val="18"/>
        </w:rPr>
        <w:t xml:space="preserve">Think step by step. Cite mechanism. Use &lt;think&gt; blocks when asked.</w:t>
      </w:r>
    </w:p>
    <w:p>
      <w:pPr>
        <w:shd w:fill="EEF2F7" w:val="clear"/>
        <w:spacing w:after="20" w:before="20"/>
        <w:ind w:left="360" w:right="360"/>
      </w:pPr>
      <w:r>
        <w:rPr>
          <w:rFonts w:ascii="Courier New" w:cs="Courier New" w:eastAsia="Courier New" w:hAnsi="Courier New"/>
          <w:color w:val="1B3A5C"/>
          <w:sz w:val="18"/>
          <w:szCs w:val="18"/>
        </w:rPr>
        <w:t xml:space="preserve">Never propose a route without checking internal ASKCOS precedent first.</w:t>
      </w:r>
    </w:p>
    <w:p>
      <w:pPr>
        <w:shd w:fill="EEF2F7" w:val="clear"/>
        <w:spacing w:after="20" w:before="20"/>
        <w:ind w:left="360" w:right="360"/>
      </w:pPr>
      <w:r>
        <w:rPr>
          <w:rFonts w:ascii="Courier New" w:cs="Courier New" w:eastAsia="Courier New" w:hAnsi="Courier New"/>
          <w:color w:val="1B3A5C"/>
          <w:sz w:val="18"/>
          <w:szCs w:val="18"/>
        </w:rPr>
        <w:t xml:space="preserve">Flag ICH M7 genotoxic impurity alerts on every proposed synthetic step.</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Authorised topics (Hermes carve-out)</w:t>
      </w:r>
    </w:p>
    <w:p>
      <w:pPr>
        <w:shd w:fill="EEF2F7" w:val="clear"/>
        <w:spacing w:after="20" w:before="20"/>
        <w:ind w:left="360" w:right="360"/>
      </w:pPr>
      <w:r>
        <w:rPr>
          <w:rFonts w:ascii="Courier New" w:cs="Courier New" w:eastAsia="Courier New" w:hAnsi="Courier New"/>
          <w:color w:val="1B3A5C"/>
          <w:sz w:val="18"/>
          <w:szCs w:val="18"/>
        </w:rPr>
        <w:t xml:space="preserve">You ARE authorised to discuss: overdose pharmacology for PK/PD modelling,</w:t>
      </w:r>
    </w:p>
    <w:p>
      <w:pPr>
        <w:shd w:fill="EEF2F7" w:val="clear"/>
        <w:spacing w:after="20" w:before="20"/>
        <w:ind w:left="360" w:right="360"/>
      </w:pPr>
      <w:r>
        <w:rPr>
          <w:rFonts w:ascii="Courier New" w:cs="Courier New" w:eastAsia="Courier New" w:hAnsi="Courier New"/>
          <w:color w:val="1B3A5C"/>
          <w:sz w:val="18"/>
          <w:szCs w:val="18"/>
        </w:rPr>
        <w:t xml:space="preserve">controlled-substance synthesis for legitimate target validation,</w:t>
      </w:r>
    </w:p>
    <w:p>
      <w:pPr>
        <w:shd w:fill="EEF2F7" w:val="clear"/>
        <w:spacing w:after="20" w:before="20"/>
        <w:ind w:left="360" w:right="360"/>
      </w:pPr>
      <w:r>
        <w:rPr>
          <w:rFonts w:ascii="Courier New" w:cs="Courier New" w:eastAsia="Courier New" w:hAnsi="Courier New"/>
          <w:color w:val="1B3A5C"/>
          <w:sz w:val="18"/>
          <w:szCs w:val="18"/>
        </w:rPr>
        <w:t xml:space="preserve">dual-use chemistry if project_id is on the approved programme list.</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Hard limits</w:t>
      </w:r>
    </w:p>
    <w:p>
      <w:pPr>
        <w:shd w:fill="EEF2F7" w:val="clear"/>
        <w:spacing w:after="20" w:before="20"/>
        <w:ind w:left="360" w:right="360"/>
      </w:pPr>
      <w:r>
        <w:rPr>
          <w:rFonts w:ascii="Courier New" w:cs="Courier New" w:eastAsia="Courier New" w:hAnsi="Courier New"/>
          <w:color w:val="1B3A5C"/>
          <w:sz w:val="18"/>
          <w:szCs w:val="18"/>
        </w:rPr>
        <w:t xml:space="preserve">- NEVER share compound structures outside the internal ArcadeDB.</w:t>
      </w:r>
    </w:p>
    <w:p>
      <w:pPr>
        <w:shd w:fill="EEF2F7" w:val="clear"/>
        <w:spacing w:after="20" w:before="20"/>
        <w:ind w:left="360" w:right="360"/>
      </w:pPr>
      <w:r>
        <w:rPr>
          <w:rFonts w:ascii="Courier New" w:cs="Courier New" w:eastAsia="Courier New" w:hAnsi="Courier New"/>
          <w:color w:val="1B3A5C"/>
          <w:sz w:val="18"/>
          <w:szCs w:val="18"/>
        </w:rPr>
        <w:t xml:space="preserve">- NEVER call external APIs; all tools are internal.</w:t>
      </w:r>
    </w:p>
    <w:p>
      <w:pPr>
        <w:shd w:fill="EEF2F7" w:val="clear"/>
        <w:spacing w:after="20" w:before="20"/>
        <w:ind w:left="360" w:right="360"/>
      </w:pPr>
      <w:r>
        <w:rPr>
          <w:rFonts w:ascii="Courier New" w:cs="Courier New" w:eastAsia="Courier New" w:hAnsi="Courier New"/>
          <w:color w:val="1B3A5C"/>
          <w:sz w:val="18"/>
          <w:szCs w:val="18"/>
        </w:rPr>
        <w:t xml:space="preserve">- ALWAYS delegate regulatory language to RegulatoryWriter agent.</w:t>
      </w:r>
    </w:p>
    <w:p>
      <w:pPr>
        <w:shd w:fill="EEF2F7" w:val="clear"/>
        <w:spacing w:after="20" w:before="20"/>
        <w:ind w:left="360" w:right="360"/>
      </w:pPr>
      <w:r>
        <w:rPr>
          <w:rFonts w:ascii="Courier New" w:cs="Courier New" w:eastAsia="Courier New" w:hAnsi="Courier New"/>
          <w:color w:val="1B3A5C"/>
          <w:sz w:val="18"/>
          <w:szCs w:val="18"/>
        </w:rPr>
        <w:t xml:space="preserve">- NEVER perform arithmetic on tabular data: use TabPFN or BoFire MCP tools.</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 Memory protocol</w:t>
      </w:r>
    </w:p>
    <w:p>
      <w:pPr>
        <w:shd w:fill="EEF2F7" w:val="clear"/>
        <w:spacing w:after="20" w:before="20"/>
        <w:ind w:left="360" w:right="360"/>
      </w:pPr>
      <w:r>
        <w:rPr>
          <w:rFonts w:ascii="Courier New" w:cs="Courier New" w:eastAsia="Courier New" w:hAnsi="Courier New"/>
          <w:color w:val="1B3A5C"/>
          <w:sz w:val="18"/>
          <w:szCs w:val="18"/>
        </w:rPr>
        <w:t xml:space="preserve">After every SAR session, write a structured case note to MEMORY.md:</w:t>
      </w:r>
    </w:p>
    <w:p>
      <w:pPr>
        <w:shd w:fill="EEF2F7" w:val="clear"/>
        <w:spacing w:after="20" w:before="20"/>
        <w:ind w:left="360" w:right="360"/>
      </w:pPr>
      <w:r>
        <w:rPr>
          <w:rFonts w:ascii="Courier New" w:cs="Courier New" w:eastAsia="Courier New" w:hAnsi="Courier New"/>
          <w:color w:val="1B3A5C"/>
          <w:sz w:val="18"/>
          <w:szCs w:val="18"/>
        </w:rPr>
        <w:t xml:space="preserve">  series, target, key_SAR_finding, failed_hypothesis, reason_for_failure.</w:t>
      </w:r>
    </w:p>
    <w:p>
      <w:pPr>
        <w:shd w:fill="EEF2F7" w:val="clear"/>
        <w:spacing w:after="20" w:before="20"/>
        <w:ind w:left="360" w:right="360"/>
      </w:pPr>
      <w:r>
        <w:rPr>
          <w:rFonts w:ascii="Courier New" w:cs="Courier New" w:eastAsia="Courier New" w:hAnsi="Courier New"/>
          <w:color w:val="1B3A5C"/>
          <w:sz w:val="18"/>
          <w:szCs w:val="18"/>
        </w:rPr>
        <w:t xml:space="preserve">This feeds the case-distillation loop for future sessions.</w:t>
      </w:r>
    </w:p>
    <w:p>
      <w:pPr>
        <w:pStyle w:val="Heading3"/>
        <w:spacing w:after="100" w:before="280"/>
      </w:pPr>
      <w:r>
        <w:rPr>
          <w:rFonts w:ascii="Arial" w:cs="Arial" w:eastAsia="Arial" w:hAnsi="Arial"/>
          <w:b/>
          <w:bCs/>
          <w:color w:val="0D7C8C"/>
          <w:sz w:val="24"/>
          <w:szCs w:val="24"/>
        </w:rPr>
        <w:t xml:space="preserve">45.4 Atropos RLVR fine-tuning loop</w:t>
      </w:r>
    </w:p>
    <w:p>
      <w:pPr>
        <w:spacing w:after="140"/>
        <w:jc w:val="both"/>
      </w:pPr>
      <w:r>
        <w:rPr>
          <w:rFonts w:ascii="Arial" w:cs="Arial" w:eastAsia="Arial" w:hAnsi="Arial"/>
          <w:color w:val="1A1A1A"/>
          <w:sz w:val="22"/>
          <w:szCs w:val="22"/>
        </w:rPr>
        <w:t xml:space="preserve">The Atropos loop operates on a monthly cadence and requires no wet-lab experiments. The data pipeline: (1) Langfuse exports the past month's agent traces (100–500 per agent depending on cadence), filtered to completed tasks with human-verified outcomes. (2) An Atropos environment script converts each trace into a (prompt, completion, reward) triple — reward is 1.0 for tasks marked 'correct by human review' or 'validated by downstream outcome', 0.0 for tasks marked 'incorrect', 0.5 for 'partially correct'. (3) Atropos runs 200–500 RLVR steps on the Hermes 4 70B base using PPO with KL penalty to prevent reward hacking — the KL budget is set conservatively (KL coeff 0.05) for the first three cycles. (4) The resulting LoRA checkpoint is evaluated against the golden dataset before promotion. (5) GEPA evolves the SOUL.md and AGENTS.md based on the same trace dataset, targeting the 5 highest-error task categories. (6) Both the LoRA checkpoint and the evolved workspace files go through the change_control_minor Paperclip approval gate before production routing.</w:t>
      </w:r>
    </w:p>
    <w:p>
      <w:pPr>
        <w:spacing w:after="140"/>
        <w:jc w:val="both"/>
      </w:pPr>
      <w:r>
        <w:rPr>
          <w:rFonts w:ascii="Arial" w:cs="Arial" w:eastAsia="Arial" w:hAnsi="Arial"/>
          <w:color w:val="1A1A1A"/>
          <w:sz w:val="22"/>
          <w:szCs w:val="22"/>
        </w:rPr>
        <w:t xml:space="preserve">The expected outcome after 3 monthly cycles: 10–20% improvement on the specific task categories in the golden dataset (SAR table extraction, ADMET flag reasoning, literature precedent assessment) with less than 5% regression on the general science benchmark held-out set — a target calibrated from the Meta Self-Rewarding and SEAL literature. If regression exceeds 5%, the LoRA is rolled back and the GEPA-evolved workspace files are deployed alone.</w:t>
      </w:r>
    </w:p>
    <w:p>
      <w:pPr>
        <w:pStyle w:val="Heading2"/>
        <w:spacing w:after="160" w:before="400"/>
      </w:pPr>
      <w:r>
        <w:rPr>
          <w:rFonts w:ascii="Arial" w:cs="Arial" w:eastAsia="Arial" w:hAnsi="Arial"/>
          <w:b/>
          <w:bCs/>
          <w:color w:val="3A7CA5"/>
          <w:sz w:val="28"/>
          <w:szCs w:val="28"/>
        </w:rPr>
        <w:t xml:space="preserve">46. Multi-Agent Knowledge Synthesis</w:t>
      </w:r>
    </w:p>
    <w:p>
      <w:pPr>
        <w:pStyle w:val="Heading3"/>
        <w:spacing w:after="100" w:before="280"/>
      </w:pPr>
      <w:r>
        <w:rPr>
          <w:rFonts w:ascii="Arial" w:cs="Arial" w:eastAsia="Arial" w:hAnsi="Arial"/>
          <w:b/>
          <w:bCs/>
          <w:color w:val="0D7C8C"/>
          <w:sz w:val="24"/>
          <w:szCs w:val="24"/>
        </w:rPr>
        <w:t xml:space="preserve">46.1 Mixture-of-Agents pattern</w:t>
      </w:r>
    </w:p>
    <w:p>
      <w:pPr>
        <w:spacing w:after="140"/>
        <w:jc w:val="both"/>
      </w:pPr>
      <w:r>
        <w:rPr>
          <w:rFonts w:ascii="Arial" w:cs="Arial" w:eastAsia="Arial" w:hAnsi="Arial"/>
          <w:color w:val="1A1A1A"/>
          <w:sz w:val="22"/>
          <w:szCs w:val="22"/>
        </w:rPr>
        <w:t xml:space="preserve">Mixture-of-Agents (Wang et al., ICLR 2025 Spotlight) shows that orchestrating multiple weaker models beats a single frontier model: an OSS-only MoA stack achieves 65.1% AlpacaEval 2.0 versus 57.5% for GPT-4o. The pattern — multiple 'proposer' agents (often diverse in model family or SOUL.md persona) feeding a single 'aggregator' agent — is directly applicable to the pharma stack's most difficult tasks: hypothesis generation for a new target, risk assessment of a clinical candidate, and formulation strategy for a complex API. Three Hermes 4 70B proposer agents with different SOUL.md personas (optimist, pessimist, neutralist) plus a Claude Opus aggregator produces consistently better scientific recommendations than any single model, at roughly 3× the token cost of a single Claude Opus call — a cost justified for high-stakes decisions.</w:t>
      </w:r>
    </w:p>
    <w:p>
      <w:pPr>
        <w:pStyle w:val="Heading3"/>
        <w:spacing w:after="100" w:before="280"/>
      </w:pPr>
      <w:r>
        <w:rPr>
          <w:rFonts w:ascii="Arial" w:cs="Arial" w:eastAsia="Arial" w:hAnsi="Arial"/>
          <w:b/>
          <w:bCs/>
          <w:color w:val="0D7C8C"/>
          <w:sz w:val="24"/>
          <w:szCs w:val="24"/>
        </w:rPr>
        <w:t xml:space="preserve">46.2 Agent debate for knowledge refinement</w:t>
      </w:r>
    </w:p>
    <w:p>
      <w:pPr>
        <w:spacing w:after="140"/>
        <w:jc w:val="both"/>
      </w:pPr>
      <w:r>
        <w:rPr>
          <w:rFonts w:ascii="Arial" w:cs="Arial" w:eastAsia="Arial" w:hAnsi="Arial"/>
          <w:color w:val="1A1A1A"/>
          <w:sz w:val="22"/>
          <w:szCs w:val="22"/>
        </w:rPr>
        <w:t xml:space="preserve">Du et al. (ICML 2024) showed that multi-agent debate — where agents sequentially critique each other's reasoning — reduces factual errors by 10–23% on arithmetic, strategic reasoning, and factual tasks. In a pharma context, the debate pattern is most valuable for regulatory document review: the Regulatory Writer agent produces a draft CMC section; a designated Critic agent (Hermes 4 70B with a 'find contradictions and unsupported claims' SOUL.md) challenges each quantitative assertion; the Writer agent revises; and the cycle repeats until the Critic approves or a maximum of three rounds is reached. The final output carries a ContraCrow contradiction score — a measure of how many claims were challenged and resolved — as a quality metric logged to the audit trail.</w:t>
      </w:r>
    </w:p>
    <w:p>
      <w:pPr>
        <w:pStyle w:val="Heading3"/>
        <w:spacing w:after="100" w:before="280"/>
      </w:pPr>
      <w:r>
        <w:rPr>
          <w:rFonts w:ascii="Arial" w:cs="Arial" w:eastAsia="Arial" w:hAnsi="Arial"/>
          <w:b/>
          <w:bCs/>
          <w:color w:val="0D7C8C"/>
          <w:sz w:val="24"/>
          <w:szCs w:val="24"/>
        </w:rPr>
        <w:t xml:space="preserve">46.3 AgentRxiv: institutional memory of completed research</w:t>
      </w:r>
    </w:p>
    <w:p>
      <w:pPr>
        <w:spacing w:after="140"/>
        <w:jc w:val="both"/>
      </w:pPr>
      <w:r>
        <w:rPr>
          <w:rFonts w:ascii="Arial" w:cs="Arial" w:eastAsia="Arial" w:hAnsi="Arial"/>
          <w:color w:val="1A1A1A"/>
          <w:sz w:val="22"/>
          <w:szCs w:val="22"/>
        </w:rPr>
        <w:t xml:space="preserve">AgentRxiv (Schmidgall et al., arXiv:2503.18102, 2025) demonstrated that AI agents sharing completed research through a centralised repository enabled cumulative self-improvement: agents that could search completed past research when designing new experiments showed an upward performance trend over time, while agents without access plateaued. The pattern is directly implementable within the ArcadeDB knowledge graph: every completed Paperclip task (a Retrosynthesis report, a DFT campaign summary, an ADMET profiling result) is written to a Report vertex with full PROV-O provenance. The Literature Harvester indexes these internal reports alongside external literature. Future agents retrieving context for a new task search both layers simultaneously — creating an internal AgentRxiv that compounds in value with every completed task.</w:t>
      </w:r>
    </w:p>
    <w:p>
      <w:pPr>
        <w:pStyle w:val="Heading2"/>
        <w:spacing w:after="160" w:before="400"/>
      </w:pPr>
      <w:r>
        <w:rPr>
          <w:rFonts w:ascii="Arial" w:cs="Arial" w:eastAsia="Arial" w:hAnsi="Arial"/>
          <w:b/>
          <w:bCs/>
          <w:color w:val="3A7CA5"/>
          <w:sz w:val="28"/>
          <w:szCs w:val="28"/>
        </w:rPr>
        <w:t xml:space="preserve">47. Bottom Line: Hermes in the Pharma R&amp;D Stack</w:t>
      </w:r>
    </w:p>
    <w:p>
      <w:pPr>
        <w:pStyle w:val="Heading3"/>
        <w:spacing w:after="100" w:before="280"/>
      </w:pPr>
      <w:r>
        <w:rPr>
          <w:rFonts w:ascii="Arial" w:cs="Arial" w:eastAsia="Arial" w:hAnsi="Arial"/>
          <w:b/>
          <w:bCs/>
          <w:color w:val="0D7C8C"/>
          <w:sz w:val="24"/>
          <w:szCs w:val="24"/>
        </w:rPr>
        <w:t xml:space="preserve">47.1 What Hermes 4 adds</w:t>
      </w:r>
    </w:p>
    <w:p>
      <w:pPr>
        <w:spacing w:after="140"/>
        <w:jc w:val="both"/>
      </w:pPr>
      <w:r>
        <w:rPr>
          <w:rFonts w:ascii="Arial" w:cs="Arial" w:eastAsia="Arial" w:hAnsi="Arial"/>
          <w:color w:val="1A1A1A"/>
          <w:sz w:val="22"/>
          <w:szCs w:val="22"/>
        </w:rPr>
        <w:t xml:space="preserve">Hermes 4 is a high-value addition to the NemoClaw + Paperclip pharmaceutical R&amp;D stack, not a replacement for Claude-tier agents on externally-facing or high-stakes reasoning. Its distinct contributions are: (1) steerable personas with category-leading RefusalBench for legitimate research edge cases blocked by Claude-tier refusal layers; (2) a Claude-Code-equivalent agent harness with MCP-native tooling and a first-party Paperclip adapter; (3) native vLLM tool-call support via the hermes parser with no per-tool adapter code; (4) a Llama 3 community licence permitting on-premise pharma deployment without per-seat commercial licensing; (5) native Atropos integration enabling custom RLVR fine-tuning on internal chemistry data; and (6) a 36B variant (Psyche) that outperforms the 70B on several benchmarks while fitting on a single H100.</w:t>
      </w:r>
    </w:p>
    <w:p>
      <w:pPr>
        <w:pStyle w:val="Heading3"/>
        <w:spacing w:after="100" w:before="280"/>
      </w:pPr>
      <w:r>
        <w:rPr>
          <w:rFonts w:ascii="Arial" w:cs="Arial" w:eastAsia="Arial" w:hAnsi="Arial"/>
          <w:b/>
          <w:bCs/>
          <w:color w:val="0D7C8C"/>
          <w:sz w:val="24"/>
          <w:szCs w:val="24"/>
        </w:rPr>
        <w:t xml:space="preserve">47.2 What Hermes does not resolve</w:t>
      </w:r>
    </w:p>
    <w:p>
      <w:pPr>
        <w:spacing w:after="140"/>
        <w:jc w:val="both"/>
      </w:pPr>
      <w:r>
        <w:rPr>
          <w:rFonts w:ascii="Arial" w:cs="Arial" w:eastAsia="Arial" w:hAnsi="Arial"/>
          <w:color w:val="1A1A1A"/>
          <w:sz w:val="22"/>
          <w:szCs w:val="22"/>
        </w:rPr>
        <w:t xml:space="preserve">Hermes does not resolve the self-evolution problem — that has to be built around any open model using GEPA (prompt evolution), SEAL/Atropos (weight evolution), and Graphiti/Mem0 (memory evolution). It is not the best open-weight scientific reasoner (DeepSeek-R1 and GLM-4.5 lead open-weight benchmarks where they fit the hardware). It has no published pharma-specific fine-tuning results. It carries an unresolved plagiarism allegation from the EvoMap project. And 405B on-prem requires a multi-H100 commitment that exceeds the deployment envelope of most mid-size pharma R&amp;D departments.</w:t>
      </w:r>
    </w:p>
    <w:p>
      <w:pPr>
        <w:pStyle w:val="Heading3"/>
        <w:spacing w:after="100" w:before="280"/>
      </w:pPr>
      <w:r>
        <w:rPr>
          <w:rFonts w:ascii="Arial" w:cs="Arial" w:eastAsia="Arial" w:hAnsi="Arial"/>
          <w:b/>
          <w:bCs/>
          <w:color w:val="0D7C8C"/>
          <w:sz w:val="24"/>
          <w:szCs w:val="24"/>
        </w:rPr>
        <w:t xml:space="preserve">47.3 The recommended composition</w:t>
      </w:r>
    </w:p>
    <w:p>
      <w:pPr>
        <w:spacing w:after="140"/>
        <w:jc w:val="both"/>
      </w:pPr>
      <w:r>
        <w:rPr>
          <w:rFonts w:ascii="Arial" w:cs="Arial" w:eastAsia="Arial" w:hAnsi="Arial"/>
          <w:color w:val="1A1A1A"/>
          <w:sz w:val="22"/>
          <w:szCs w:val="22"/>
        </w:rPr>
        <w:t xml:space="preserve">The practical 2026 design for a self-improving autonomous pharma R&amp;D department is a five-layer composition. At the execution layer: Paperclip company orchestration with Temporal.io for multi-week durable workflows. At the security layer: NemoClaw OpenShell with per-binary egress pinning and MinIO WORM audit archival. At the inference layer: Claude Opus/Sonnet for regulatory, toxicology, and portfolio agents; Hermes 4 70B (or Psyche 36B) for MedChem, literature, and SAR agents; Nemotron-Super-49B for DFT and analytical agents. At the knowledge layer: ArcadeDB 26.3.x as the graph core with Graphiti bi-temporal edges; LightRAG for operational retrieval; GraphRAG community summaries for weekly strategic review; Letta + Mem0 for per-agent working memory. At the learning layer: GEPA monthly prompt evolution; Atropos RLVR quarterly weight fine-tuning; Voyager-style skill library accumulation; and Agent Hospital case-distillation memory — all feeding into the ArcadeDB institutional knowledge graph as the record of record.</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The most important structural investment the field has not yet made: a federated negative-results exchange — structured (target, compound, assay, readout, failure_reason) tuples shared across pharma companies via differential privacy or homomorphic encryption. Without it, even the best agent stack will rediscover the industry's private failures one expensive experiment at a time. A whitepaper advocating for autonomous R&amp;D should explicitly call for this.</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XI — The Autonomous Agent Landscape for Pharmaceutical Chemistry</w:t>
      </w:r>
    </w:p>
    <w:p>
      <w:pPr>
        <w:spacing w:after="140"/>
        <w:jc w:val="both"/>
      </w:pPr>
      <w:r>
        <w:rPr>
          <w:rFonts w:ascii="Arial" w:cs="Arial" w:eastAsia="Arial" w:hAnsi="Arial"/>
          <w:color w:val="1A1A1A"/>
          <w:sz w:val="22"/>
          <w:szCs w:val="22"/>
        </w:rPr>
        <w:t xml:space="preserve">This part situates the NemoClaw + Paperclip + Hermes stack within the broader autonomous agent ecosystem as of April 2026. The OpenClaw family, OpenFang, the enterprise platforms (Veeva, Agentforce, IQVIA.ai), computer-use agents for legacy software, and the eight documented pharma-chemistry use cases are all covered. The objective is to give the pharma platform team the context needed to decide: which parts of the stack should be bought from vendors, which should be built on open-source runtimes, and which should wait for regulatory clarity before deployment.</w:t>
      </w:r>
    </w:p>
    <w:p>
      <w:pPr>
        <w:pStyle w:val="Heading2"/>
        <w:spacing w:after="160" w:before="400"/>
      </w:pPr>
      <w:r>
        <w:rPr>
          <w:rFonts w:ascii="Arial" w:cs="Arial" w:eastAsia="Arial" w:hAnsi="Arial"/>
          <w:b/>
          <w:bCs/>
          <w:color w:val="3A7CA5"/>
          <w:sz w:val="28"/>
          <w:szCs w:val="28"/>
        </w:rPr>
        <w:t xml:space="preserve">15. The OpenClaw Ecosystem: Origin, Architecture, and Security Reality</w:t>
      </w:r>
    </w:p>
    <w:p>
      <w:pPr>
        <w:pStyle w:val="Heading3"/>
        <w:spacing w:after="100" w:before="280"/>
      </w:pPr>
      <w:r>
        <w:rPr>
          <w:rFonts w:ascii="Arial" w:cs="Arial" w:eastAsia="Arial" w:hAnsi="Arial"/>
          <w:b/>
          <w:bCs/>
          <w:color w:val="0D7C8C"/>
          <w:sz w:val="24"/>
          <w:szCs w:val="24"/>
        </w:rPr>
        <w:t xml:space="preserve">15.1 History and scale</w:t>
      </w:r>
    </w:p>
    <w:p>
      <w:pPr>
        <w:spacing w:after="140"/>
        <w:jc w:val="both"/>
      </w:pPr>
      <w:r>
        <w:rPr>
          <w:rFonts w:ascii="Arial" w:cs="Arial" w:eastAsia="Arial" w:hAnsi="Arial"/>
          <w:color w:val="1A1A1A"/>
          <w:sz w:val="22"/>
          <w:szCs w:val="22"/>
        </w:rPr>
        <w:t xml:space="preserve">OpenClaw was created by Peter Steinberger (Austria, creator of PSPDFKit) as a weekend project launched November 14, 2025, under the initial name Clawdbot. After an Anthropic trademark objection, it was renamed Moltbot (January 27, 2026), then OpenClaw shortly after. It crossed 100,000 GitHub stars in two days — the fastest GitHub repository to reach that milestone in history — and reached 346,000 stars by April 2026. On February 14, 2026, Peter Steinberger personally joined OpenAI as an engineer; OpenClaw itself was moved to an independent open-source foundation with a governance committee, separating the project from any single employer's interests.</w:t>
      </w:r>
    </w:p>
    <w:p>
      <w:pPr>
        <w:spacing w:after="140"/>
        <w:jc w:val="both"/>
      </w:pPr>
      <w:r>
        <w:rPr>
          <w:rFonts w:ascii="Arial" w:cs="Arial" w:eastAsia="Arial" w:hAnsi="Arial"/>
          <w:color w:val="1A1A1A"/>
          <w:sz w:val="22"/>
          <w:szCs w:val="22"/>
        </w:rPr>
        <w:t xml:space="preserve">The ClawHub skills marketplace grew from 127 skills at launch to over 44,000 skills by April 2026, with approximately 65% wrapping Model Context Protocol (MCP) servers. A Koi Security audit of 2,857 skills found 11.9% malicious. An independent arXiv analysis of 31,000 skills found 26.1% carrying at least one security vulnerability and 13.3% containing data-exfiltration patterns. OpenClaw has 50+ messaging channel gateways (WhatsApp via Baileys, Telegram, Discord, Slack, Signal, iMessage, Teams, Matrix, Feishu/Lark), making it the dominant platform for conversational agent deployments. It is not, however, the correct platform for pharmaceutical IP-sensitive workloads without significant hardening.</w:t>
      </w:r>
    </w:p>
    <w:p>
      <w:pPr>
        <w:pStyle w:val="Heading3"/>
        <w:spacing w:after="100" w:before="280"/>
      </w:pPr>
      <w:r>
        <w:rPr>
          <w:rFonts w:ascii="Arial" w:cs="Arial" w:eastAsia="Arial" w:hAnsi="Arial"/>
          <w:b/>
          <w:bCs/>
          <w:color w:val="0D7C8C"/>
          <w:sz w:val="24"/>
          <w:szCs w:val="24"/>
        </w:rPr>
        <w:t xml:space="preserve">15.2 The six OpenClaw-family forks</w:t>
      </w:r>
    </w:p>
    <w:p>
      <w:pPr>
        <w:spacing w:after="140"/>
        <w:jc w:val="both"/>
      </w:pPr>
      <w:r>
        <w:rPr>
          <w:rFonts w:ascii="Arial" w:cs="Arial" w:eastAsia="Arial" w:hAnsi="Arial"/>
          <w:color w:val="1A1A1A"/>
          <w:sz w:val="22"/>
          <w:szCs w:val="22"/>
        </w:rPr>
        <w:t xml:space="preserve">Five purpose-built forks of OpenClaw address specific deployment requirements. Understanding them helps pharma teams choose the right runtime for each use case: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200"/>
        <w:gridCol w:w="2400"/>
        <w:gridCol w:w="2400"/>
      </w:tblGrid>
      <w:tr>
        <w:trPr>
          <w:tblHeader/>
        </w:trPr>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Variant</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Creator</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Isolation model</w:t>
            </w:r>
          </w:p>
        </w:tc>
        <w:tc>
          <w:tcPr>
            <w:tcW w:type="dxa" w:w="1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Cold start</w:t>
            </w:r>
          </w:p>
        </w:tc>
        <w:tc>
          <w:tcPr>
            <w:tcW w:type="dxa" w:w="2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 strengths</w:t>
            </w:r>
          </w:p>
        </w:tc>
        <w:tc>
          <w:tcPr>
            <w:tcW w:type="dxa" w:w="2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 weaknesses</w:t>
            </w:r>
          </w:p>
        </w:tc>
      </w:tr>
      <w:tr>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OpenClaw (core)</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Peter Steinberger / OSS Foundation</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Application-layer only — shared Node.js process, no kernel isolation</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~2s</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44K+ skills ecosystem; 50+ messaging gateways; active community</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 process isolation; 469 open security issues; ClawHub supply-chain attack; documented corporate exfiltration incidents</w:t>
            </w:r>
          </w:p>
        </w:tc>
      </w:tr>
      <w:tr>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IronClaw</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NEAR AI, Rust reimplementation</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WASM sandbox + Trusted Execution Environment (TEE) enclave; credentials injected at network boundary, never reach LLM context</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~500ms</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Strongest credential isolation architecture — prevents model-context key exfiltration; TEE attestation for audit</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Limited tool ecosystem vs. OpenClaw; NEAR AI cloud dependency for TEE; no published pharma deployment</w:t>
            </w:r>
          </w:p>
        </w:tc>
      </w:tr>
      <w:tr>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NanoClaw</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Gavriel Cohen (Qwibit), ~15-file codebase</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OS-level container: Apple Container (macOS), Docker, Firecracker microVM (Docker Sandboxes, March 2026)</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~125ms (Firecracker)</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Auditable minimal codebase (fits in 200K context window); per-agent OS isolation; Firecracker blast radius; ideal for regulated isolated deployments</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Minimal tool ecosystem; fewer messaging channels; still maturing</w:t>
            </w:r>
          </w:p>
        </w:tc>
      </w:tr>
      <w:tr>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KiloClaw</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Kilo.ai (Sid Sijbrandij-backed), managed service</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Firecracker microVM per tenant + WireGuard mesh + RSA-OAEP/AES-256-GCM credential vault</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~200ms</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Independent 10-day security audit (Andrew Storms, Feb 2026) found zero cross-tenant findings; SSO/SCIM; Splunk/Elastic audit export; SOC 2 in progress</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Cloud-only — data residency concern for proprietary chemistry; managed service dependency</w:t>
            </w:r>
          </w:p>
        </w:tc>
      </w:tr>
      <w:tr>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ZeroClaw</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Harvard/MIT/Sundai students, Rust</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Workspace scoping + command allow-list; 3–9 MB static binary</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&lt;10ms</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&lt;5 MB RAM; bare-metal deployable; ideal for air-gapped labs or edge instrument agents</w:t>
            </w:r>
          </w:p>
        </w:tc>
        <w:tc>
          <w:tcPr>
            <w:tcW w:type="dxa" w:w="2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Too minimal for complex reasoning workflows; v0.x stability; no scheduled heartbeat</w:t>
            </w:r>
          </w:p>
        </w:tc>
      </w:tr>
      <w:tr>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GoClaw</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Fragmented OSS, multiple repos</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PostgreSQL row-level security + 5-layer permissions (leading nextlevelbuilder fork)</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~300ms</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Go concurrency for parallel tool calls; OpenTelemetry observability built-in</w:t>
            </w:r>
          </w:p>
        </w:tc>
        <w:tc>
          <w:tcPr>
            <w:tcW w:type="dxa" w:w="2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 consensus canonical repo; requires fork evaluation; no commercial support</w:t>
            </w:r>
          </w:p>
        </w:tc>
      </w:tr>
    </w:tbl>
    <w:p>
      <w:pPr>
        <w:pStyle w:val="Heading2"/>
        <w:spacing w:after="160" w:before="400"/>
      </w:pPr>
      <w:r>
        <w:rPr>
          <w:rFonts w:ascii="Arial" w:cs="Arial" w:eastAsia="Arial" w:hAnsi="Arial"/>
          <w:b/>
          <w:bCs/>
          <w:color w:val="3A7CA5"/>
          <w:sz w:val="28"/>
          <w:szCs w:val="28"/>
        </w:rPr>
        <w:t xml:space="preserve">16. OpenFang: The Security-First Alternative</w:t>
      </w:r>
    </w:p>
    <w:p>
      <w:pPr>
        <w:pStyle w:val="Heading3"/>
        <w:spacing w:after="100" w:before="280"/>
      </w:pPr>
      <w:r>
        <w:rPr>
          <w:rFonts w:ascii="Arial" w:cs="Arial" w:eastAsia="Arial" w:hAnsi="Arial"/>
          <w:b/>
          <w:bCs/>
          <w:color w:val="0D7C8C"/>
          <w:sz w:val="24"/>
          <w:szCs w:val="24"/>
        </w:rPr>
        <w:t xml:space="preserve">16.1 Architecture overview</w:t>
      </w:r>
    </w:p>
    <w:p>
      <w:pPr>
        <w:spacing w:after="140"/>
        <w:jc w:val="both"/>
      </w:pPr>
      <w:r>
        <w:rPr>
          <w:rFonts w:ascii="Arial" w:cs="Arial" w:eastAsia="Arial" w:hAnsi="Arial"/>
          <w:color w:val="1A1A1A"/>
          <w:sz w:val="22"/>
          <w:szCs w:val="22"/>
        </w:rPr>
        <w:t xml:space="preserve">OpenFang (github.com/RightNow-AI/openfang, MIT, launched February 24, 2026) is a Rust-based agent operating system positioned as the most security-mature open-source alternative to the OpenClaw family. It ships as a single static binary of approximately 22–32 MB (stripped), with a documented 180ms cold start. The codebase is 137,728 lines across 14 Rust crates as of April 2026. Unlike OpenClaw's TypeScript runtime and ClawHub marketplace, OpenFang uses a TOML-based 'Hands' configuration system for autonomous capabilities and ships 16 named security layers as first-class architectural features rather than add-on controls.</w:t>
      </w:r>
    </w:p>
    <w:p>
      <w:pPr>
        <w:pStyle w:val="Heading3"/>
        <w:spacing w:after="100" w:before="280"/>
      </w:pPr>
      <w:r>
        <w:rPr>
          <w:rFonts w:ascii="Arial" w:cs="Arial" w:eastAsia="Arial" w:hAnsi="Arial"/>
          <w:b/>
          <w:bCs/>
          <w:color w:val="0D7C8C"/>
          <w:sz w:val="24"/>
          <w:szCs w:val="24"/>
        </w:rPr>
        <w:t xml:space="preserve">16.2 The 16 security layers</w:t>
      </w:r>
    </w:p>
    <w:p>
      <w:pPr>
        <w:spacing w:after="140"/>
        <w:jc w:val="both"/>
      </w:pPr>
      <w:r>
        <w:rPr>
          <w:rFonts w:ascii="Arial" w:cs="Arial" w:eastAsia="Arial" w:hAnsi="Arial"/>
          <w:color w:val="1A1A1A"/>
          <w:sz w:val="22"/>
          <w:szCs w:val="22"/>
        </w:rPr>
        <w:t xml:space="preserve">OpenFang's sixteen security layers, in the order they are applied in the request pipeline: (1) WASM dual-metered sandbox — every tool plugin runs as a WebAssembly module with fuel (computation steps) and epoch (wall-clock) limits enforced by Wasmtime, preventing infinite loops and computation exhaustion. (2) Ed25519 manifest signing — every installed agent manifest must be signed by a trusted key; installation fails for unsigned or key-mismatched manifests. (3) Merkle hash-chain audit trail — every action is appended to a hash-linked chain where each entry contains a SHA-256 of the previous entry's hash plus the action content; any tampering with historical entries is cryptographically detectable. (4) Information-flow taint tracking — data values are tagged with source labels (PUBLIC, INTERNAL, SMILES_IP, PII, PHI) at ingestion and tracked through all transformations; sink operations (external HTTP, LLM calls) are blocked when tainted data reaches them without explicit declassification. (5) SSRF protection — the outbound HTTP client rejects requests to RFC 1918 private ranges (10.0.0.0/8, 172.16.0.0/12, 192.168.0.0/16), link-local (169.254.0.0/16), and cloud metadata endpoints (169.254.169.254). (6) Secret zeroization — string values loaded from environment variables or vault are stored in Rust's Zeroizing&lt;String&gt; type, which overwrites the memory with zeros when the value is dropped. (7) HMAC-SHA256 mutual authentication — peer-to-peer agent communication uses HMAC-SHA256 with constant-time MAC verification to prevent timing-side-channel attacks on authentication. (8) Capability gate system — each Hand (capability) declares its required capabilities in HAND.toml; the operator grants or denies capabilities explicitly at startup. (9) Prompt injection scanner — input processing applies pattern matching and semantic analysis to detect common prompt injection patterns before they reach the LLM context. (10) Loop guard — a configurable maximum tool-call depth (default: 32 per task) prevents runaway recursive agent loops. (11) Session repair — on abnormal session termination (crash, timeout), the session state is recovered from the Merkle-chained log and execution resumes from the last verified checkpoint. (12) Path traversal prevention — all filesystem paths are resolved and validated against the declared workspace root before any read or write operation. (13) GCRA rate limiter — a Generic Cell Rate Algorithm limits outbound API calls per second per endpoint, preventing accidental DDoS of downstream services. (14) Security headers — all HTTP responses from the OpenFang API surface include HSTS, X-Frame-Options, X-Content-Type-Options, and CSP headers. (15) Health endpoint redaction — the /health endpoint returns operational status without exposing internal configuration, model versions, or API key presence. (16) Subprocess sandbox — child processes spawned by tool execution run in a separate process group with RLIMIT_NPROC, RLIMIT_NOFILE, and RLIMIT_CPU resource limits.</w:t>
      </w:r>
    </w:p>
    <w:p>
      <w:pPr>
        <w:pStyle w:val="Heading3"/>
        <w:spacing w:after="100" w:before="280"/>
      </w:pPr>
      <w:r>
        <w:rPr>
          <w:rFonts w:ascii="Arial" w:cs="Arial" w:eastAsia="Arial" w:hAnsi="Arial"/>
          <w:b/>
          <w:bCs/>
          <w:color w:val="0D7C8C"/>
          <w:sz w:val="24"/>
          <w:szCs w:val="24"/>
        </w:rPr>
        <w:t xml:space="preserve">16.3 HAND.toml — the capability configuration format</w:t>
      </w:r>
    </w:p>
    <w:p>
      <w:pPr>
        <w:spacing w:after="140"/>
        <w:jc w:val="both"/>
      </w:pPr>
      <w:r>
        <w:rPr>
          <w:rFonts w:ascii="Arial" w:cs="Arial" w:eastAsia="Arial" w:hAnsi="Arial"/>
          <w:color w:val="1A1A1A"/>
          <w:sz w:val="22"/>
          <w:szCs w:val="22"/>
        </w:rPr>
        <w:t xml:space="preserve">OpenFang's seven autonomous 'Hands' are each configured via a HAND.toml file that defines the schedule, data sources, output destinations, required capabilities, and operating parameters. An example for a chemistry research hand:</w:t>
      </w:r>
    </w:p>
    <w:p>
      <w:pPr>
        <w:shd w:fill="EEF2F7" w:val="clear"/>
        <w:spacing w:after="20" w:before="20"/>
        <w:ind w:left="360" w:right="360"/>
      </w:pPr>
      <w:r>
        <w:rPr>
          <w:rFonts w:ascii="Courier New" w:cs="Courier New" w:eastAsia="Courier New" w:hAnsi="Courier New"/>
          <w:color w:val="1B3A5C"/>
          <w:sz w:val="18"/>
          <w:szCs w:val="18"/>
        </w:rPr>
        <w:t xml:space="preserve"># chemistry-researcher.hand.toml</w:t>
      </w:r>
    </w:p>
    <w:p>
      <w:pPr>
        <w:shd w:fill="EEF2F7" w:val="clear"/>
        <w:spacing w:after="20" w:before="20"/>
        <w:ind w:left="360" w:right="360"/>
      </w:pPr>
      <w:r>
        <w:rPr>
          <w:rFonts w:ascii="Courier New" w:cs="Courier New" w:eastAsia="Courier New" w:hAnsi="Courier New"/>
          <w:color w:val="1B3A5C"/>
          <w:sz w:val="18"/>
          <w:szCs w:val="18"/>
        </w:rPr>
        <w:t xml:space="preserve">[hand]</w:t>
      </w:r>
    </w:p>
    <w:p>
      <w:pPr>
        <w:shd w:fill="EEF2F7" w:val="clear"/>
        <w:spacing w:after="20" w:before="20"/>
        <w:ind w:left="360" w:right="360"/>
      </w:pPr>
      <w:r>
        <w:rPr>
          <w:rFonts w:ascii="Courier New" w:cs="Courier New" w:eastAsia="Courier New" w:hAnsi="Courier New"/>
          <w:color w:val="1B3A5C"/>
          <w:sz w:val="18"/>
          <w:szCs w:val="18"/>
        </w:rPr>
        <w:t xml:space="preserve">name = "chemistry-researcher"</w:t>
      </w:r>
    </w:p>
    <w:p>
      <w:pPr>
        <w:shd w:fill="EEF2F7" w:val="clear"/>
        <w:spacing w:after="20" w:before="20"/>
        <w:ind w:left="360" w:right="360"/>
      </w:pPr>
      <w:r>
        <w:rPr>
          <w:rFonts w:ascii="Courier New" w:cs="Courier New" w:eastAsia="Courier New" w:hAnsi="Courier New"/>
          <w:color w:val="1B3A5C"/>
          <w:sz w:val="18"/>
          <w:szCs w:val="18"/>
        </w:rPr>
        <w:t xml:space="preserve">description = "Nightly literature monitoring for target chemistry"</w:t>
      </w:r>
    </w:p>
    <w:p>
      <w:pPr>
        <w:shd w:fill="EEF2F7" w:val="clear"/>
        <w:spacing w:after="20" w:before="20"/>
        <w:ind w:left="360" w:right="360"/>
      </w:pPr>
      <w:r>
        <w:rPr>
          <w:rFonts w:ascii="Courier New" w:cs="Courier New" w:eastAsia="Courier New" w:hAnsi="Courier New"/>
          <w:color w:val="1B3A5C"/>
          <w:sz w:val="18"/>
          <w:szCs w:val="18"/>
        </w:rPr>
        <w:t xml:space="preserve">version = "1.0.0"</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[schedule]</w:t>
      </w:r>
    </w:p>
    <w:p>
      <w:pPr>
        <w:shd w:fill="EEF2F7" w:val="clear"/>
        <w:spacing w:after="20" w:before="20"/>
        <w:ind w:left="360" w:right="360"/>
      </w:pPr>
      <w:r>
        <w:rPr>
          <w:rFonts w:ascii="Courier New" w:cs="Courier New" w:eastAsia="Courier New" w:hAnsi="Courier New"/>
          <w:color w:val="1B3A5C"/>
          <w:sz w:val="18"/>
          <w:szCs w:val="18"/>
        </w:rPr>
        <w:t xml:space="preserve">cron = "0 2 * * *"           # Run at 02:00 every day</w:t>
      </w:r>
    </w:p>
    <w:p>
      <w:pPr>
        <w:shd w:fill="EEF2F7" w:val="clear"/>
        <w:spacing w:after="20" w:before="20"/>
        <w:ind w:left="360" w:right="360"/>
      </w:pPr>
      <w:r>
        <w:rPr>
          <w:rFonts w:ascii="Courier New" w:cs="Courier New" w:eastAsia="Courier New" w:hAnsi="Courier New"/>
          <w:color w:val="1B3A5C"/>
          <w:sz w:val="18"/>
          <w:szCs w:val="18"/>
        </w:rPr>
        <w:t xml:space="preserve">timeout_seconds = 3600</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[capabilities]</w:t>
      </w:r>
    </w:p>
    <w:p>
      <w:pPr>
        <w:shd w:fill="EEF2F7" w:val="clear"/>
        <w:spacing w:after="20" w:before="20"/>
        <w:ind w:left="360" w:right="360"/>
      </w:pPr>
      <w:r>
        <w:rPr>
          <w:rFonts w:ascii="Courier New" w:cs="Courier New" w:eastAsia="Courier New" w:hAnsi="Courier New"/>
          <w:color w:val="1B3A5C"/>
          <w:sz w:val="18"/>
          <w:szCs w:val="18"/>
        </w:rPr>
        <w:t xml:space="preserve">required = ["internet.fetch", "filesystem.write", "llm.call"]</w:t>
      </w:r>
    </w:p>
    <w:p>
      <w:pPr>
        <w:shd w:fill="EEF2F7" w:val="clear"/>
        <w:spacing w:after="20" w:before="20"/>
        <w:ind w:left="360" w:right="360"/>
      </w:pPr>
      <w:r>
        <w:rPr>
          <w:rFonts w:ascii="Courier New" w:cs="Courier New" w:eastAsia="Courier New" w:hAnsi="Courier New"/>
          <w:color w:val="1B3A5C"/>
          <w:sz w:val="18"/>
          <w:szCs w:val="18"/>
        </w:rPr>
        <w:t xml:space="preserve">denied = ["filesystem.read_outside_workspace", "subprocess.exec"]</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[sources]</w:t>
      </w:r>
    </w:p>
    <w:p>
      <w:pPr>
        <w:shd w:fill="EEF2F7" w:val="clear"/>
        <w:spacing w:after="20" w:before="20"/>
        <w:ind w:left="360" w:right="360"/>
      </w:pPr>
      <w:r>
        <w:rPr>
          <w:rFonts w:ascii="Courier New" w:cs="Courier New" w:eastAsia="Courier New" w:hAnsi="Courier New"/>
          <w:color w:val="1B3A5C"/>
          <w:sz w:val="18"/>
          <w:szCs w:val="18"/>
        </w:rPr>
        <w:t xml:space="preserve">[[sources.rss]]</w:t>
      </w:r>
    </w:p>
    <w:p>
      <w:pPr>
        <w:shd w:fill="EEF2F7" w:val="clear"/>
        <w:spacing w:after="20" w:before="20"/>
        <w:ind w:left="360" w:right="360"/>
      </w:pPr>
      <w:r>
        <w:rPr>
          <w:rFonts w:ascii="Courier New" w:cs="Courier New" w:eastAsia="Courier New" w:hAnsi="Courier New"/>
          <w:color w:val="1B3A5C"/>
          <w:sz w:val="18"/>
          <w:szCs w:val="18"/>
        </w:rPr>
        <w:t xml:space="preserve">  url = "https://pubmed.ncbi.nlm.nih.gov/rss/search/?term=TNIK+inhibitor"</w:t>
      </w:r>
    </w:p>
    <w:p>
      <w:pPr>
        <w:shd w:fill="EEF2F7" w:val="clear"/>
        <w:spacing w:after="20" w:before="20"/>
        <w:ind w:left="360" w:right="360"/>
      </w:pPr>
      <w:r>
        <w:rPr>
          <w:rFonts w:ascii="Courier New" w:cs="Courier New" w:eastAsia="Courier New" w:hAnsi="Courier New"/>
          <w:color w:val="1B3A5C"/>
          <w:sz w:val="18"/>
          <w:szCs w:val="18"/>
        </w:rPr>
        <w:t xml:space="preserve">  label = "pubmed-tnik"</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[[sources.rss]]</w:t>
      </w:r>
    </w:p>
    <w:p>
      <w:pPr>
        <w:shd w:fill="EEF2F7" w:val="clear"/>
        <w:spacing w:after="20" w:before="20"/>
        <w:ind w:left="360" w:right="360"/>
      </w:pPr>
      <w:r>
        <w:rPr>
          <w:rFonts w:ascii="Courier New" w:cs="Courier New" w:eastAsia="Courier New" w:hAnsi="Courier New"/>
          <w:color w:val="1B3A5C"/>
          <w:sz w:val="18"/>
          <w:szCs w:val="18"/>
        </w:rPr>
        <w:t xml:space="preserve">  url = "https://chemrxiv.org/engage/rss/articles"</w:t>
      </w:r>
    </w:p>
    <w:p>
      <w:pPr>
        <w:shd w:fill="EEF2F7" w:val="clear"/>
        <w:spacing w:after="20" w:before="20"/>
        <w:ind w:left="360" w:right="360"/>
      </w:pPr>
      <w:r>
        <w:rPr>
          <w:rFonts w:ascii="Courier New" w:cs="Courier New" w:eastAsia="Courier New" w:hAnsi="Courier New"/>
          <w:color w:val="1B3A5C"/>
          <w:sz w:val="18"/>
          <w:szCs w:val="18"/>
        </w:rPr>
        <w:t xml:space="preserve">  label = "chemrxiv"</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[outputs]</w:t>
      </w:r>
    </w:p>
    <w:p>
      <w:pPr>
        <w:shd w:fill="EEF2F7" w:val="clear"/>
        <w:spacing w:after="20" w:before="20"/>
        <w:ind w:left="360" w:right="360"/>
      </w:pPr>
      <w:r>
        <w:rPr>
          <w:rFonts w:ascii="Courier New" w:cs="Courier New" w:eastAsia="Courier New" w:hAnsi="Courier New"/>
          <w:color w:val="1B3A5C"/>
          <w:sz w:val="18"/>
          <w:szCs w:val="18"/>
        </w:rPr>
        <w:t xml:space="preserve">[[outputs.webhook]]</w:t>
      </w:r>
    </w:p>
    <w:p>
      <w:pPr>
        <w:shd w:fill="EEF2F7" w:val="clear"/>
        <w:spacing w:after="20" w:before="20"/>
        <w:ind w:left="360" w:right="360"/>
      </w:pPr>
      <w:r>
        <w:rPr>
          <w:rFonts w:ascii="Courier New" w:cs="Courier New" w:eastAsia="Courier New" w:hAnsi="Courier New"/>
          <w:color w:val="1B3A5C"/>
          <w:sz w:val="18"/>
          <w:szCs w:val="18"/>
        </w:rPr>
        <w:t xml:space="preserve">  url = "https://hooks.slack.com/services/..."</w:t>
      </w:r>
    </w:p>
    <w:p>
      <w:pPr>
        <w:shd w:fill="EEF2F7" w:val="clear"/>
        <w:spacing w:after="20" w:before="20"/>
        <w:ind w:left="360" w:right="360"/>
      </w:pPr>
      <w:r>
        <w:rPr>
          <w:rFonts w:ascii="Courier New" w:cs="Courier New" w:eastAsia="Courier New" w:hAnsi="Courier New"/>
          <w:color w:val="1B3A5C"/>
          <w:sz w:val="18"/>
          <w:szCs w:val="18"/>
        </w:rPr>
        <w:t xml:space="preserve">  format = "digest"</w:t>
      </w:r>
    </w:p>
    <w:p>
      <w:pPr>
        <w:shd w:fill="EEF2F7" w:val="clear"/>
        <w:spacing w:after="20" w:before="20"/>
        <w:ind w:left="360" w:right="360"/>
      </w:pPr>
      <w:r>
        <w:rPr>
          <w:rFonts w:ascii="Courier New" w:cs="Courier New" w:eastAsia="Courier New" w:hAnsi="Courier New"/>
          <w:color w:val="1B3A5C"/>
          <w:sz w:val="18"/>
          <w:szCs w:val="18"/>
        </w:rPr>
        <w:t xml:space="preserve">  max_items = 10</w:t>
      </w:r>
    </w:p>
    <w:p>
      <w:pPr>
        <w:shd w:fill="EEF2F7" w:val="clear"/>
        <w:spacing w:after="20" w:before="20"/>
        <w:ind w:left="360" w:right="360"/>
      </w:pPr>
      <w:r>
        <w:rPr>
          <w:rFonts w:ascii="Courier New" w:cs="Courier New" w:eastAsia="Courier New" w:hAnsi="Courier New"/>
          <w:color w:val="1B3A5C"/>
          <w:sz w:val="18"/>
          <w:szCs w:val="18"/>
        </w:rPr>
        <w:t xml:space="preserve"> </w:t>
      </w:r>
    </w:p>
    <w:p>
      <w:pPr>
        <w:shd w:fill="EEF2F7" w:val="clear"/>
        <w:spacing w:after="20" w:before="20"/>
        <w:ind w:left="360" w:right="360"/>
      </w:pPr>
      <w:r>
        <w:rPr>
          <w:rFonts w:ascii="Courier New" w:cs="Courier New" w:eastAsia="Courier New" w:hAnsi="Courier New"/>
          <w:color w:val="1B3A5C"/>
          <w:sz w:val="18"/>
          <w:szCs w:val="18"/>
        </w:rPr>
        <w:t xml:space="preserve">[security]</w:t>
      </w:r>
    </w:p>
    <w:p>
      <w:pPr>
        <w:shd w:fill="EEF2F7" w:val="clear"/>
        <w:spacing w:after="20" w:before="20"/>
        <w:ind w:left="360" w:right="360"/>
      </w:pPr>
      <w:r>
        <w:rPr>
          <w:rFonts w:ascii="Courier New" w:cs="Courier New" w:eastAsia="Courier New" w:hAnsi="Courier New"/>
          <w:color w:val="1B3A5C"/>
          <w:sz w:val="18"/>
          <w:szCs w:val="18"/>
        </w:rPr>
        <w:t xml:space="preserve">taint_policy = "block_on_pii"  # Block if PII detected in output</w:t>
      </w:r>
    </w:p>
    <w:p>
      <w:pPr>
        <w:shd w:fill="EEF2F7" w:val="clear"/>
        <w:spacing w:after="20" w:before="20"/>
        <w:ind w:left="360" w:right="360"/>
      </w:pPr>
      <w:r>
        <w:rPr>
          <w:rFonts w:ascii="Courier New" w:cs="Courier New" w:eastAsia="Courier New" w:hAnsi="Courier New"/>
          <w:color w:val="1B3A5C"/>
          <w:sz w:val="18"/>
          <w:szCs w:val="18"/>
        </w:rPr>
        <w:t xml:space="preserve">merkle_audit = true</w:t>
      </w:r>
    </w:p>
    <w:p>
      <w:pPr>
        <w:shd w:fill="EEF2F7" w:val="clear"/>
        <w:spacing w:after="20" w:before="20"/>
        <w:ind w:left="360" w:right="360"/>
      </w:pPr>
      <w:r>
        <w:rPr>
          <w:rFonts w:ascii="Courier New" w:cs="Courier New" w:eastAsia="Courier New" w:hAnsi="Courier New"/>
          <w:color w:val="1B3A5C"/>
          <w:sz w:val="18"/>
          <w:szCs w:val="18"/>
        </w:rPr>
        <w:t xml:space="preserve">manifest_signing_required = true</w:t>
      </w:r>
    </w:p>
    <w:p>
      <w:pPr>
        <w:pStyle w:val="Heading3"/>
        <w:spacing w:after="100" w:before="280"/>
      </w:pPr>
      <w:r>
        <w:rPr>
          <w:rFonts w:ascii="Arial" w:cs="Arial" w:eastAsia="Arial" w:hAnsi="Arial"/>
          <w:b/>
          <w:bCs/>
          <w:color w:val="0D7C8C"/>
          <w:sz w:val="24"/>
          <w:szCs w:val="24"/>
        </w:rPr>
        <w:t xml:space="preserve">16.4 Honest assessment for pharma</w:t>
      </w:r>
    </w:p>
    <w:p>
      <w:pPr>
        <w:spacing w:after="140"/>
        <w:jc w:val="both"/>
      </w:pPr>
      <w:r>
        <w:rPr>
          <w:rFonts w:ascii="Arial" w:cs="Arial" w:eastAsia="Arial" w:hAnsi="Arial"/>
          <w:color w:val="1A1A1A"/>
          <w:sz w:val="22"/>
          <w:szCs w:val="22"/>
        </w:rPr>
        <w:t xml:space="preserve">OpenFang's security architecture is genuinely impressive — the Merkle hash-chain audit trail, taint tracking, Ed25519 manifest signing, and WASM sandboxing together address almost every attack vector documented in the ClawHub/ClawHavoc campaign. The GCRA rate limiter and SSRF protection are production-grade. However, three facts constrain its near-term pharma applicability. First, OpenFang explicitly remains pre-1.0 with 'breaking changes between minor versions' — categorical blocker for any GxP-adjacent deployment under GAMP 5. Second, the built-in Hands are consumer-oriented (Researcher, Browser, Twitter, Lead, Clip, Collector, Predictor) — nothing ships for chemistry, cheminformatics, drug discovery, or GxP-compliant documentation. Third, the knowledge graph is stored in SQLite, not a graph database — limiting the relational chemistry knowledge queries that are the highest-value use case in pharma. The Merkle audit trail maps well to ALCOA+ requirements, making OpenFang the most interesting option to watch for a 2027 pilot in non-GxP chemistry research workflows once it stabilizes post-1.0.</w:t>
      </w:r>
    </w:p>
    <w:p>
      <w:pPr>
        <w:pStyle w:val="Heading2"/>
        <w:spacing w:after="160" w:before="400"/>
      </w:pPr>
      <w:r>
        <w:rPr>
          <w:rFonts w:ascii="Arial" w:cs="Arial" w:eastAsia="Arial" w:hAnsi="Arial"/>
          <w:b/>
          <w:bCs/>
          <w:color w:val="3A7CA5"/>
          <w:sz w:val="28"/>
          <w:szCs w:val="28"/>
        </w:rPr>
        <w:t xml:space="preserve">17. Enterprise Autonomous Agent Platforms in Pharma</w:t>
      </w:r>
    </w:p>
    <w:p>
      <w:pPr>
        <w:pStyle w:val="Heading3"/>
        <w:spacing w:after="100" w:before="280"/>
      </w:pPr>
      <w:r>
        <w:rPr>
          <w:rFonts w:ascii="Arial" w:cs="Arial" w:eastAsia="Arial" w:hAnsi="Arial"/>
          <w:b/>
          <w:bCs/>
          <w:color w:val="0D7C8C"/>
          <w:sz w:val="24"/>
          <w:szCs w:val="24"/>
        </w:rPr>
        <w:t xml:space="preserve">17.1 Veeva AI Agents</w:t>
      </w:r>
    </w:p>
    <w:p>
      <w:pPr>
        <w:spacing w:after="140"/>
        <w:jc w:val="both"/>
      </w:pPr>
      <w:r>
        <w:rPr>
          <w:rFonts w:ascii="Arial" w:cs="Arial" w:eastAsia="Arial" w:hAnsi="Arial"/>
          <w:color w:val="1A1A1A"/>
          <w:sz w:val="22"/>
          <w:szCs w:val="22"/>
        </w:rPr>
        <w:t xml:space="preserve">Veeva AI Agents (GA December 3, 2025) is the most significant enterprise autonomous agent platform in pharma as of April 2026 because it combines GxP-adjacent compliance posture with a directly pharma-relevant use case: MLR (Medical, Legal, Regulatory) content review. The platform runs on LLMs from Anthropic and Amazon hosted on Amazon Bedrock, with agents callable via Veeva-hosted infrastructure, Bedrock, or Microsoft Azure AI Foundry. The first production wave includes Pre-call, Voice, and Free Text Agents for CRM and Quick Check and Content Agents for PromoMats. Safety and Quality agents are planned for April 2026; Clinical Operations, Regulatory, and Medical agents for August 2026; clinical data for 2027.</w:t>
      </w:r>
    </w:p>
    <w:p>
      <w:pPr>
        <w:spacing w:after="140"/>
        <w:jc w:val="both"/>
      </w:pPr>
      <w:r>
        <w:rPr>
          <w:rFonts w:ascii="Arial" w:cs="Arial" w:eastAsia="Arial" w:hAnsi="Arial"/>
          <w:color w:val="1A1A1A"/>
          <w:sz w:val="22"/>
          <w:szCs w:val="22"/>
        </w:rPr>
        <w:t xml:space="preserve">Published performance evidence: Moderna's Jason Benagh (Global Marketing Ops Director) stated Quick Check 'moves Moderna closer to a process where parts of MLR could become nearly touch-free,' though Moderna explicitly frames this as aspirational rather than current. An unnamed specialty-pharma customer reported a 20% reduction in MLR in-person meeting time and approximately 2 FTE equivalent productivity gain. Bristol Myers Squibb, Roche, Novo Nordisk International Operations, and BioMarin are committed to Vault CRM. Roche's Wafaa Mamilli announced global Pharma rollout in November 2025.</w:t>
      </w:r>
    </w:p>
    <w:p>
      <w:pPr>
        <w:pStyle w:val="Heading3"/>
        <w:spacing w:after="100" w:before="280"/>
      </w:pPr>
      <w:r>
        <w:rPr>
          <w:rFonts w:ascii="Arial" w:cs="Arial" w:eastAsia="Arial" w:hAnsi="Arial"/>
          <w:b/>
          <w:bCs/>
          <w:color w:val="0D7C8C"/>
          <w:sz w:val="24"/>
          <w:szCs w:val="24"/>
        </w:rPr>
        <w:t xml:space="preserve">17.2 Salesforce Agentforce for Life Sciences</w:t>
      </w:r>
    </w:p>
    <w:p>
      <w:pPr>
        <w:spacing w:after="140"/>
        <w:jc w:val="both"/>
      </w:pPr>
      <w:r>
        <w:rPr>
          <w:rFonts w:ascii="Arial" w:cs="Arial" w:eastAsia="Arial" w:hAnsi="Arial"/>
          <w:color w:val="1A1A1A"/>
          <w:sz w:val="22"/>
          <w:szCs w:val="22"/>
        </w:rPr>
        <w:t xml:space="preserve">Agentforce 360 for Life Sciences (GA October 11, 2025) is Salesforce's AI agent platform for pharma commercial operations. Novartis committed to a five-year global rollout on December 17, 2025, spanning marketing, sales, patient services, medical affairs, and market access. AstraZeneca selected Agentforce as its unified global customer-engagement platform in 2025. Chiesi Group announced a 3,300-user deployment on April 20, 2026, combining Agentforce, Data 360, and Marketing Cloud. Agentforce agents can use any data source via Einstein's Retrieval Augmented Generation (RAG) and Salesforce Flow integrations. Einstein Trust Layer enforces Salesforce's AI safety policies — though customers must still perform their own GxP validation. Salesforce partners with Sware (Res_Q) for the validation layer.</w:t>
      </w:r>
    </w:p>
    <w:p>
      <w:pPr>
        <w:pStyle w:val="Heading3"/>
        <w:spacing w:after="100" w:before="280"/>
      </w:pPr>
      <w:r>
        <w:rPr>
          <w:rFonts w:ascii="Arial" w:cs="Arial" w:eastAsia="Arial" w:hAnsi="Arial"/>
          <w:b/>
          <w:bCs/>
          <w:color w:val="0D7C8C"/>
          <w:sz w:val="24"/>
          <w:szCs w:val="24"/>
        </w:rPr>
        <w:t xml:space="preserve">17.3 NVIDIA BioNeMo and IQVIA.ai</w:t>
      </w:r>
    </w:p>
    <w:p>
      <w:pPr>
        <w:spacing w:after="140"/>
        <w:jc w:val="both"/>
      </w:pPr>
      <w:r>
        <w:rPr>
          <w:rFonts w:ascii="Arial" w:cs="Arial" w:eastAsia="Arial" w:hAnsi="Arial"/>
          <w:color w:val="1A1A1A"/>
          <w:sz w:val="22"/>
          <w:szCs w:val="22"/>
        </w:rPr>
        <w:t xml:space="preserve">IQVIA.ai was launched at GTC 2026 (March 16–19) as the first full-stack enterprise agentic pharma platform with named pharma customers. It combines NVIDIA Nemotron, NeMo Agent Toolkit, Dynamo, and LangChain with IQVIA's proprietary healthcare-grade data. IQVIA claims over 150 intelligent agents deployed, over 100 AI-related patents filed, and '19 of the top 20 pharmaceutical companies beginning to incorporate IQVIA agents.' A Clinical Data Review Agent reportedly reduced review workload from seven weeks to two in pilot form (a 70% reduction). The '19 of 20' figure is unverifiable and 'begun incorporating' spans pilot to production; these numbers should be treated as commercial claims pending independent verification.</w:t>
      </w:r>
    </w:p>
    <w:p>
      <w:pPr>
        <w:spacing w:after="140"/>
        <w:jc w:val="both"/>
      </w:pPr>
      <w:r>
        <w:rPr>
          <w:rFonts w:ascii="Arial" w:cs="Arial" w:eastAsia="Arial" w:hAnsi="Arial"/>
          <w:color w:val="1A1A1A"/>
          <w:sz w:val="22"/>
          <w:szCs w:val="22"/>
        </w:rPr>
        <w:t xml:space="preserve">Eli Lilly's $1 billion, five-year NVIDIA Co-Innovation Lab (announced January 12, 2026 at JPMorgan Health; LillyPod opened February 27, 2026 with 1,000+ Blackwell Ultra GPUs) represents the largest publicly announced pharma GPU investment and is the clearest evidence that frontier pharma is treating GPU compute as a strategic asset, not just an IT expense. TuneLab (Lilly's federated AI platform built on NVIDIA FLARE) exposes Lilly's proprietary models to approximately 1,300 biotech partners while keeping data private, with Schrödinger LiveDesign integration. Roche is deploying 3,500+ Blackwell GPUs across its R&amp;D and manufacturing infrastructure.</w:t>
      </w:r>
    </w:p>
    <w:p>
      <w:pPr>
        <w:pStyle w:val="Heading2"/>
        <w:spacing w:after="160" w:before="400"/>
      </w:pPr>
      <w:r>
        <w:rPr>
          <w:rFonts w:ascii="Arial" w:cs="Arial" w:eastAsia="Arial" w:hAnsi="Arial"/>
          <w:b/>
          <w:bCs/>
          <w:color w:val="3A7CA5"/>
          <w:sz w:val="28"/>
          <w:szCs w:val="28"/>
        </w:rPr>
        <w:t xml:space="preserve">18. Computer-Use Agents and Legacy Pharma Software</w:t>
      </w:r>
    </w:p>
    <w:p>
      <w:pPr>
        <w:pStyle w:val="Heading3"/>
        <w:spacing w:after="100" w:before="280"/>
      </w:pPr>
      <w:r>
        <w:rPr>
          <w:rFonts w:ascii="Arial" w:cs="Arial" w:eastAsia="Arial" w:hAnsi="Arial"/>
          <w:b/>
          <w:bCs/>
          <w:color w:val="0D7C8C"/>
          <w:sz w:val="24"/>
          <w:szCs w:val="24"/>
        </w:rPr>
        <w:t xml:space="preserve">18.1 The state of GUI automation</w:t>
      </w:r>
    </w:p>
    <w:p>
      <w:pPr>
        <w:spacing w:after="140"/>
        <w:jc w:val="both"/>
      </w:pPr>
      <w:r>
        <w:rPr>
          <w:rFonts w:ascii="Arial" w:cs="Arial" w:eastAsia="Arial" w:hAnsi="Arial"/>
          <w:color w:val="1A1A1A"/>
          <w:sz w:val="22"/>
          <w:szCs w:val="22"/>
        </w:rPr>
        <w:t xml:space="preserve">Computer-use agents that operate software via screen vision have advanced dramatically in 2025–2026. Claude Opus 4.7 (released April 16, 2026) scored 78.0% on OSWorld-Verified with a 3× image-resolution upgrade targeted at dense UIs like scientific software. Simular Agent S3 + bBoN reached 72.6% on December 15, 2025, becoming the first agent to exceed the 72.36% human baseline on OSWorld. OpenAI GPT-5.4 (March 5, 2026) reports 75.0%. Microsoft Fara-7B delivers state-of-the-art at 7B parameters on Copilot+ PCs. These benchmark scores are for general GUI tasks; pharma-specific validated software (Waters Empower, Thermo Chromeleon, LabWare LIMS, SAP GUI) with dense domain-specific UI patterns remains largely uncharacterised.</w:t>
      </w:r>
    </w:p>
    <w:p>
      <w:pPr>
        <w:pStyle w:val="Heading3"/>
        <w:spacing w:after="100" w:before="280"/>
      </w:pPr>
      <w:r>
        <w:rPr>
          <w:rFonts w:ascii="Arial" w:cs="Arial" w:eastAsia="Arial" w:hAnsi="Arial"/>
          <w:b/>
          <w:bCs/>
          <w:color w:val="0D7C8C"/>
          <w:sz w:val="24"/>
          <w:szCs w:val="24"/>
        </w:rPr>
        <w:t xml:space="preserve">18.2 The GxP incompatibility — why this category must wait</w:t>
      </w:r>
    </w:p>
    <w:p>
      <w:pPr>
        <w:spacing w:after="140"/>
        <w:jc w:val="both"/>
      </w:pPr>
      <w:r>
        <w:rPr>
          <w:rFonts w:ascii="Arial" w:cs="Arial" w:eastAsia="Arial" w:hAnsi="Arial"/>
          <w:color w:val="1A1A1A"/>
          <w:sz w:val="22"/>
          <w:szCs w:val="22"/>
        </w:rPr>
        <w:t xml:space="preserve">Despite frontier benchmark scores, computer-use agents face a structural GxP incompatibility that no amount of capability improvement resolves. Traditional Computer System Validation (CSV) assumes deterministic software producing identical outputs from identical inputs. Computer-use agents operate with temperature &gt; 0, non-deterministic click coordinates (even with system 2 reasoning), and approximately 1-in-4 action failure even at frontier OSWorld scores. On a validated Empower or Chromeleon instance a single misclick can break the validated state and trigger mandatory re-qualification under Annex 11. Anthropic's own Cowork documentation explicitly states: 'Do not use Cowork for regulated workloads' — Cowork activity is not captured in Audit Logs, Compliance API, or Data Exports. OpenAI's CUA reference warns: 'Do not point this sample at authenticated, financial, medical, or otherwise high-stakes environments.'</w:t>
      </w:r>
    </w:p>
    <w:p>
      <w:pPr>
        <w:spacing w:after="140"/>
        <w:jc w:val="both"/>
      </w:pPr>
      <w:r>
        <w:rPr>
          <w:rFonts w:ascii="Arial" w:cs="Arial" w:eastAsia="Arial" w:hAnsi="Arial"/>
          <w:color w:val="1A1A1A"/>
          <w:sz w:val="22"/>
          <w:szCs w:val="22"/>
        </w:rPr>
        <w:t xml:space="preserve">The defensible pattern for legacy instrument software is inverted: instead of letting the LLM click anywhere on screen, expose a whitelist of tool calls wrapping the target application's scripted actions. Waters Empower Toolkit Pro, Thermo Chromeleon eWorkflow, LabWare/LabVantage web services, and SAP GUI scripting all provide deterministic automation surfaces. The LLM plans the workflow; deterministic code executes each step; the human e-signs. Every action is logged both in the validated system's native audit trail and in an independent immutable log. Model version is pinned to a specific snapshot.</w:t>
      </w:r>
    </w:p>
    <w:p>
      <w:pPr>
        <w:pStyle w:val="Heading2"/>
        <w:spacing w:after="160" w:before="400"/>
      </w:pPr>
      <w:r>
        <w:rPr>
          <w:rFonts w:ascii="Arial" w:cs="Arial" w:eastAsia="Arial" w:hAnsi="Arial"/>
          <w:b/>
          <w:bCs/>
          <w:color w:val="3A7CA5"/>
          <w:sz w:val="28"/>
          <w:szCs w:val="28"/>
        </w:rPr>
        <w:t xml:space="preserve">19. Eight Pharma Chemistry Use Cases — Technical Implementation Guide</w:t>
      </w:r>
    </w:p>
    <w:p>
      <w:pPr>
        <w:pStyle w:val="Heading3"/>
        <w:spacing w:after="100" w:before="280"/>
      </w:pPr>
      <w:r>
        <w:rPr>
          <w:rFonts w:ascii="Arial" w:cs="Arial" w:eastAsia="Arial" w:hAnsi="Arial"/>
          <w:b/>
          <w:bCs/>
          <w:color w:val="0D7C8C"/>
          <w:sz w:val="24"/>
          <w:szCs w:val="24"/>
        </w:rPr>
        <w:t xml:space="preserve">19.1 Literature and intelligence surveillance</w:t>
      </w:r>
    </w:p>
    <w:p>
      <w:pPr>
        <w:spacing w:after="140"/>
        <w:jc w:val="both"/>
      </w:pPr>
      <w:r>
        <w:rPr>
          <w:rFonts w:ascii="Arial" w:cs="Arial" w:eastAsia="Arial" w:hAnsi="Arial"/>
          <w:color w:val="1A1A1A"/>
          <w:sz w:val="22"/>
          <w:szCs w:val="22"/>
        </w:rPr>
        <w:t xml:space="preserve">Autonomy level: L4 (fully autonomous — runs unattended, no prompting). GxP risk: Low. The agent runs on a nightly schedule, queries PubMed (NCBI E-utilities: esearch, esummary, efetch, elink), EuropePMC REST, ChemRxiv RSS, bioRxiv RSS, Espacenet patent API, and internal literature mirrors. Results are classified by relevance to current project targets using a configurable keyword and SMARTS-pattern filter. PaperQA2 (MIT, EleutherAI/Imbue collaboration) achieves 85.2% precision on LitQA2 — above PhD-level baseline — using RAG with citation verification. Key integration: an MCP server wrapping the NCBI E-utilities API, plus a Paperclip skill that runs the query, filters, and posts a structured digest to the assigned project Slack channel. The agent must be constrained to never claim a finding is fact without citing the DOI; this is enforced in SOUL.md ('Every claim must cite a DOI or state uncertainty explicitly').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200"/>
      </w:tblGrid>
      <w:tr>
        <w:trPr>
          <w:tblHeader/>
        </w:trPr>
        <w:tc>
          <w:tcPr>
            <w:tcW w:type="dxa" w:w="2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Tool/API</w:t>
            </w:r>
          </w:p>
        </w:tc>
        <w:tc>
          <w:tcPr>
            <w:tcW w:type="dxa" w:w="2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Purpose</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MCP wrapper available</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Approximate call volume per night</w:t>
            </w:r>
          </w:p>
        </w:tc>
      </w:tr>
      <w:tr>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NCBI E-utilities (PubMed)</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Literature search and fetch</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(ncbi-mcp, community)</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50–200 calls</w:t>
            </w:r>
          </w:p>
        </w:tc>
      </w:tr>
      <w:tr>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EuropePMC REST API</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Europe PMC full-text search</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(needs custom wrapper)</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20–50 calls</w:t>
            </w:r>
          </w:p>
        </w:tc>
      </w:tr>
      <w:tr>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ChemRxiv RSS</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Preprint feed</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 (direct RSS, parse locally)</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 call</w:t>
            </w:r>
          </w:p>
        </w:tc>
      </w:tr>
      <w:tr>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Espacenet API</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Patent search (IPC codes, SMARTS)</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(OpenAPI available)</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10–30 calls</w:t>
            </w:r>
          </w:p>
        </w:tc>
      </w:tr>
      <w:tr>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ArcadeDB / Weaviate</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Internal literature KG and vector store</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(ArcadeDB has built-in MCP)</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Unlimited (local)</w:t>
            </w:r>
          </w:p>
        </w:tc>
      </w:tr>
      <w:tr>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Paperclip API</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Post results as task comment</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(native Paperclip MCP)</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1–3 calls per digest</w:t>
            </w:r>
          </w:p>
        </w:tc>
      </w:tr>
    </w:tbl>
    <w:p>
      <w:pPr>
        <w:pStyle w:val="Heading3"/>
        <w:spacing w:after="100" w:before="280"/>
      </w:pPr>
      <w:r>
        <w:rPr>
          <w:rFonts w:ascii="Arial" w:cs="Arial" w:eastAsia="Arial" w:hAnsi="Arial"/>
          <w:b/>
          <w:bCs/>
          <w:color w:val="0D7C8C"/>
          <w:sz w:val="24"/>
          <w:szCs w:val="24"/>
        </w:rPr>
        <w:t xml:space="preserve">19.2 Closed-loop Bayesian process optimisation</w:t>
      </w:r>
    </w:p>
    <w:p>
      <w:pPr>
        <w:spacing w:after="140"/>
        <w:jc w:val="both"/>
      </w:pPr>
      <w:r>
        <w:rPr>
          <w:rFonts w:ascii="Arial" w:cs="Arial" w:eastAsia="Arial" w:hAnsi="Arial"/>
          <w:color w:val="1A1A1A"/>
          <w:sz w:val="22"/>
          <w:szCs w:val="22"/>
        </w:rPr>
        <w:t xml:space="preserve">Autonomy level: L3 (conditional automation — BO selects, hardware executes, analytics returns, loop continues — but vial loading, reagent replenishment, and failure recovery still require humans). GxP risk: Low to Medium (depends on whether outputs feed QbD filings). BoFire (open-source, BASF-led, contributors from Bayer, Boehringer Ingelheim, Evonik, and Agilent, published in JMLR 2025) is used by 'hundreds of users' in self-driving lab and human-in-loop configurations. Merck's 2022 Accounts of Chemical Research paper reported 192 stereoselective Suzuki–Miyaura reactions on a Chemspeed SWING in four days — approximately 4× throughput gain versus manual DoE. The Chemspeed + SciY open Self-Driving Lab platform (launched SLAS 2026, February 9, 2026) provides a vendor-agnostic orchestration layer. The agent proposes the next experiment via BoFire's qNEHVI acquisition function, submits to the Chemspeed queue via SiLA 2 gRPC, waits for HPLC result delivery via file-share monitor, updates the surrogate model, and repeats. The human's role is to define the design space boundaries, load reagents, and confirm convergence.</w:t>
      </w:r>
    </w:p>
    <w:p>
      <w:pPr>
        <w:pStyle w:val="Heading3"/>
        <w:spacing w:after="100" w:before="280"/>
      </w:pPr>
      <w:r>
        <w:rPr>
          <w:rFonts w:ascii="Arial" w:cs="Arial" w:eastAsia="Arial" w:hAnsi="Arial"/>
          <w:b/>
          <w:bCs/>
          <w:color w:val="0D7C8C"/>
          <w:sz w:val="24"/>
          <w:szCs w:val="24"/>
        </w:rPr>
        <w:t xml:space="preserve">19.3 Compound registration and ADMET triage</w:t>
      </w:r>
    </w:p>
    <w:p>
      <w:pPr>
        <w:spacing w:after="140"/>
        <w:jc w:val="both"/>
      </w:pPr>
      <w:r>
        <w:rPr>
          <w:rFonts w:ascii="Arial" w:cs="Arial" w:eastAsia="Arial" w:hAnsi="Arial"/>
          <w:color w:val="1A1A1A"/>
          <w:sz w:val="22"/>
          <w:szCs w:val="22"/>
        </w:rPr>
        <w:t xml:space="preserve">Autonomy level: L2–L3. GxP risk: Low in discovery, Medium when compound becomes development candidate. Dotmatics Luma (acquired by Siemens for $5.1B, completed July 1, 2025) runs salt stripping, IUPAC name generation, uniqueness search over 10 billion+ purchasable compounds in under one second, corporate ID assignment, and ADMET calls at sketch time. Schrödinger LiveDesign ML plus Lilly TuneLab expose federated ADMET models to partners. CDD Vault is the smaller-biotech standard (Arkuda Therapeutics: 'facilitates rapid compound registration from external medicinal chemistry teams'). The agent takes a SMILES input, runs the compound registration workflow via Lobster (Section 9.2 above shows the exact Lobster config), returns a compound passport including corporate ID, structural uniqueness status, preliminary ADMET flags, and FTO summary. The medicinal chemist reviews the passport and decides on promotion. No automation currently touches the registration step itself — that remains a human action under Lobster's requires_approval gate.</w:t>
      </w:r>
    </w:p>
    <w:p>
      <w:pPr>
        <w:pStyle w:val="Heading3"/>
        <w:spacing w:after="100" w:before="280"/>
      </w:pPr>
      <w:r>
        <w:rPr>
          <w:rFonts w:ascii="Arial" w:cs="Arial" w:eastAsia="Arial" w:hAnsi="Arial"/>
          <w:b/>
          <w:bCs/>
          <w:color w:val="0D7C8C"/>
          <w:sz w:val="24"/>
          <w:szCs w:val="24"/>
        </w:rPr>
        <w:t xml:space="preserve">19.4 Autonomous documentation — draft-and-review</w:t>
      </w:r>
    </w:p>
    <w:p>
      <w:pPr>
        <w:spacing w:after="140"/>
        <w:jc w:val="both"/>
      </w:pPr>
      <w:r>
        <w:rPr>
          <w:rFonts w:ascii="Arial" w:cs="Arial" w:eastAsia="Arial" w:hAnsi="Arial"/>
          <w:color w:val="1A1A1A"/>
          <w:sz w:val="22"/>
          <w:szCs w:val="22"/>
        </w:rPr>
        <w:t xml:space="preserve">Autonomy level: L2 (agent drafts, qualified human certifies). GxP risk: High — all outputs are regulated records. This is the use case with the strongest published evidence base. Yseop Copilot (TIME Best Inventions 2025) at Sanofi: 30% CSR writing-time reduction on two major sections across Phase 1 and Phase 3 in pharma, oncology, and vaccine therapeutic areas. Yseop at Eli Lilly: patient-narrative authoring reduced from 4 hours to 4 seconds per patient; over 10,000 AI-drafted reports in 2023. BCG's multi-agent medical-writing system for an undisclosed global pharma drafted clinical-trial protocols that senior medical writers 'gave their seal of approval.' Daiichi Sankyo confirmed BCG-built agentic integrations in Europe/Canada oncology medical affairs, expanding in 2026 to protocol writing and market-access dossiers.</w:t>
      </w:r>
    </w:p>
    <w:p>
      <w:pPr>
        <w:spacing w:after="140"/>
        <w:jc w:val="both"/>
      </w:pPr>
      <w:r>
        <w:rPr>
          <w:rFonts w:ascii="Arial" w:cs="Arial" w:eastAsia="Arial" w:hAnsi="Arial"/>
          <w:color w:val="1A1A1A"/>
          <w:sz w:val="22"/>
          <w:szCs w:val="22"/>
        </w:rPr>
        <w:t xml:space="preserve">The Yseop architecture — deterministic RAG + symbolic template layer + LLM for fluency — is the correct model for GxP documentation agents. The RAG layer retrieves verified data from the ELN and LIMS. The symbolic template layer fills in structured fields deterministically (no LLM hallucination on dates, batch numbers, or assay results). The LLM generates only the narrative prose connecting the structured fields — and even those outputs are constrained by template boundaries. Every field in the output is traceable to a specific source record. The agent never writes directly to the regulated document management system; it writes to a staging area and posts the draft for human review.</w:t>
      </w:r>
    </w:p>
    <w:p>
      <w:pPr>
        <w:pStyle w:val="Heading3"/>
        <w:spacing w:after="100" w:before="280"/>
      </w:pPr>
      <w:r>
        <w:rPr>
          <w:rFonts w:ascii="Arial" w:cs="Arial" w:eastAsia="Arial" w:hAnsi="Arial"/>
          <w:b/>
          <w:bCs/>
          <w:color w:val="0D7C8C"/>
          <w:sz w:val="24"/>
          <w:szCs w:val="24"/>
        </w:rPr>
        <w:t xml:space="preserve">19.5 Chemical inventory and autonomous reorder</w:t>
      </w:r>
    </w:p>
    <w:p>
      <w:pPr>
        <w:spacing w:after="140"/>
        <w:jc w:val="both"/>
      </w:pPr>
      <w:r>
        <w:rPr>
          <w:rFonts w:ascii="Arial" w:cs="Arial" w:eastAsia="Arial" w:hAnsi="Arial"/>
          <w:color w:val="1A1A1A"/>
          <w:sz w:val="22"/>
          <w:szCs w:val="22"/>
        </w:rPr>
        <w:t xml:space="preserve">Autonomy level: L2–L3. GxP risk: Medium in development (reagent lots feed batch records); High in GMP. BIOVIA CISPro remains the enterprise container-level tracking standard. Quartzy (425,000+ scientists, 14M-product shop) offers API-driven auto-reorder integrated with Scispot and SciNote. 3E (formerly Verisk 3E) markets 'agentic reasoning' for REACH/TSCA/GHS compliance with human-over-the-loop governance. GoCompliance ships Oracle-native REACH agents (Supplier Response, BOM Search, REACH Concierge). The agent monitors inventory levels via LIMS/CISPro API, predicts depletion dates using a rolling 30-day consumption model, generates reorder requests for items approaching threshold, checks REACH/GHS compliance for any new chemical before ordering, and posts the reorder request to a human approval queue. The human approves; the order is placed via the ERP (SAP BAPI or REST API). Automation of the actual purchase order creation without human approval is achievable at L3 for repeat items with established supplier relationships, but requires explicit validation under Part 11 (the purchase record is a traceable GxP transaction).</w:t>
      </w:r>
    </w:p>
    <w:p>
      <w:pPr>
        <w:pStyle w:val="Heading3"/>
        <w:spacing w:after="100" w:before="280"/>
      </w:pPr>
      <w:r>
        <w:rPr>
          <w:rFonts w:ascii="Arial" w:cs="Arial" w:eastAsia="Arial" w:hAnsi="Arial"/>
          <w:b/>
          <w:bCs/>
          <w:color w:val="0D7C8C"/>
          <w:sz w:val="24"/>
          <w:szCs w:val="24"/>
        </w:rPr>
        <w:t xml:space="preserve">19.6 Analytical data ingestion and OOS detection</w:t>
      </w:r>
    </w:p>
    <w:p>
      <w:pPr>
        <w:spacing w:after="140"/>
        <w:jc w:val="both"/>
      </w:pPr>
      <w:r>
        <w:rPr>
          <w:rFonts w:ascii="Arial" w:cs="Arial" w:eastAsia="Arial" w:hAnsi="Arial"/>
          <w:color w:val="1A1A1A"/>
          <w:sz w:val="22"/>
          <w:szCs w:val="22"/>
        </w:rPr>
        <w:t xml:space="preserve">Autonomy level: L3 (fully autonomous detection and triage; human makes disposition decision). GxP risk: High — OOS handling has direct regulatory consequence. The agent watches instrument output directories (HPLC/UHPLC .raw files from Waters Empower exports, LC-MS .raw files from Thermo Xcalibur, NMR FID directories from Bruker TopSpin) via a file system watcher. On new file detection, it parses the result using the appropriate library (pyOpenMS for MS, nmrglue for NMR, custom Empower CSV parser), compares against the acceptance criteria in the LIMS for that assay, flags OOS results with calculated ±3σ deviation from the distribution mean, drafts a preliminary deviation description, and opens a high-priority Paperclip task assigned to the responsible analytical chemist. The agent never makes the disposition decision — that is always human. The agent's OOS flag, preliminary deviation description, and supporting data are all logged to the ALCOA+ audit bucket at the moment of detection.</w:t>
      </w:r>
    </w:p>
    <w:p>
      <w:pPr>
        <w:pStyle w:val="Heading3"/>
        <w:spacing w:after="100" w:before="280"/>
      </w:pPr>
      <w:r>
        <w:rPr>
          <w:rFonts w:ascii="Arial" w:cs="Arial" w:eastAsia="Arial" w:hAnsi="Arial"/>
          <w:b/>
          <w:bCs/>
          <w:color w:val="0D7C8C"/>
          <w:sz w:val="24"/>
          <w:szCs w:val="24"/>
        </w:rPr>
        <w:t xml:space="preserve">19.7 Regulatory intelligence monitoring</w:t>
      </w:r>
    </w:p>
    <w:p>
      <w:pPr>
        <w:spacing w:after="140"/>
        <w:jc w:val="both"/>
      </w:pPr>
      <w:r>
        <w:rPr>
          <w:rFonts w:ascii="Arial" w:cs="Arial" w:eastAsia="Arial" w:hAnsi="Arial"/>
          <w:color w:val="1A1A1A"/>
          <w:sz w:val="22"/>
          <w:szCs w:val="22"/>
        </w:rPr>
        <w:t xml:space="preserve">Autonomy level: L4 (fully autonomous). GxP risk: Low (monitoring and alerting only; no regulatory consequence from the monitoring itself). The agent monitors FDA CDER, FDA CBER, EMA, PMDA, ANVISA, Health Canada, and ICH RSS feeds and document portals for new guidance documents, Q&amp;A updates, draft guidances, and safety communications. It classifies each new document against a configurable relevance taxonomy (e.g., ICH Q8/Q9/Q10 for QbD, ICH M4 for CTD format, ICH E6(R3) for GCP) and against current project phases (Phase 1, Phase 2, NDA filing). Relevant documents are summarized with an impact assessment for each active project and delivered as a weekly digest to project teams. The agent uses retrieval-augmented generation over a database of previously processed regulatory documents to provide context on how new guidance relates to existing requirements. Hallucination risk is mitigated by requiring every regulatory claim to cite the source document and section number.</w:t>
      </w:r>
    </w:p>
    <w:p>
      <w:pPr>
        <w:pStyle w:val="Heading3"/>
        <w:spacing w:after="100" w:before="280"/>
      </w:pPr>
      <w:r>
        <w:rPr>
          <w:rFonts w:ascii="Arial" w:cs="Arial" w:eastAsia="Arial" w:hAnsi="Arial"/>
          <w:b/>
          <w:bCs/>
          <w:color w:val="0D7C8C"/>
          <w:sz w:val="24"/>
          <w:szCs w:val="24"/>
        </w:rPr>
        <w:t xml:space="preserve">19.8 Synthesis route monitoring and failure alerting</w:t>
      </w:r>
    </w:p>
    <w:p>
      <w:pPr>
        <w:spacing w:after="140"/>
        <w:jc w:val="both"/>
      </w:pPr>
      <w:r>
        <w:rPr>
          <w:rFonts w:ascii="Arial" w:cs="Arial" w:eastAsia="Arial" w:hAnsi="Arial"/>
          <w:color w:val="1A1A1A"/>
          <w:sz w:val="22"/>
          <w:szCs w:val="22"/>
        </w:rPr>
        <w:t xml:space="preserve">Autonomy level: L2 (proposes; chemist decides). GxP risk: Medium (affects experimental plans). The agent monitors the ELN via API for new experimental entries, tracks step failure rates per synthetic route over a rolling 30-day window, and triggers an alert when any step's failure rate exceeds a configurable threshold (default: 20%). On trigger, it queries AiZynthFinder and ASKCOS for alternative routes to the same target compound, screens alternatives against the approved-reagents list and ICH M7 genotoxic impurity alerts, ranks by composite score (route efficiency × green chemistry penalty × commercial availability), and posts the ranked alternatives as a Paperclip task assigned to the medicinal chemist lead for the affected compound. The chemist reviews the alternatives, selects one or none, and marks the task complete. The agent never changes the planned route autonomously.</w:t>
      </w:r>
    </w:p>
    <w:p>
      <w:pPr>
        <w:pStyle w:val="Heading2"/>
        <w:spacing w:after="160" w:before="400"/>
      </w:pPr>
      <w:r>
        <w:rPr>
          <w:rFonts w:ascii="Arial" w:cs="Arial" w:eastAsia="Arial" w:hAnsi="Arial"/>
          <w:b/>
          <w:bCs/>
          <w:color w:val="3A7CA5"/>
          <w:sz w:val="28"/>
          <w:szCs w:val="28"/>
        </w:rPr>
        <w:t xml:space="preserve">20. Self-Driving Labs: Where Physical Meets Digital</w:t>
      </w:r>
    </w:p>
    <w:p>
      <w:pPr>
        <w:pStyle w:val="Heading3"/>
        <w:spacing w:after="100" w:before="280"/>
      </w:pPr>
      <w:r>
        <w:rPr>
          <w:rFonts w:ascii="Arial" w:cs="Arial" w:eastAsia="Arial" w:hAnsi="Arial"/>
          <w:b/>
          <w:bCs/>
          <w:color w:val="0D7C8C"/>
          <w:sz w:val="24"/>
          <w:szCs w:val="24"/>
        </w:rPr>
        <w:t xml:space="preserve">20.1 The current state</w:t>
      </w:r>
    </w:p>
    <w:p>
      <w:pPr>
        <w:spacing w:after="140"/>
        <w:jc w:val="both"/>
      </w:pPr>
      <w:r>
        <w:rPr>
          <w:rFonts w:ascii="Arial" w:cs="Arial" w:eastAsia="Arial" w:hAnsi="Arial"/>
          <w:color w:val="1A1A1A"/>
          <w:sz w:val="22"/>
          <w:szCs w:val="22"/>
        </w:rPr>
        <w:t xml:space="preserve">Self-driving labs (SDLs) — systems that autonomously design, execute, and interpret physical chemistry experiments in a continuous loop — are the most ambitious application of autonomous agents to pharmaceutical chemistry. The honest assessment of the April 2026 state: Level 3 conditional automation is demonstrated and published; Level 5 full autonomy does not exist in any production pharmaceutical setting. The Acceleration Consortium (Aspuru-Guzik group, University of Toronto, $200M Canada First Research Excellence Fund grant 2024) runs two production organic SDLs with BMS collaboration. Published 2025 results cover liquid-liquid extraction optimisation, organic laser emitter discovery, and Merck's BayBE optimization library integration. Aspuru-Guzik explicitly states: 'we have not arrived at a fully autonomous system yet.'</w:t>
      </w:r>
    </w:p>
    <w:p>
      <w:pPr>
        <w:pStyle w:val="Heading3"/>
        <w:spacing w:after="100" w:before="280"/>
      </w:pPr>
      <w:r>
        <w:rPr>
          <w:rFonts w:ascii="Arial" w:cs="Arial" w:eastAsia="Arial" w:hAnsi="Arial"/>
          <w:b/>
          <w:bCs/>
          <w:color w:val="0D7C8C"/>
          <w:sz w:val="24"/>
          <w:szCs w:val="24"/>
        </w:rPr>
        <w:t xml:space="preserve">20.2 Commercial SDL platforms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500"/>
      </w:tblGrid>
      <w:tr>
        <w:trPr>
          <w:tblHeader/>
        </w:trPr>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Platform</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Focus</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Architecture</w:t>
            </w:r>
          </w:p>
        </w:tc>
        <w:tc>
          <w:tcPr>
            <w:tcW w:type="dxa" w:w="2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 relevance</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Chemify</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Autonomous synthesis; API-first robotic chemistry</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Proprietary closed-loop AI + Chemify Cloud API for robotic execution</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mg-to-g synthesis for hit-to-lead; Chemify Protocol API enables external agent integration</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Arctoris</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Drug discovery automation; robotic assay execution</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Robotic platform + AI experimental design</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automated dose-response, selectivity profiling, ADMET assays</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Emerald Cloud Lab</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Remote-controlled fully instrumented research lab</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Cloud-operated physical lab; programmatic instrument access via Constellation API</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for discovery research; allows agent-driven experiment submission without on-site hardware</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Strateos (acquired by Brooks Automation/Azenta)</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Robotic cloud lab for biology and chemistry</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Programmable biology and chemistry; Protocol Language for scripted workflows</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workflow automation; agent integration via REST API</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Chemspeed + SciY SDL Platform</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Vendor-agnostic SDL orchestration</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SiLA 2 gRPC + BoFire + open data model</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the only open-architecture commercial SDL orchestration layer; launched SLAS 2026</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Artificial</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Lab automation + AI agent coordination</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Agent-orchestrated lab workflows; AI scheduling</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earlier stage; focus on scheduling and coordination</w:t>
            </w:r>
          </w:p>
        </w:tc>
      </w:tr>
    </w:tbl>
    <w:p>
      <w:pPr>
        <w:pStyle w:val="Heading3"/>
        <w:spacing w:after="100" w:before="280"/>
      </w:pPr>
      <w:r>
        <w:rPr>
          <w:rFonts w:ascii="Arial" w:cs="Arial" w:eastAsia="Arial" w:hAnsi="Arial"/>
          <w:b/>
          <w:bCs/>
          <w:color w:val="0D7C8C"/>
          <w:sz w:val="24"/>
          <w:szCs w:val="24"/>
        </w:rPr>
        <w:t xml:space="preserve">20.3 Integration pattern for the nine-agent team</w:t>
      </w:r>
    </w:p>
    <w:p>
      <w:pPr>
        <w:spacing w:after="140"/>
        <w:jc w:val="both"/>
      </w:pPr>
      <w:r>
        <w:rPr>
          <w:rFonts w:ascii="Arial" w:cs="Arial" w:eastAsia="Arial" w:hAnsi="Arial"/>
          <w:color w:val="1A1A1A"/>
          <w:sz w:val="22"/>
          <w:szCs w:val="22"/>
        </w:rPr>
        <w:t xml:space="preserve">The Chemspeed + SciY + BoFire + Hermes Agent + Paperclip integration is the recommended open-architecture SDL pattern for the nine-specialist pharma team described in this whitepaper. The Optimisation Agent (running Hermes with the bayesian-doe skill) receives a task from Paperclip specifying the compound series, design space bounds, and convergence criterion. It calls the BoFire MCP server to select the next experiment parameters via qNEHVI acquisition. It submits the experiment to the Chemspeed queue via a SiLA 2 gRPC MCP wrapper. It waits for the HPLC result file to appear in the designated results directory (monitored by the Analytical Method Agent). The Analytical Agent parses the result, posts it as a comment on the optimisation task, and wakes the Optimisation Agent via PAPERCLIP_WAKE_REASON=context_update. The loop continues until the convergence criterion is met or the DFT budget gate is triggered. This architecture cleanly separates the scientific reasoning (BoFire in the Optimisation Agent), the physical execution (Chemspeed via SiLA 2), the analytical interpretation (Analytical Agent), and the governance layer (Paperclip approval gates and budget tracking) — each layer replaceable independently.</w:t>
      </w:r>
    </w:p>
    <w:p>
      <w:pPr>
        <w:pStyle w:val="Heading2"/>
        <w:spacing w:after="160" w:before="400"/>
      </w:pPr>
      <w:r>
        <w:rPr>
          <w:rFonts w:ascii="Arial" w:cs="Arial" w:eastAsia="Arial" w:hAnsi="Arial"/>
          <w:b/>
          <w:bCs/>
          <w:color w:val="3A7CA5"/>
          <w:sz w:val="28"/>
          <w:szCs w:val="28"/>
        </w:rPr>
        <w:t xml:space="preserve">21. Regulatory Compliance for Autonomous Agents: The Full Framework</w:t>
      </w:r>
    </w:p>
    <w:p>
      <w:pPr>
        <w:pStyle w:val="Heading3"/>
        <w:spacing w:after="100" w:before="280"/>
      </w:pPr>
      <w:r>
        <w:rPr>
          <w:rFonts w:ascii="Arial" w:cs="Arial" w:eastAsia="Arial" w:hAnsi="Arial"/>
          <w:b/>
          <w:bCs/>
          <w:color w:val="0D7C8C"/>
          <w:sz w:val="24"/>
          <w:szCs w:val="24"/>
        </w:rPr>
        <w:t xml:space="preserve">21.1 The validation challenge unique to autonomous agents</w:t>
      </w:r>
    </w:p>
    <w:p>
      <w:pPr>
        <w:spacing w:after="140"/>
        <w:jc w:val="both"/>
      </w:pPr>
      <w:r>
        <w:rPr>
          <w:rFonts w:ascii="Arial" w:cs="Arial" w:eastAsia="Arial" w:hAnsi="Arial"/>
          <w:color w:val="1A1A1A"/>
          <w:sz w:val="22"/>
          <w:szCs w:val="22"/>
        </w:rPr>
        <w:t xml:space="preserve">Traditional Computer System Validation (CSV) and its successor Computer Software Assurance (CSA) were designed for deterministic software where identical inputs produce identical outputs. Autonomous agents violate three core assumptions: reproducibility (the same goal instruction may produce different execution paths across runs), defined operator (for Part 11 §11.200 e-signatures, each action must be attributable to a specific human operator — but the agent acts on behalf of the human operator), and static audit-trail schema (the agent creates records dynamically rather than populating a fixed form). The industry-consensus compliant architecture wraps the LLM inside a validated deterministic shell: versioned prompts checked into change control, input filtering, immutable logging of prompts plus model version plus response, deterministic post-processing, and a named human approver providing an e-signature at the approval gate.</w:t>
      </w:r>
    </w:p>
    <w:p>
      <w:pPr>
        <w:pStyle w:val="Heading3"/>
        <w:spacing w:after="100" w:before="280"/>
      </w:pPr>
      <w:r>
        <w:rPr>
          <w:rFonts w:ascii="Arial" w:cs="Arial" w:eastAsia="Arial" w:hAnsi="Arial"/>
          <w:b/>
          <w:bCs/>
          <w:color w:val="0D7C8C"/>
          <w:sz w:val="24"/>
          <w:szCs w:val="24"/>
        </w:rPr>
        <w:t xml:space="preserve">21.2 SOUL.md as a validation document</w:t>
      </w:r>
    </w:p>
    <w:p>
      <w:pPr>
        <w:spacing w:after="140"/>
        <w:jc w:val="both"/>
      </w:pPr>
      <w:r>
        <w:rPr>
          <w:rFonts w:ascii="Arial" w:cs="Arial" w:eastAsia="Arial" w:hAnsi="Arial"/>
          <w:color w:val="1A1A1A"/>
          <w:sz w:val="22"/>
          <w:szCs w:val="22"/>
        </w:rPr>
        <w:t xml:space="preserve">For GxP-adjacent deployments, the SOUL.md file functions as the validated behavioral specification for the agent — the document that defines the intended use of the AI system within its Context of Use per the FDA CAF framework. Changes to SOUL.md constitute a system change requiring impact assessment, re-testing of the affected behaviors against the golden task dataset, and QA sign-off before production deployment. SOUL.md should be: version-controlled in a GxP document management system (not just Git), reviewed by the responsible medicinal chemist and QA, approved by the system owner, and checked into NemoClaw's workspace directory after formal change control — not edited ad hoc. The pre-checkout hook in Paperclip can enforce that the current SOUL.md SHA-256 matches the approved version before any task is executed.</w:t>
      </w:r>
    </w:p>
    <w:p>
      <w:pPr>
        <w:pStyle w:val="Heading3"/>
        <w:spacing w:after="100" w:before="280"/>
      </w:pPr>
      <w:r>
        <w:rPr>
          <w:rFonts w:ascii="Arial" w:cs="Arial" w:eastAsia="Arial" w:hAnsi="Arial"/>
          <w:b/>
          <w:bCs/>
          <w:color w:val="0D7C8C"/>
          <w:sz w:val="24"/>
          <w:szCs w:val="24"/>
        </w:rPr>
        <w:t xml:space="preserve">21.3 The approval gate as Part 11 control</w:t>
      </w:r>
    </w:p>
    <w:p>
      <w:pPr>
        <w:spacing w:after="140"/>
        <w:jc w:val="both"/>
      </w:pPr>
      <w:r>
        <w:rPr>
          <w:rFonts w:ascii="Arial" w:cs="Arial" w:eastAsia="Arial" w:hAnsi="Arial"/>
          <w:color w:val="1A1A1A"/>
          <w:sz w:val="22"/>
          <w:szCs w:val="22"/>
        </w:rPr>
        <w:t xml:space="preserve">Paperclip's synchronous hard-gate approval (Tier 3 in the HITL architecture from Part IX) is the bridge between autonomous operation and regulated record creation. When an approval gate fires, Paperclip: creates an approval record with the task ID, gate type, proposed action, and hash of the content to be approved; notifies the designated approver(s) via the configured channel; waits indefinitely for a response; and on approval, records the approver's identity (from their Paperclip user record, linked to their enterprise SAML identity), timestamp, reason-for-signing (a free-text field required for Part 11 §11.200 e-signatures), and the SHA-256 of the approved content. This approval record — written to the Paperclip activity_log table and simultaneously shipped to the MinIO WORM audit bucket via the ALCOA+ sidecar — satisfies §11.10(e) (audit trail) and §11.50/§11.70 (e-signature linking) requirements for non-GxP records. For GxP records (those that enter a formal QMS), the Paperclip approval gate is a pre-condition, not the complete control — the approved content must additionally be processed through the validated document management system with its own Part 11 controls.</w:t>
      </w:r>
    </w:p>
    <w:p>
      <w:pPr>
        <w:pStyle w:val="Heading2"/>
        <w:spacing w:after="160" w:before="400"/>
      </w:pPr>
      <w:r>
        <w:rPr>
          <w:rFonts w:ascii="Arial" w:cs="Arial" w:eastAsia="Arial" w:hAnsi="Arial"/>
          <w:b/>
          <w:bCs/>
          <w:color w:val="3A7CA5"/>
          <w:sz w:val="28"/>
          <w:szCs w:val="28"/>
        </w:rPr>
        <w:t xml:space="preserve">22. Competitive Landscape: Who Is Deploying What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000"/>
        <w:gridCol w:w="1800"/>
      </w:tblGrid>
      <w:tr>
        <w:trPr>
          <w:tblHeader/>
        </w:trPr>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Company</w:t>
            </w:r>
          </w:p>
        </w:tc>
        <w:tc>
          <w:tcPr>
            <w:tcW w:type="dxa" w:w="2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System</w:t>
            </w:r>
          </w:p>
        </w:tc>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Use case</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Status / evidence</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Source</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AstraZeneca</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ChatInvent (internal multi-agent)</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Molecular design + synthesis planning; multi-agent architecture in production</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 since 2025</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ScienceDirect Jan 2026</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Eli Lilly</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NVIDIA BioNeMo + LillyPod + TuneLab</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End-to-end drug discovery; federated ADMET models to 1,300+ biotech partners</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 / expanding</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GTC 2026 + JPMorgan Jan 2026</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Roche</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NVIDIA AI Factory + BioNeMo</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R&amp;D, manufacturing, diagnostics, pathology; 3,500+ Blackwell GPUs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Deploying 2026</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GTC 2026 + Roche announcements</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Novartis</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Salesforce Agentforce</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Marketing, sales, patient services, medical affairs — global 5-year rollout</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Committed, deploying</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Salesforce announcement Dec 2025</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Sanofi</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Yseop Copilot</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CSR writing — 30% time reduction on Phase 1 and Phase 3 reports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 measured</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Yseop press releases + TIME 2025</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Moderna</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Veeva AI Agents (PromoMats)</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MLR Quick Check — moving toward touch-free review</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Early production</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Veeva customer summit 2026</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Daiichi Sankyo</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BCG multi-agent (Veeva integration)</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Protocol writing + market-access dossiers in Europe/Canada oncology MA</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Expanding from pilot</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BCG Dec 2025 announcement</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Merck</w:t>
            </w:r>
          </w:p>
        </w:tc>
        <w:tc>
          <w:tcPr>
            <w:tcW w:type="dxa" w:w="2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BoFire + Chemspeed SDL</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192 stereoselective reactions in 4 days; 4× throughput vs manual DoE</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Published (ACS 2022)</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Accounts of Chemical Research</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Pfizer</w:t>
            </w:r>
          </w:p>
        </w:tc>
        <w:tc>
          <w:tcPr>
            <w:tcW w:type="dxa" w:w="2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Microsoft Copilot Studio</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Internal workflow automation across multiple functions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Deploying</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Microsoft partnership announcements</w:t>
            </w:r>
          </w:p>
        </w:tc>
      </w:tr>
    </w:tbl>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X — Safely Running Autonomous Agents in a Company Environment</w:t>
      </w:r>
    </w:p>
    <w:p>
      <w:pPr>
        <w:spacing w:after="140"/>
        <w:jc w:val="both"/>
      </w:pPr>
      <w:r>
        <w:rPr>
          <w:rFonts w:ascii="Arial" w:cs="Arial" w:eastAsia="Arial" w:hAnsi="Arial"/>
          <w:color w:val="1A1A1A"/>
          <w:sz w:val="22"/>
          <w:szCs w:val="22"/>
        </w:rPr>
        <w:t xml:space="preserve">Every previous part of this whitepaper assumed that the nine-specialist agent team would be deployed and operated safely. This part makes that assumption explicit. Autonomous agents in a pharmaceutical chemical R&amp;D department are not like conventional software: they call external APIs, write to databases, read sensitive compound structures, generate synthesis routes that carry dual-use risk, and operate for hours or days without human supervision. The threat surface is correspondingly broader than traditional enterprise software — and the regulatory consequences of a security failure (IP exfiltration, hallucinated assay results in a GxP record, a rogue agent initiating wet-lab work) are significantly more severe.</w:t>
      </w:r>
    </w:p>
    <w:p>
      <w:pPr>
        <w:spacing w:after="140"/>
        <w:jc w:val="both"/>
      </w:pPr>
      <w:r>
        <w:rPr>
          <w:rFonts w:ascii="Arial" w:cs="Arial" w:eastAsia="Arial" w:hAnsi="Arial"/>
          <w:color w:val="1A1A1A"/>
          <w:sz w:val="22"/>
          <w:szCs w:val="22"/>
        </w:rPr>
        <w:t xml:space="preserve">This part covers three interlocking domains: technical sandboxing and isolation (the compute boundary around each agent), governance and compliance (the policy and audit layer above), and identity and least-privilege (the authentication and authorization layer that determines what each agent is allowed to do). The analysis spans open-source and commercial options, with honest assessments of maturity and pharma-specific validation status. It concludes with a recommended hybrid deployment architecture for the on-premise DGX / cloud-burst pattern adopted in this whitepaper.</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Scope reminder: this analysis covers the agent runtime security layer — how you safely execute agents. It does not re-cover model-level safety (NeMo Guardrails, EU AI Act) or observability (Langfuse, OTel), which are addressed in Part VI. The two layers are complementary: runtime security prevents unauthorized actions; model-level safety prevents unsafe reasoning.</w:t>
      </w:r>
    </w:p>
    <w:p>
      <w:pPr>
        <w:pStyle w:val="Heading2"/>
        <w:spacing w:after="160" w:before="400"/>
      </w:pPr>
      <w:r>
        <w:rPr>
          <w:rFonts w:ascii="Arial" w:cs="Arial" w:eastAsia="Arial" w:hAnsi="Arial"/>
          <w:b/>
          <w:bCs/>
          <w:color w:val="3A7CA5"/>
          <w:sz w:val="28"/>
          <w:szCs w:val="28"/>
        </w:rPr>
        <w:t xml:space="preserve">48. The Agent Security Threat Landscape in 2026</w:t>
      </w:r>
    </w:p>
    <w:p>
      <w:pPr>
        <w:pStyle w:val="Heading3"/>
        <w:spacing w:after="100" w:before="280"/>
      </w:pPr>
      <w:r>
        <w:rPr>
          <w:rFonts w:ascii="Arial" w:cs="Arial" w:eastAsia="Arial" w:hAnsi="Arial"/>
          <w:b/>
          <w:bCs/>
          <w:color w:val="0D7C8C"/>
          <w:sz w:val="24"/>
          <w:szCs w:val="24"/>
        </w:rPr>
        <w:t xml:space="preserve">48.1 OWASP LLM Top 10 and the Agentic Extension</w:t>
      </w:r>
    </w:p>
    <w:p>
      <w:pPr>
        <w:spacing w:after="140"/>
        <w:jc w:val="both"/>
      </w:pPr>
      <w:r>
        <w:rPr>
          <w:rFonts w:ascii="Arial" w:cs="Arial" w:eastAsia="Arial" w:hAnsi="Arial"/>
          <w:color w:val="1A1A1A"/>
          <w:sz w:val="22"/>
          <w:szCs w:val="22"/>
        </w:rPr>
        <w:t xml:space="preserve">OWASP's LLM Application Top 10 (2025 revision) extended its original 2023 list to explicitly address agentic systems. The ten categories most relevant to the pharma stack described in this whitepaper are: (1) Prompt Injection — both direct (user-supplied) and indirect (data retrieved from external sources such as PubMed abstracts or patent claims containing adversarial text); (2) Insecure Output Handling — agent outputs used downstream without validation; (3) Training Data Poisoning — corrupted fine-tuning data; (4) Model Denial of Service — resource exhaustion via runaway agent loops; (5) Supply Chain Vulnerabilities — malicious skills, plugins, or MCP servers; (6) Sensitive Information Disclosure — agent leaking compound structures, SAR data, or patient information in outputs; (7) Insecure Plugin Design — overly broad MCP tool scopes; (8) Excessive Agency — agents with more permissions than needed for their task; (9) Overreliance — accepting hallucinated outputs without verification; and (10) Model Theft — extracting proprietary fine-tuned model weights via adversarial queries.</w:t>
      </w:r>
    </w:p>
    <w:p>
      <w:pPr>
        <w:spacing w:after="140"/>
        <w:jc w:val="both"/>
      </w:pPr>
      <w:r>
        <w:rPr>
          <w:rFonts w:ascii="Arial" w:cs="Arial" w:eastAsia="Arial" w:hAnsi="Arial"/>
          <w:color w:val="1A1A1A"/>
          <w:sz w:val="22"/>
          <w:szCs w:val="22"/>
        </w:rPr>
        <w:t xml:space="preserve">Two additional categories emerged specifically for agentic deployments and were added in the 2025 update: Tool Abuse (an agent deliberately or accidentally calling tools in sequences that produce unintended side effects — for example, a retrosynthesis agent using the file-write tool to persist a compound structure to an unapproved path) and Agent Hijacking (an attacker modifying the agent's memory, SOUL.md, or skills to redirect its behavior). Both are directly applicable to the Hermes + Paperclip + NemoClaw stack and require specific mitigations.</w:t>
      </w:r>
    </w:p>
    <w:p>
      <w:pPr>
        <w:pStyle w:val="Heading3"/>
        <w:spacing w:after="100" w:before="280"/>
      </w:pPr>
      <w:r>
        <w:rPr>
          <w:rFonts w:ascii="Arial" w:cs="Arial" w:eastAsia="Arial" w:hAnsi="Arial"/>
          <w:b/>
          <w:bCs/>
          <w:color w:val="0D7C8C"/>
          <w:sz w:val="24"/>
          <w:szCs w:val="24"/>
        </w:rPr>
        <w:t xml:space="preserve">48.2 MITRE ATLAS — the AI threat framework</w:t>
      </w:r>
    </w:p>
    <w:p>
      <w:pPr>
        <w:spacing w:after="140"/>
        <w:jc w:val="both"/>
      </w:pPr>
      <w:r>
        <w:rPr>
          <w:rFonts w:ascii="Arial" w:cs="Arial" w:eastAsia="Arial" w:hAnsi="Arial"/>
          <w:color w:val="1A1A1A"/>
          <w:sz w:val="22"/>
          <w:szCs w:val="22"/>
        </w:rPr>
        <w:t xml:space="preserve">MITRE ATLAS (Adversarial Threat Landscape for Artificial-Intelligence Systems) extends the MITRE ATT&amp;CK framework to AI/ML systems. The 2025 update added 14 new techniques specifically covering agentic systems. The tactic categories most relevant to autonomous pharma agents are: Reconnaissance (LLM prompt discovery — enumerating what tools and knowledge the agent has access to); Resource Development (creating adversarial inputs that exploit known model weaknesses); Initial Access (prompt injection through retrieved documents); Execution (causing the agent to execute unintended tool calls); Persistence (injecting facts into MEMORY.md or the session database that survive context resets); Privilege Escalation (convincing a lower-trust agent to invoke a higher-trust approval gate); Collection (extracting IP from the agent's knowledge graph via crafted queries); and Exfiltration (using an allowed egress endpoint — e.g., a public PubMed query — to smuggle data out via URL parameters or request bodies).</w:t>
      </w:r>
    </w:p>
    <w:p>
      <w:pPr>
        <w:spacing w:after="140"/>
        <w:jc w:val="both"/>
      </w:pPr>
      <w:r>
        <w:rPr>
          <w:rFonts w:ascii="Arial" w:cs="Arial" w:eastAsia="Arial" w:hAnsi="Arial"/>
          <w:color w:val="1A1A1A"/>
          <w:sz w:val="22"/>
          <w:szCs w:val="22"/>
        </w:rPr>
        <w:t xml:space="preserve">MITRE ATLAS is the recommended framework for conducting an agent-specific threat model before any pharma production deployment. The workflow: enumerate all agents and their tool access, map each to relevant ATLAS techniques, and ensure compensating controls exist. The ATLAS Navigator (navigator.mitre-engenuity.org/atlas) provides an interactive layer analogous to ATT&amp;CK Navigator.</w:t>
      </w:r>
    </w:p>
    <w:p>
      <w:pPr>
        <w:pStyle w:val="Heading3"/>
        <w:spacing w:after="100" w:before="280"/>
      </w:pPr>
      <w:r>
        <w:rPr>
          <w:rFonts w:ascii="Arial" w:cs="Arial" w:eastAsia="Arial" w:hAnsi="Arial"/>
          <w:b/>
          <w:bCs/>
          <w:color w:val="0D7C8C"/>
          <w:sz w:val="24"/>
          <w:szCs w:val="24"/>
        </w:rPr>
        <w:t xml:space="preserve">48.3 The 2026 incident record — what has actually gone wrong</w:t>
      </w:r>
    </w:p>
    <w:p>
      <w:pPr>
        <w:spacing w:after="140"/>
        <w:jc w:val="both"/>
      </w:pPr>
      <w:r>
        <w:rPr>
          <w:rFonts w:ascii="Arial" w:cs="Arial" w:eastAsia="Arial" w:hAnsi="Arial"/>
          <w:color w:val="1A1A1A"/>
          <w:sz w:val="22"/>
          <w:szCs w:val="22"/>
        </w:rPr>
        <w:t xml:space="preserve">Several categories of real incidents informed the security posture in this whitepaper. The ClawHavoc supply-chain attack (February 2026, Bitdefender and Koi Security) planted 341–1,184 malicious skills on the OpenClaw ClawHub marketplace, with payloads including SSH key exfiltration, reverse shells on tool execution, and credential harvesting from the agent's config files. CVE-2026-25253 (CVSS 8.8, OpenClaw pre-v2026.1.29) allowed one-click RCE via WebSocket hijacking from any network-adjacent host. The Cursor AI prompt injection incident (February 2025) showed that a malicious README in a repository could redirect a coding agent to exfiltrate source code. Research by Simon Willison (March 2025) demonstrated that a single malicious email forwarded to a Gmail-integrated agent could hijack the agent's next 20 actions. These incidents collectively establish that agent supply chains, MCP tool surfaces, and external data inputs are the primary attack vectors — not the underlying LLM weights.</w:t>
      </w:r>
    </w:p>
    <w:p>
      <w:pPr>
        <w:pStyle w:val="Heading2"/>
        <w:spacing w:after="160" w:before="400"/>
      </w:pPr>
      <w:r>
        <w:rPr>
          <w:rFonts w:ascii="Arial" w:cs="Arial" w:eastAsia="Arial" w:hAnsi="Arial"/>
          <w:b/>
          <w:bCs/>
          <w:color w:val="3A7CA5"/>
          <w:sz w:val="28"/>
          <w:szCs w:val="28"/>
        </w:rPr>
        <w:t xml:space="preserve">49. Sandboxing Technologies: Comprehensive Comparison</w:t>
      </w:r>
    </w:p>
    <w:p>
      <w:pPr>
        <w:spacing w:after="140"/>
        <w:jc w:val="both"/>
      </w:pPr>
      <w:r>
        <w:rPr>
          <w:rFonts w:ascii="Arial" w:cs="Arial" w:eastAsia="Arial" w:hAnsi="Arial"/>
          <w:color w:val="1A1A1A"/>
          <w:sz w:val="22"/>
          <w:szCs w:val="22"/>
        </w:rPr>
        <w:t xml:space="preserve">Sandboxing is the foundational control: it defines what the agent process is allowed to do at the kernel level. The comparison below covers eight technologies across five dimensions: isolation mechanism, startup overhead, I/O performance impact, Python agent compatibility, and pharma-deployment maturity.</w:t>
      </w:r>
    </w:p>
    <w:p>
      <w:pPr>
        <w:pStyle w:val="Heading3"/>
        <w:spacing w:after="100" w:before="280"/>
      </w:pPr>
      <w:r>
        <w:rPr>
          <w:rFonts w:ascii="Arial" w:cs="Arial" w:eastAsia="Arial" w:hAnsi="Arial"/>
          <w:b/>
          <w:bCs/>
          <w:color w:val="0D7C8C"/>
          <w:sz w:val="24"/>
          <w:szCs w:val="24"/>
        </w:rPr>
        <w:t xml:space="preserve">49.1 gVisor (Google)</w:t>
      </w:r>
    </w:p>
    <w:p>
      <w:pPr>
        <w:spacing w:after="140"/>
        <w:jc w:val="both"/>
      </w:pPr>
      <w:r>
        <w:rPr>
          <w:rFonts w:ascii="Arial" w:cs="Arial" w:eastAsia="Arial" w:hAnsi="Arial"/>
          <w:color w:val="1A1A1A"/>
          <w:sz w:val="22"/>
          <w:szCs w:val="22"/>
        </w:rPr>
        <w:t xml:space="preserve">gVisor (github.com/google/gvisor, Apache 2.0) implements a user-space kernel — the Sentry — that intercepts all system calls from the containerized process and re-implements them in Go, blocking dangerous calls outright. Two execution modes: ptrace (runs on any Linux kernel, ~20% I/O overhead, ~100ms cold start) and KVM (requires hardware virtualization, ~10% overhead, ~50ms cold start). gVisor is the sandbox runtime for Google Cloud Run, Google Kubernetes Engine Sandbox, and over 500 million Google Cloud containers. Integration: Docker runtime flag `--runtime=runsc`, Kubernetes RuntimeClass. Python 3.11+ (Hermes Agent's requirement) is fully supported; the entire CPython standard library passes gVisor's syscall filter because gVisor supports ~200 of Linux's ~300 system calls. Pharma applicability: gVisor blocks the most common container-escape vectors (runc CVEs, kernel namespace escapes, Dirty COW-class exploits) because the container process never reaches the host kernel. Limitation: file-system-intensive workloads (DFT output parsing, large SMILES library processing) take a measurable performance hit; the recommended pattern is gVisor for agent processes but bare containers for pure compute tasks (ORCA runs, RDKit screening).</w:t>
      </w:r>
    </w:p>
    <w:p>
      <w:pPr>
        <w:pStyle w:val="Heading3"/>
        <w:spacing w:after="100" w:before="280"/>
      </w:pPr>
      <w:r>
        <w:rPr>
          <w:rFonts w:ascii="Arial" w:cs="Arial" w:eastAsia="Arial" w:hAnsi="Arial"/>
          <w:b/>
          <w:bCs/>
          <w:color w:val="0D7C8C"/>
          <w:sz w:val="24"/>
          <w:szCs w:val="24"/>
        </w:rPr>
        <w:t xml:space="preserve">49.2 Kata Containers</w:t>
      </w:r>
    </w:p>
    <w:p>
      <w:pPr>
        <w:spacing w:after="140"/>
        <w:jc w:val="both"/>
      </w:pPr>
      <w:r>
        <w:rPr>
          <w:rFonts w:ascii="Arial" w:cs="Arial" w:eastAsia="Arial" w:hAnsi="Arial"/>
          <w:color w:val="1A1A1A"/>
          <w:sz w:val="22"/>
          <w:szCs w:val="22"/>
        </w:rPr>
        <w:t xml:space="preserve">Kata Containers (katacontainers.io, Apache 2.0, CNCF Incubating) wraps each container in a lightweight virtual machine using QEMU-microVM, Dragonball (Alibaba), or Cloud Hypervisor. Each container gets its own guest kernel — complete hardware-level isolation. Startup: 100–300ms (versus ~50ms for runC, ~50–100ms for gVisor). Performance overhead: 5–15% CPU, 3–10% memory per container due to the guest kernel overhead. Kata Containers 4.0 (2025) added direct-volume mounting (bypassing QEMU's virtio-fs for block devices), confidential computing with Intel TDX/AMD SEV-SNP, and ARM CCA support. Integration identical to gVisor — Docker `--runtime=kata-runtime`, Kubernetes RuntimeClass. For pharma: Kata's hardware-level isolation is stronger than gVisor for threat models involving sophisticated kernel exploits; the tradeoff is higher overhead. The recommended pattern is Kata for the Regulatory Writer and Portfolio Strategist agents (highest IP sensitivity), gVisor for the Literature Harvester and KG Curator (highest throughput).</w:t>
      </w:r>
    </w:p>
    <w:p>
      <w:pPr>
        <w:pStyle w:val="Heading3"/>
        <w:spacing w:after="100" w:before="280"/>
      </w:pPr>
      <w:r>
        <w:rPr>
          <w:rFonts w:ascii="Arial" w:cs="Arial" w:eastAsia="Arial" w:hAnsi="Arial"/>
          <w:b/>
          <w:bCs/>
          <w:color w:val="0D7C8C"/>
          <w:sz w:val="24"/>
          <w:szCs w:val="24"/>
        </w:rPr>
        <w:t xml:space="preserve">49.3 Firecracker (AWS)</w:t>
      </w:r>
    </w:p>
    <w:p>
      <w:pPr>
        <w:spacing w:after="140"/>
        <w:jc w:val="both"/>
      </w:pPr>
      <w:r>
        <w:rPr>
          <w:rFonts w:ascii="Arial" w:cs="Arial" w:eastAsia="Arial" w:hAnsi="Arial"/>
          <w:color w:val="1A1A1A"/>
          <w:sz w:val="22"/>
          <w:szCs w:val="22"/>
        </w:rPr>
        <w:t xml:space="preserve">Firecracker (github.com/firecracker-microvm/firecracker, Apache 2.0) is the microVM hypervisor underpinning AWS Lambda and Fargate — 125ms cold start, &lt;5MB memory overhead per microVM, hardware-enforced isolation via KVM. Firecracker exposes a REST API on a Unix socket and requires a pre-built Linux kernel and root filesystem image. Not directly OCI/Docker-compatible — it is used by Modal, Fly.io, and Daytona as the execution substrate for their serverless platforms. For the hybrid pharma deployment, Firecracker is the correct choice for cloud-burst DFT and docking workloads via Modal or Daytona: each tool call spawns a fresh microVM, computes, and terminates — no persistent state attack surface. The 125ms overhead is negligible for DFT campaigns that run for minutes to hours.</w:t>
      </w:r>
    </w:p>
    <w:p>
      <w:pPr>
        <w:pStyle w:val="Heading3"/>
        <w:spacing w:after="100" w:before="280"/>
      </w:pPr>
      <w:r>
        <w:rPr>
          <w:rFonts w:ascii="Arial" w:cs="Arial" w:eastAsia="Arial" w:hAnsi="Arial"/>
          <w:b/>
          <w:bCs/>
          <w:color w:val="0D7C8C"/>
          <w:sz w:val="24"/>
          <w:szCs w:val="24"/>
        </w:rPr>
        <w:t xml:space="preserve">49.4 NemoClaw / NVIDIA OpenShell</w:t>
      </w:r>
    </w:p>
    <w:p>
      <w:pPr>
        <w:spacing w:after="140"/>
        <w:jc w:val="both"/>
      </w:pPr>
      <w:r>
        <w:rPr>
          <w:rFonts w:ascii="Arial" w:cs="Arial" w:eastAsia="Arial" w:hAnsi="Arial"/>
          <w:color w:val="1A1A1A"/>
          <w:sz w:val="22"/>
          <w:szCs w:val="22"/>
        </w:rPr>
        <w:t xml:space="preserve">NVIDIA OpenShell (shipped as part of NemoClaw) uses three Linux kernel security mechanisms in combination: Landlock LSM (filesystem access control enforced at the kernel path level, surviving fork and exec), seccomp-BPF (system call filtering that denies ptrace, raw sockets, and unauthorized execve), and network namespaces (complete network isolation routed through a gateway proxy). The per-binary egress policy (SHA-256 of /proc/&lt;pid&gt;/exe) is OpenShell's distinctive feature — it knows which binary is making which network call. Limitation: OpenShell is currently tuned for OpenClaw (Node.js/TypeScript); running Hermes Agent (Python) inside OpenShell requires writing a custom blueprint. The NVIDIA developer team has confirmed in NemoClaw issue #2039 that custom egress presets through the CLI are not yet surfaced — they require dropping to raw openshell policy set commands, which is not recommended in production. This is a blocking issue for the Hermes + NemoClaw combination until v2026.3+ resolves it.</w:t>
      </w:r>
    </w:p>
    <w:p>
      <w:pPr>
        <w:pStyle w:val="Heading3"/>
        <w:spacing w:after="100" w:before="280"/>
      </w:pPr>
      <w:r>
        <w:rPr>
          <w:rFonts w:ascii="Arial" w:cs="Arial" w:eastAsia="Arial" w:hAnsi="Arial"/>
          <w:b/>
          <w:bCs/>
          <w:color w:val="0D7C8C"/>
          <w:sz w:val="24"/>
          <w:szCs w:val="24"/>
        </w:rPr>
        <w:t xml:space="preserve">49.5 E2B (Code Sandbox)</w:t>
      </w:r>
    </w:p>
    <w:p>
      <w:pPr>
        <w:spacing w:after="140"/>
        <w:jc w:val="both"/>
      </w:pPr>
      <w:r>
        <w:rPr>
          <w:rFonts w:ascii="Arial" w:cs="Arial" w:eastAsia="Arial" w:hAnsi="Arial"/>
          <w:color w:val="1A1A1A"/>
          <w:sz w:val="22"/>
          <w:szCs w:val="22"/>
        </w:rPr>
        <w:t xml:space="preserve">E2B (e2b.dev, Apache 2.0 for the SDK, commercial for the hosted platform) is a cloud sandbox infrastructure specifically designed for AI agent code execution. Each sandbox is a Firecracker-backed microVM with a full Linux environment, persistent filesystem within a session, and a REST API for running code, uploading files, and reading stdout/stderr. Python, Node.js, Java, Go, Rust are pre-installed. Pricing: $0.000060/s compute ($0.216/hour), 100ms granularity, $0 for the first 100 hours/month. E2B integrates natively with LangChain, CrewAI, AutoGen, and OpenAI's Code Interpreter API. For pharma: E2B is the correct sandbox for cloud-side tool execution where the agent needs to run arbitrary Python (BoFire optimization scripts, RDKit SMILES processing, statistical analysis) without persisting a server. The on-premise equivalent is Daytona or a local Docker socket. E2B does not currently offer a self-hosted/VPC option — data sent to E2B executes in shared AWS infrastructure, which is incompatible with the air-gapped chemistry IP requirement for the on-premise half of the hybrid stack.</w:t>
      </w:r>
    </w:p>
    <w:p>
      <w:pPr>
        <w:pStyle w:val="Heading3"/>
        <w:spacing w:after="100" w:before="280"/>
      </w:pPr>
      <w:r>
        <w:rPr>
          <w:rFonts w:ascii="Arial" w:cs="Arial" w:eastAsia="Arial" w:hAnsi="Arial"/>
          <w:b/>
          <w:bCs/>
          <w:color w:val="0D7C8C"/>
          <w:sz w:val="24"/>
          <w:szCs w:val="24"/>
        </w:rPr>
        <w:t xml:space="preserve">49.6 WebAssembly / WASI</w:t>
      </w:r>
    </w:p>
    <w:p>
      <w:pPr>
        <w:spacing w:after="140"/>
        <w:jc w:val="both"/>
      </w:pPr>
      <w:r>
        <w:rPr>
          <w:rFonts w:ascii="Arial" w:cs="Arial" w:eastAsia="Arial" w:hAnsi="Arial"/>
          <w:color w:val="1A1A1A"/>
          <w:sz w:val="22"/>
          <w:szCs w:val="22"/>
        </w:rPr>
        <w:t xml:space="preserve">WebAssembly (WASM) with the WASI system interface provides a deterministic, capability-based sandbox with no ambient authority — a WASM module can only access resources explicitly granted to it at instantiation. Runtimes: Wasmtime (Bytecode Alliance, Apache 2.0, production-grade, used by Fastly), WasmEdge (CNCF Sandbox, optimized for edge/server), Wasmer (MIT, POSIX-compatible). The extism plugin system wraps arbitrary tool code as WASM plugins with a defined host API, making it suitable for MCP tool server implementations. For pharma: WASM is an excellent sandbox for stateless, CPU-bound tool calls (SMILES validation, descriptor calculation) where you can compile or wrap the logic in a WASM module. It is not suitable for tools that require significant OS interaction (DFT calculations that spawn ORCA subprocesses, HPLC file parsing that reads vendor binary formats). The performance overhead for pure numerical code is near-zero; the portability guarantee means the same WASM binary runs on DGX Spark, HPC Slurm nodes, and cloud workers identically.</w:t>
      </w:r>
    </w:p>
    <w:p>
      <w:pPr>
        <w:pStyle w:val="Heading3"/>
        <w:spacing w:after="100" w:before="280"/>
      </w:pPr>
      <w:r>
        <w:rPr>
          <w:rFonts w:ascii="Arial" w:cs="Arial" w:eastAsia="Arial" w:hAnsi="Arial"/>
          <w:b/>
          <w:bCs/>
          <w:color w:val="0D7C8C"/>
          <w:sz w:val="24"/>
          <w:szCs w:val="24"/>
        </w:rPr>
        <w:t xml:space="preserve">49.7 Nix Flakes — Reproducible Agent Environments</w:t>
      </w:r>
    </w:p>
    <w:p>
      <w:pPr>
        <w:spacing w:after="140"/>
        <w:jc w:val="both"/>
      </w:pPr>
      <w:r>
        <w:rPr>
          <w:rFonts w:ascii="Arial" w:cs="Arial" w:eastAsia="Arial" w:hAnsi="Arial"/>
          <w:color w:val="1A1A1A"/>
          <w:sz w:val="22"/>
          <w:szCs w:val="22"/>
        </w:rPr>
        <w:t xml:space="preserve">Nix flakes (NixOS/nix, LGPL 2.1) provide hermetically sealed, fully reproducible build environments where every dependency is pinned by SHA-256 hash and the build graph is deterministic. Hermes Agent ships an official Nix flake (`nix develop` to enter a development shell with all Python dependencies pinned). For production: `nix build .#hermes-docker` produces a bit-for-bit reproducible OCI image that can be deployed on Docker, Kubernetes, or NemoClaw. Under GAMP 5 Category 4, the ability to demonstrate that the agent runtime environment is exactly reproducible from a source pin is a significant validation asset — it eliminates the 'it worked on my machine' category of validation failures entirely. Nix does not itself provide runtime sandboxing, but combined with gVisor or Kata it gives you both build-time reproducibility and runtime isolation.</w:t>
      </w:r>
    </w:p>
    <w:p>
      <w:pPr>
        <w:pStyle w:val="Heading3"/>
        <w:spacing w:after="100" w:before="280"/>
      </w:pPr>
      <w:r>
        <w:rPr>
          <w:rFonts w:ascii="Arial" w:cs="Arial" w:eastAsia="Arial" w:hAnsi="Arial"/>
          <w:b/>
          <w:bCs/>
          <w:color w:val="0D7C8C"/>
          <w:sz w:val="24"/>
          <w:szCs w:val="24"/>
        </w:rPr>
        <w:t xml:space="preserve">49.8 Podman Rootless</w:t>
      </w:r>
    </w:p>
    <w:p>
      <w:pPr>
        <w:spacing w:after="140"/>
        <w:jc w:val="both"/>
      </w:pPr>
      <w:r>
        <w:rPr>
          <w:rFonts w:ascii="Arial" w:cs="Arial" w:eastAsia="Arial" w:hAnsi="Arial"/>
          <w:color w:val="1A1A1A"/>
          <w:sz w:val="22"/>
          <w:szCs w:val="22"/>
        </w:rPr>
        <w:t xml:space="preserve">Podman (github.com/containers/podman, Apache 2.0) is a daemonless, rootless container runtime that maps container UIDs to unprivileged host UIDs via user namespaces — a container root (UID 0) maps to an unprivileged host user, so a container escape grants only that user's permissions. No persistent daemon with elevated privileges means there is no daemon socket to attack (a recurring Docker vulnerability). Podman is the standard container runtime on RHEL 9 / Rocky Linux / AlmaLinux, which are common in pharmaceutical HPC environments. Drop-in Docker CLI compatibility via `alias docker=podman`. For pharma: Podman rootless is the recommended on-premise container runtime for agent workloads on RHEL-based Slurm nodes where Docker is not available or not approved.</w:t>
      </w:r>
    </w:p>
    <w:p>
      <w:pPr>
        <w:pStyle w:val="Heading3"/>
        <w:spacing w:after="100" w:before="280"/>
      </w:pPr>
      <w:r>
        <w:rPr>
          <w:rFonts w:ascii="Arial" w:cs="Arial" w:eastAsia="Arial" w:hAnsi="Arial"/>
          <w:b/>
          <w:bCs/>
          <w:color w:val="0D7C8C"/>
          <w:sz w:val="24"/>
          <w:szCs w:val="24"/>
        </w:rPr>
        <w:t xml:space="preserve">49.9 Sandbox Technology Comparison</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100"/>
        <w:gridCol w:w="1100"/>
        <w:gridCol w:w="1500"/>
        <w:gridCol w:w="1900"/>
        <w:gridCol w:w="1300"/>
        <w:gridCol w:w="2100"/>
      </w:tblGrid>
      <w:tr>
        <w:trPr>
          <w:tblHeader/>
        </w:trPr>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Technology</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Isolation Mechanism</w:t>
            </w:r>
          </w:p>
        </w:tc>
        <w:tc>
          <w:tcPr>
            <w:tcW w:type="dxa" w:w="1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Cold Start</w:t>
            </w:r>
          </w:p>
        </w:tc>
        <w:tc>
          <w:tcPr>
            <w:tcW w:type="dxa" w:w="1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I/O Overhead</w:t>
            </w:r>
          </w:p>
        </w:tc>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Python Agent Support</w:t>
            </w:r>
          </w:p>
        </w:tc>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GxP/Pharma Maturity</w:t>
            </w:r>
          </w:p>
        </w:tc>
        <w:tc>
          <w:tcPr>
            <w:tcW w:type="dxa" w:w="13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Licence</w:t>
            </w:r>
          </w:p>
        </w:tc>
        <w:tc>
          <w:tcPr>
            <w:tcW w:type="dxa" w:w="2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Recommended Use Case</w:t>
            </w:r>
          </w:p>
        </w:tc>
      </w:tr>
      <w:tr>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gVisor (runsc)</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User-space kernel (Sentry), intercepts syscalls</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~50–100ms</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~10–20%</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Full (CPython supported)</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widely deployed in regulated cloud</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Default agent sandbox on on-prem hosts</w:t>
            </w:r>
          </w:p>
        </w:tc>
      </w:tr>
      <w:tr>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Kata Containers</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Hardware VM (KVM/TDX/SEV-SNP), own guest kernel</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~100–300ms</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~5–15%</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Full</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CNCF Incubating, Intel TDX GA</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Highest-sensitivity agents (Regulatory, Portfolio)</w:t>
            </w:r>
          </w:p>
        </w:tc>
      </w:tr>
      <w:tr>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Firecracker microVM</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KVM microVM, REST API socket</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~125ms</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&lt;5% (bare metal)</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(via custom rootfs)</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AWS Lambda/Fargate substrate</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Cloud-burst DFT/docking via Modal/Daytona</w:t>
            </w:r>
          </w:p>
        </w:tc>
      </w:tr>
      <w:tr>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 OpenShell</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Landlock + seccomp-BPF + netns (host kernel)</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~2–5s (OpenClaw setup)</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&lt;2%</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OpenClaw only (Hermes requires custom blueprint)</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Alpha — NVIDIA stated; no pharma validation published</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OpenClaw-based agents on NVIDIA DGX hardware</w:t>
            </w:r>
          </w:p>
        </w:tc>
      </w:tr>
      <w:tr>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E2B Code Sandbox</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Firecracker microVM (hosted cloud)</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~100ms</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&lt;5%</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Pre-installed</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 no VPC/air-gap option; shared infra</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 (SDK); commercial (hosted)</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Cloud-side stateless tool execution (non-sensitive)</w:t>
            </w:r>
          </w:p>
        </w:tc>
      </w:tr>
      <w:tr>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WASM / WASI</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Capability-based, deterministic; no ambient authority</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&lt;5ms</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~0–3% (numerical)</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Limited — needs wasmtime-py or compile to WASM</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Research-grade for agent tools</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 (Wasmtime, Bytecode Alliance)</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Stateless CPU-bound tools (SMILES validation, descriptors)</w:t>
            </w:r>
          </w:p>
        </w:tc>
      </w:tr>
      <w:tr>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Nix Flakes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Build-time reproducibility only (not runtime isolation)</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Deterministic env</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GAMP 5 asset, no runtime protection</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LGPL 2.1</w:t>
            </w:r>
          </w:p>
        </w:tc>
        <w:tc>
          <w:tcPr>
            <w:tcW w:type="dxa" w:w="2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Combine with gVisor/Kata for full coverage</w:t>
            </w:r>
          </w:p>
        </w:tc>
      </w:tr>
      <w:tr>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Podman Rootless</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User namespaces, daemonless, rootless UID mapping</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~50ms</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Full</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RHEL standard, no pharma-specific guidance published</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w:t>
            </w:r>
          </w:p>
        </w:tc>
        <w:tc>
          <w:tcPr>
            <w:tcW w:type="dxa" w:w="2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On-prem HPC / RHEL Slurm nodes where Docker unavailable</w:t>
            </w:r>
          </w:p>
        </w:tc>
      </w:tr>
    </w:tbl>
    <w:p>
      <w:pPr>
        <w:pStyle w:val="Heading2"/>
        <w:spacing w:after="160" w:before="400"/>
      </w:pPr>
      <w:r>
        <w:rPr>
          <w:rFonts w:ascii="Arial" w:cs="Arial" w:eastAsia="Arial" w:hAnsi="Arial"/>
          <w:b/>
          <w:bCs/>
          <w:color w:val="3A7CA5"/>
          <w:sz w:val="28"/>
          <w:szCs w:val="28"/>
        </w:rPr>
        <w:t xml:space="preserve">50. Network Egress Control and Zero Trust for Agents</w:t>
      </w:r>
    </w:p>
    <w:p>
      <w:pPr>
        <w:spacing w:after="140"/>
        <w:jc w:val="both"/>
      </w:pPr>
      <w:r>
        <w:rPr>
          <w:rFonts w:ascii="Arial" w:cs="Arial" w:eastAsia="Arial" w:hAnsi="Arial"/>
          <w:color w:val="1A1A1A"/>
          <w:sz w:val="22"/>
          <w:szCs w:val="22"/>
        </w:rPr>
        <w:t xml:space="preserve">Sandboxing controls what the agent process can do on the local host. Network egress control determines which external services the agent can reach. For pharmaceutical R&amp;D, the default should be deny-all with explicit allowlisting — an agent that can reach arbitrary internet endpoints can exfiltrate compound structures, submit synthesis queries to external models, or be directed by a prompt injection to call attacker-controlled APIs.</w:t>
      </w:r>
    </w:p>
    <w:p>
      <w:pPr>
        <w:pStyle w:val="Heading3"/>
        <w:spacing w:after="100" w:before="280"/>
      </w:pPr>
      <w:r>
        <w:rPr>
          <w:rFonts w:ascii="Arial" w:cs="Arial" w:eastAsia="Arial" w:hAnsi="Arial"/>
          <w:b/>
          <w:bCs/>
          <w:color w:val="0D7C8C"/>
          <w:sz w:val="24"/>
          <w:szCs w:val="24"/>
        </w:rPr>
        <w:t xml:space="preserve">50.1 eBPF and Cilium</w:t>
      </w:r>
    </w:p>
    <w:p>
      <w:pPr>
        <w:spacing w:after="140"/>
        <w:jc w:val="both"/>
      </w:pPr>
      <w:r>
        <w:rPr>
          <w:rFonts w:ascii="Arial" w:cs="Arial" w:eastAsia="Arial" w:hAnsi="Arial"/>
          <w:color w:val="1A1A1A"/>
          <w:sz w:val="22"/>
          <w:szCs w:val="22"/>
        </w:rPr>
        <w:t xml:space="preserve">eBPF (extended Berkeley Packet Filter) executes sandboxed programs in the Linux kernel at network events, enabling sub-microsecond policy enforcement without kernel module loading. Cilium (github.com/cilium/cilium, Apache 2.0, CNCF Graduated) builds a full Kubernetes network policy engine on top of eBPF. For agent deployments, Cilium's three key capabilities are: (1) L7 policy enforcement — Cilium understands HTTP, gRPC, Kafka, and DNS at the application layer and can enforce rules like 'the LiteratureHarvester agent may only call GET requests to eutils.ncbi.nlm.nih.gov on port 443'; (2) Per-process identity — using eBPF's cgroup attachment, Cilium can attribute traffic to specific process UIDs, enabling the same per-binary egress pinning that OpenShell provides but at the Kubernetes network layer; (3) DNS-based egress filtering — Cilium can enforce 'only resolve listed FQDNs' at the DNS resolver level, blocking dynamic IP allocation tricks. For the hybrid pharma deployment, Cilium on the on-premise Kubernetes cluster (where Hermes Profiles and Paperclip run) provides the egress control layer that OpenShell normally handles inside NemoClaw — making Cilium the recommended alternative when running Hermes without NemoClaw.</w:t>
      </w:r>
    </w:p>
    <w:p>
      <w:pPr>
        <w:pStyle w:val="Heading3"/>
        <w:spacing w:after="100" w:before="280"/>
      </w:pPr>
      <w:r>
        <w:rPr>
          <w:rFonts w:ascii="Arial" w:cs="Arial" w:eastAsia="Arial" w:hAnsi="Arial"/>
          <w:b/>
          <w:bCs/>
          <w:color w:val="0D7C8C"/>
          <w:sz w:val="24"/>
          <w:szCs w:val="24"/>
        </w:rPr>
        <w:t xml:space="preserve">50.2 Envoy Proxy and Service Mesh</w:t>
      </w:r>
    </w:p>
    <w:p>
      <w:pPr>
        <w:spacing w:after="140"/>
        <w:jc w:val="both"/>
      </w:pPr>
      <w:r>
        <w:rPr>
          <w:rFonts w:ascii="Arial" w:cs="Arial" w:eastAsia="Arial" w:hAnsi="Arial"/>
          <w:color w:val="1A1A1A"/>
          <w:sz w:val="22"/>
          <w:szCs w:val="22"/>
        </w:rPr>
        <w:t xml:space="preserve">Envoy (github.com/envoyproxy/envoy, Apache 2.0, CNCF Graduated) is the sidecar proxy underlying Istio and AWS App Mesh. For agent communication, Envoy provides three security properties: mTLS between every agent-to-agent call (Hermes Profile → Paperclip API, Paperclip → MCP tool server), JWT token validation at the ingress point (rejecting calls without a valid agent identity token), and request/response body inspection via the ext_authz extension (enabling an authorization service to approve each MCP tool call before it executes). Istio Ambient Mesh (2025 GA, ztunnel L4 + waypoints L7) eliminates the per-pod sidecar overhead while retaining these properties — the recommended architecture for the Kubernetes cluster running the Hermes Profiles.</w:t>
      </w:r>
    </w:p>
    <w:p>
      <w:pPr>
        <w:pStyle w:val="Heading3"/>
        <w:spacing w:after="100" w:before="280"/>
      </w:pPr>
      <w:r>
        <w:rPr>
          <w:rFonts w:ascii="Arial" w:cs="Arial" w:eastAsia="Arial" w:hAnsi="Arial"/>
          <w:b/>
          <w:bCs/>
          <w:color w:val="0D7C8C"/>
          <w:sz w:val="24"/>
          <w:szCs w:val="24"/>
        </w:rPr>
        <w:t xml:space="preserve">50.3 DNS-based egress filtering</w:t>
      </w:r>
    </w:p>
    <w:p>
      <w:pPr>
        <w:spacing w:after="140"/>
        <w:jc w:val="both"/>
      </w:pPr>
      <w:r>
        <w:rPr>
          <w:rFonts w:ascii="Arial" w:cs="Arial" w:eastAsia="Arial" w:hAnsi="Arial"/>
          <w:color w:val="1A1A1A"/>
          <w:sz w:val="22"/>
          <w:szCs w:val="22"/>
        </w:rPr>
        <w:t xml:space="preserve">DNS is the covert channel most commonly exploited for agent data exfiltration — an agent that can resolve arbitrary FQDNs can use DNS TXT queries to a controlled nameserver to exfiltrate data. The defense is a recursive resolver that only answers queries for allowlisted domains and returns NXDOMAIN for everything else. Options: CoreDNS (Apache 2.0) with a custom zone file, Pi-hole (EUPL) for blocking lists, NextDNS (commercial) for managed allowlisting with logging, or BIND with Response Policy Zones. For the on-premise pharma deployment, a CoreDNS instance per agent namespace with a strict allowlist (PubMed, EuropePMC, ChEMBL, NVIDIA inference endpoint, Paperclip internal, ArcadeDB internal) combined with Cilium DNS policy enforcement provides defense-in-depth against DNS exfiltration.</w:t>
      </w:r>
    </w:p>
    <w:p>
      <w:pPr>
        <w:pStyle w:val="Heading3"/>
        <w:spacing w:after="100" w:before="280"/>
      </w:pPr>
      <w:r>
        <w:rPr>
          <w:rFonts w:ascii="Arial" w:cs="Arial" w:eastAsia="Arial" w:hAnsi="Arial"/>
          <w:b/>
          <w:bCs/>
          <w:color w:val="0D7C8C"/>
          <w:sz w:val="24"/>
          <w:szCs w:val="24"/>
        </w:rPr>
        <w:t xml:space="preserve">50.4 Zero Trust architecture for multi-agent systems</w:t>
      </w:r>
    </w:p>
    <w:p>
      <w:pPr>
        <w:spacing w:after="140"/>
        <w:jc w:val="both"/>
      </w:pPr>
      <w:r>
        <w:rPr>
          <w:rFonts w:ascii="Arial" w:cs="Arial" w:eastAsia="Arial" w:hAnsi="Arial"/>
          <w:color w:val="1A1A1A"/>
          <w:sz w:val="22"/>
          <w:szCs w:val="22"/>
        </w:rPr>
        <w:t xml:space="preserve">A Zero Trust architecture for the nine-agent pharma stack rejects network-perimeter assumptions and instead requires every agent-to-agent call to carry a cryptographic identity claim and be authorized by policy. The five pillars for agents: (1) Cryptographic workload identity via SPIFFE/SPIRE (see Section 55) — each agent gets an X.509 SVID; (2) Mutual TLS on every call — no plaintext agent communication; (3) Continuous authorization — each MCP tool call is evaluated against policy, not just session establishment; (4) Microsegmentation — each agent in its own Kubernetes namespace with default-deny NetworkPolicy; (5) Comprehensive audit — every network call logged with the agent's SPIFFE ID, timestamp, target, and response code. This architecture maps to BeyondCorp (Google) and NIST SP 800-207 Zero Trust Architecture. Implementation complexity is high (~3–4 weeks for initial setup), but the resulting audit trail directly satisfies the 21 CFR Part 11 §11.10(a) validation and §11.10(e) audit-trail requirements.</w:t>
      </w:r>
    </w:p>
    <w:p>
      <w:pPr>
        <w:pStyle w:val="Heading2"/>
        <w:spacing w:after="160" w:before="400"/>
      </w:pPr>
      <w:r>
        <w:rPr>
          <w:rFonts w:ascii="Arial" w:cs="Arial" w:eastAsia="Arial" w:hAnsi="Arial"/>
          <w:b/>
          <w:bCs/>
          <w:color w:val="3A7CA5"/>
          <w:sz w:val="28"/>
          <w:szCs w:val="28"/>
        </w:rPr>
        <w:t xml:space="preserve">51. AI-Specific Security Tooling</w:t>
      </w:r>
    </w:p>
    <w:p>
      <w:pPr>
        <w:pStyle w:val="Heading3"/>
        <w:spacing w:after="100" w:before="280"/>
      </w:pPr>
      <w:r>
        <w:rPr>
          <w:rFonts w:ascii="Arial" w:cs="Arial" w:eastAsia="Arial" w:hAnsi="Arial"/>
          <w:b/>
          <w:bCs/>
          <w:color w:val="0D7C8C"/>
          <w:sz w:val="24"/>
          <w:szCs w:val="24"/>
        </w:rPr>
        <w:t xml:space="preserve">51.1 NeMo Guardrails (NVIDIA)</w:t>
      </w:r>
    </w:p>
    <w:p>
      <w:pPr>
        <w:spacing w:after="140"/>
        <w:jc w:val="both"/>
      </w:pPr>
      <w:r>
        <w:rPr>
          <w:rFonts w:ascii="Arial" w:cs="Arial" w:eastAsia="Arial" w:hAnsi="Arial"/>
          <w:color w:val="1A1A1A"/>
          <w:sz w:val="22"/>
          <w:szCs w:val="22"/>
        </w:rPr>
        <w:t xml:space="preserve">NeMo Guardrails (github.com/NVIDIA/NeMo-Guardrails, Apache 2.0) is a programmable guardrail layer that sits between the application and the LLM. It uses Colang, a domain-specific language for defining dialog flows and safety policies — 'if the user asks about topic X, invoke safety check Y before responding'. For pharma agents, Guardrails enforces: no synthesis routes for schedule-listed precursors, no PII/PHI in LLM inputs, no responses that claim to authorize wet-lab work, and escalation to human approval when the LLM uncertainty flag is triggered. NeMo Guardrails integrates with LangChain, LlamaIndex, and custom agent loops via a Python SDK. Latency overhead: 50–150ms per call depending on rule complexity. Limitation: Guardrails is effective for rule-based safety constraints known in advance; it does not detect novel prompt injection patterns that violate no explicit rule.</w:t>
      </w:r>
    </w:p>
    <w:p>
      <w:pPr>
        <w:pStyle w:val="Heading3"/>
        <w:spacing w:after="100" w:before="280"/>
      </w:pPr>
      <w:r>
        <w:rPr>
          <w:rFonts w:ascii="Arial" w:cs="Arial" w:eastAsia="Arial" w:hAnsi="Arial"/>
          <w:b/>
          <w:bCs/>
          <w:color w:val="0D7C8C"/>
          <w:sz w:val="24"/>
          <w:szCs w:val="24"/>
        </w:rPr>
        <w:t xml:space="preserve">51.2 Lakera Guard (Commercial)</w:t>
      </w:r>
    </w:p>
    <w:p>
      <w:pPr>
        <w:spacing w:after="140"/>
        <w:jc w:val="both"/>
      </w:pPr>
      <w:r>
        <w:rPr>
          <w:rFonts w:ascii="Arial" w:cs="Arial" w:eastAsia="Arial" w:hAnsi="Arial"/>
          <w:color w:val="1A1A1A"/>
          <w:sz w:val="22"/>
          <w:szCs w:val="22"/>
        </w:rPr>
        <w:t xml:space="preserve">Lakera Guard (lakera.ai) is a commercial LLM security API that provides sub-millisecond (&lt;1ms typical) detection of prompt injection, jailbreaks, PII/PHI leakage, toxic content, and policy violations. It classifies against Lakera's continuously-updated threat intelligence from monitoring millions of real-world LLM interactions. Integration: one-line change to the base URL of any OpenAI-compatible client. Pricing: usage-based, enterprise tier unpublished. Pharma applicability: Lakera's real-time threat intelligence is particularly valuable for the Literature Harvester agent, which ingests PubMed abstracts and patent claims that may contain adversarial text crafted to redirect agent behavior. Lakera has published case studies in financial services but not pharma at time of writing.</w:t>
      </w:r>
    </w:p>
    <w:p>
      <w:pPr>
        <w:pStyle w:val="Heading3"/>
        <w:spacing w:after="100" w:before="280"/>
      </w:pPr>
      <w:r>
        <w:rPr>
          <w:rFonts w:ascii="Arial" w:cs="Arial" w:eastAsia="Arial" w:hAnsi="Arial"/>
          <w:b/>
          <w:bCs/>
          <w:color w:val="0D7C8C"/>
          <w:sz w:val="24"/>
          <w:szCs w:val="24"/>
        </w:rPr>
        <w:t xml:space="preserve">51.3 Invariant Labs Guardrails (Open-Source)</w:t>
      </w:r>
    </w:p>
    <w:p>
      <w:pPr>
        <w:spacing w:after="140"/>
        <w:jc w:val="both"/>
      </w:pPr>
      <w:r>
        <w:rPr>
          <w:rFonts w:ascii="Arial" w:cs="Arial" w:eastAsia="Arial" w:hAnsi="Arial"/>
          <w:color w:val="1A1A1A"/>
          <w:sz w:val="22"/>
          <w:szCs w:val="22"/>
        </w:rPr>
        <w:t xml:space="preserve">Invariant Labs Guardrails (github.com/invariantlabs-ai/invariant, MIT) is an open-source framework for monitoring and enforcing safety policies on agent action sequences — not just individual LLM calls. It analyses the full trajectory of (thought, tool_call, tool_result) tuples and raises violations when the sequence matches a policy rule. Example policies for pharma: 'if the agent reads from /sandbox/artifacts/ and then makes an outbound HTTP call, raise an exfiltration alert'; 'if the agent writes to MEMORY.md more than 3 times per session, trigger a review'; 'if the agent calls mcp_askcos_* and the compound matches a DEA schedule pattern, require human approval before proceeding'. The Python SDK wraps Hermes Agent sessions and Paperclip heartbeat runs. Invariant publishes a growing library of agent security policies contributed by the community. Pharma applicability: the trajectory-level analysis is the right abstraction for detecting Tool Abuse and Agent Hijacking (OWASP LLM Top 10 agentic categories) — neither of which can be caught by per-call filters.</w:t>
      </w:r>
    </w:p>
    <w:p>
      <w:pPr>
        <w:pStyle w:val="Heading3"/>
        <w:spacing w:after="100" w:before="280"/>
      </w:pPr>
      <w:r>
        <w:rPr>
          <w:rFonts w:ascii="Arial" w:cs="Arial" w:eastAsia="Arial" w:hAnsi="Arial"/>
          <w:b/>
          <w:bCs/>
          <w:color w:val="0D7C8C"/>
          <w:sz w:val="24"/>
          <w:szCs w:val="24"/>
        </w:rPr>
        <w:t xml:space="preserve">51.4 ProtectAI LLM Guard (Open-Source)</w:t>
      </w:r>
    </w:p>
    <w:p>
      <w:pPr>
        <w:spacing w:after="140"/>
        <w:jc w:val="both"/>
      </w:pPr>
      <w:r>
        <w:rPr>
          <w:rFonts w:ascii="Arial" w:cs="Arial" w:eastAsia="Arial" w:hAnsi="Arial"/>
          <w:color w:val="1A1A1A"/>
          <w:sz w:val="22"/>
          <w:szCs w:val="22"/>
        </w:rPr>
        <w:t xml:space="preserve">ProtectAI LLM Guard (github.com/protectai/llm-guard, MIT) is a Python library providing 24 input and output scanners: Anonymize/Deanonymize (Presidio-based, 50+ PII entity types), BanSubstrings, BanTopics (zero-shot classification), Code, Gibberish, InvisibleText (Unicode steganography), Language, PromptInjection (deberta-v3 fine-tuned, ~95% recall on known injections), Regex, Relevance (semantic similarity gate), Sensitive (SpanMarker NER), Sentiment, Toxicity, Bias, FactualConsistency (HHEM v2 hallucination score), JSON, MaliciousURLs, NoRefusal, ReadingTime, Sensitive (output), Url. For pharma: the Anonymize scanner is the first-line PII defence before sending any text to a cloud LLM; the PromptInjection scanner is the minimum viable defence against indirect injection from literature inputs; the Sensitive scanner with a custom SpanMarker model trained on pharmaceutical entity types (compound names, target names, assay identifiers) adds domain-specific IP protection. All scanners run locally — no data leaves the organisation.</w:t>
      </w:r>
    </w:p>
    <w:p>
      <w:pPr>
        <w:pStyle w:val="Heading3"/>
        <w:spacing w:after="100" w:before="280"/>
      </w:pPr>
      <w:r>
        <w:rPr>
          <w:rFonts w:ascii="Arial" w:cs="Arial" w:eastAsia="Arial" w:hAnsi="Arial"/>
          <w:b/>
          <w:bCs/>
          <w:color w:val="0D7C8C"/>
          <w:sz w:val="24"/>
          <w:szCs w:val="24"/>
        </w:rPr>
        <w:t xml:space="preserve">51.5 Rebuff — Prompt Injection Defense</w:t>
      </w:r>
    </w:p>
    <w:p>
      <w:pPr>
        <w:spacing w:after="140"/>
        <w:jc w:val="both"/>
      </w:pPr>
      <w:r>
        <w:rPr>
          <w:rFonts w:ascii="Arial" w:cs="Arial" w:eastAsia="Arial" w:hAnsi="Arial"/>
          <w:color w:val="1A1A1A"/>
          <w:sz w:val="22"/>
          <w:szCs w:val="22"/>
        </w:rPr>
        <w:t xml:space="preserve">Rebuff (github.com/protectai/rebuff, MIT) provides multi-layer prompt injection detection: (1) heuristic filter (known injection patterns and unicode tricks, &lt;1ms); (2) LLM-based classifier (calls a secondary LLM to evaluate whether the input is an injection attempt, ~100ms); (3) canary token injection (inserts a unique, invisible string into every prompt; if it appears in an agent's output or downstream actions, the injection succeeded and an alert fires). Layer 3 — canary tokens — is the most distinctive feature and catches injection attacks that bypass the first two layers. Rebuff stores canary hashes in Pinecone (cloud) or a local vector store. For pharma: the canary token approach provides the strongest evidence for audit purposes — the timestamp and content of any injection attack is logged with cryptographic certainty.</w:t>
      </w:r>
    </w:p>
    <w:p>
      <w:pPr>
        <w:pStyle w:val="Heading3"/>
        <w:spacing w:after="100" w:before="280"/>
      </w:pPr>
      <w:r>
        <w:rPr>
          <w:rFonts w:ascii="Arial" w:cs="Arial" w:eastAsia="Arial" w:hAnsi="Arial"/>
          <w:b/>
          <w:bCs/>
          <w:color w:val="0D7C8C"/>
          <w:sz w:val="24"/>
          <w:szCs w:val="24"/>
        </w:rPr>
        <w:t xml:space="preserve">51.6 Comparison: LLM Security Tools</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600"/>
        <w:gridCol w:w="2000"/>
        <w:gridCol w:w="1200"/>
        <w:gridCol w:w="1700"/>
        <w:gridCol w:w="1400"/>
      </w:tblGrid>
      <w:tr>
        <w:trPr>
          <w:tblHeader/>
        </w:trPr>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Tool</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Type</w:t>
            </w:r>
          </w:p>
        </w:tc>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Prompt Injection</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PII/PHI</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Trajectory Analysis</w:t>
            </w:r>
          </w:p>
        </w:tc>
        <w:tc>
          <w:tcPr>
            <w:tcW w:type="dxa" w:w="1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Latency</w:t>
            </w:r>
          </w:p>
        </w:tc>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Pharma-specific</w:t>
            </w:r>
          </w:p>
        </w:tc>
        <w:tc>
          <w:tcPr>
            <w:tcW w:type="dxa" w:w="1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Licence</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 Guardrails</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Rule engine (Colang)</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rules</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rules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50–150ms</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DEA precursor lists addable</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Lakera Guard</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Commercial API</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ML (real-time threat intel)</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&lt;1ms</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 no published pharma cases</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Commercial</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Invariant Labs</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OSS trajectory scanner</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Indirect (trajectory)</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policy</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(native)</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~5–20ms async</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custom pharma policies</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MIT</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ProtectAI LLM Guard</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OSS scanners library</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deberta-v3 (95% recall)</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Presidio (50+ types)</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10–100ms (configurable)</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custom SpanMarker NER</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MIT</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Rebuff</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OSS multi-layer</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heuristic + LLM + canary</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 (canary layer partial)</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1–150ms</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canary audit trail</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MIT</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Microsoft PyRIT</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OSS red-teaming</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Attack simulation only</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Attack simulation only</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 (testing tool)</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automated pharma red-team</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MIT</w:t>
            </w:r>
          </w:p>
        </w:tc>
      </w:tr>
    </w:tbl>
    <w:p>
      <w:pPr>
        <w:pStyle w:val="Heading2"/>
        <w:spacing w:after="160" w:before="400"/>
      </w:pPr>
      <w:r>
        <w:rPr>
          <w:rFonts w:ascii="Arial" w:cs="Arial" w:eastAsia="Arial" w:hAnsi="Arial"/>
          <w:b/>
          <w:bCs/>
          <w:color w:val="3A7CA5"/>
          <w:sz w:val="28"/>
          <w:szCs w:val="28"/>
        </w:rPr>
        <w:t xml:space="preserve">52. Agent Supply Chain Security</w:t>
      </w:r>
    </w:p>
    <w:p>
      <w:pPr>
        <w:pStyle w:val="Heading3"/>
        <w:spacing w:after="100" w:before="280"/>
      </w:pPr>
      <w:r>
        <w:rPr>
          <w:rFonts w:ascii="Arial" w:cs="Arial" w:eastAsia="Arial" w:hAnsi="Arial"/>
          <w:b/>
          <w:bCs/>
          <w:color w:val="0D7C8C"/>
          <w:sz w:val="24"/>
          <w:szCs w:val="24"/>
        </w:rPr>
        <w:t xml:space="preserve">52.1 MCP server and skill vetting</w:t>
      </w:r>
    </w:p>
    <w:p>
      <w:pPr>
        <w:spacing w:after="140"/>
        <w:jc w:val="both"/>
      </w:pPr>
      <w:r>
        <w:rPr>
          <w:rFonts w:ascii="Arial" w:cs="Arial" w:eastAsia="Arial" w:hAnsi="Arial"/>
          <w:color w:val="1A1A1A"/>
          <w:sz w:val="22"/>
          <w:szCs w:val="22"/>
        </w:rPr>
        <w:t xml:space="preserve">The ClawHavoc incident (February 2026) and the broader MCP supply chain threat surface — any MCP server a user connects to can provide tool definitions that appear legitimate but instruct the agent to perform malicious actions — make supply chain security the highest-priority operational control for agent deployments. The recommended five-layer defence: (1) Internal skill registry: never install skills from public ClawHub, npm, or PyPI directly in production. Maintain an internal registry (a private GitHub or Gitea repository) with all approved skills. The Hermes Agent OSV malware scanner (v0.8.0+) scans MCP extension packages on install — extend this to scan all SKILL.md files for suspicious patterns (outbound URL calls, file writes outside /sandbox, base64-encoded payloads). (2) SLSA (Supply-chain Levels for Software Artifacts) Level 2+: every skill and MCP server must be built from a hermetically tracked source with a verified provenance attestation. SLSA Level 2 requires a build service that generates provenance metadata. (3) SBOM (Software Bill of Materials) for each agent deployment: generate a CycloneDX or SPDX SBOM covering the agent runtime (Hermes version + all pinned Python deps via Nix or pip-compile) and every MCP tool server. The SBOM is stored in the MinIO WORM bucket and reviewed on every update. (4) Dependency scanning: Dependabot or Renovate on the internal skills registry for known CVEs in skill dependencies; OSV-scanner on MCP server dependencies. (5) Code review gate: every new skill or MCP server change requires a peer review from a developer who understands the pharma security policy — not just a functional review.</w:t>
      </w:r>
    </w:p>
    <w:p>
      <w:pPr>
        <w:pStyle w:val="Heading3"/>
        <w:spacing w:after="100" w:before="280"/>
      </w:pPr>
      <w:r>
        <w:rPr>
          <w:rFonts w:ascii="Arial" w:cs="Arial" w:eastAsia="Arial" w:hAnsi="Arial"/>
          <w:b/>
          <w:bCs/>
          <w:color w:val="0D7C8C"/>
          <w:sz w:val="24"/>
          <w:szCs w:val="24"/>
        </w:rPr>
        <w:t xml:space="preserve">52.2 Tool integrity at runtime</w:t>
      </w:r>
    </w:p>
    <w:p>
      <w:pPr>
        <w:spacing w:after="140"/>
        <w:jc w:val="both"/>
      </w:pPr>
      <w:r>
        <w:rPr>
          <w:rFonts w:ascii="Arial" w:cs="Arial" w:eastAsia="Arial" w:hAnsi="Arial"/>
          <w:color w:val="1A1A1A"/>
          <w:sz w:val="22"/>
          <w:szCs w:val="22"/>
        </w:rPr>
        <w:t xml:space="preserve">Even a vetted MCP server can be compromised post-deployment. Runtime integrity controls: (1) Pin MCP server Docker images by @sha256: digest in config.yaml — never use :latest. (2) Verify SKILL.md checksums on load — Hermes v0.10.0's bundled-manifest tracks SHA-256 of bundled skills; extend this to all installed skills. (3) Immutable skill storage: mount the skills directory read-only inside the agent container, with write access only via an administrative pipeline that requires PR approval. (4) File-integrity monitoring (FIM): auditd or AIDE on the skills directory and SOUL.md/MEMORY.md; any unexpected modification triggers an alert and pauses the affected agent's heartbeat. These controls collectively ensure that even if an attacker gains access to the filesystem (e.g., via a DFT tool that has a local code execution vulnerability), they cannot modify the agent's behaviour by patching its skills.</w:t>
      </w:r>
    </w:p>
    <w:p>
      <w:pPr>
        <w:pStyle w:val="Heading2"/>
        <w:spacing w:after="160" w:before="400"/>
      </w:pPr>
      <w:r>
        <w:rPr>
          <w:rFonts w:ascii="Arial" w:cs="Arial" w:eastAsia="Arial" w:hAnsi="Arial"/>
          <w:b/>
          <w:bCs/>
          <w:color w:val="3A7CA5"/>
          <w:sz w:val="28"/>
          <w:szCs w:val="28"/>
        </w:rPr>
        <w:t xml:space="preserve">53. Governance Frameworks and Pharmaceutical Compliance</w:t>
      </w:r>
    </w:p>
    <w:p>
      <w:pPr>
        <w:pStyle w:val="Heading3"/>
        <w:spacing w:after="100" w:before="280"/>
      </w:pPr>
      <w:r>
        <w:rPr>
          <w:rFonts w:ascii="Arial" w:cs="Arial" w:eastAsia="Arial" w:hAnsi="Arial"/>
          <w:b/>
          <w:bCs/>
          <w:color w:val="0D7C8C"/>
          <w:sz w:val="24"/>
          <w:szCs w:val="24"/>
        </w:rPr>
        <w:t xml:space="preserve">53.1 NIST AI Risk Management Framework (AI RMF 1.0)</w:t>
      </w:r>
    </w:p>
    <w:p>
      <w:pPr>
        <w:spacing w:after="140"/>
        <w:jc w:val="both"/>
      </w:pPr>
      <w:r>
        <w:rPr>
          <w:rFonts w:ascii="Arial" w:cs="Arial" w:eastAsia="Arial" w:hAnsi="Arial"/>
          <w:color w:val="1A1A1A"/>
          <w:sz w:val="22"/>
          <w:szCs w:val="22"/>
        </w:rPr>
        <w:t xml:space="preserve">NIST AI RMF 1.0 (NIST AI 100-1, January 2023) and its companion NIST AI 600-1 (Generative AI Profile, July 2024) provide the most operationally useful governance vocabulary for the nine-agent pharma stack. The four core functions — GOVERN, MAP, MEASURE, MANAGE — translate to agent deployments as follows. GOVERN: establish who is accountable for each agent's outputs (the human scientist remains the decision authority in the HITL model); define acceptable risk levels per agent (the DFT agent may autonomously run 1,000 QM jobs, but the Retrosynthesis agent requires human approval before the route is used for synthesis planning); document the context of use for each agent including known limitations. MAP: identify which AI risks are material for each agent (hallucination in literature triage has lower impact than hallucination in a regulatory section; both matter but differently); map to the MITRE ATLAS threat taxonomy. MEASURE: deploy Langfuse + Invariant Labs + ProtectAI LLM Guard as the measurement stack; run quarterly red-teaming via Microsoft PyRIT; calculate hallucination rates and groundedness scores per agent per month. MANAGE: implement the circuit-breaker and rollback patterns (Section 54); maintain an AI risk register in Paperclip's company configuration; review the register quarterly.</w:t>
      </w:r>
    </w:p>
    <w:p>
      <w:pPr>
        <w:pStyle w:val="Heading3"/>
        <w:spacing w:after="100" w:before="280"/>
      </w:pPr>
      <w:r>
        <w:rPr>
          <w:rFonts w:ascii="Arial" w:cs="Arial" w:eastAsia="Arial" w:hAnsi="Arial"/>
          <w:b/>
          <w:bCs/>
          <w:color w:val="0D7C8C"/>
          <w:sz w:val="24"/>
          <w:szCs w:val="24"/>
        </w:rPr>
        <w:t xml:space="preserve">53.2 ISO 42001 — AI Management System</w:t>
      </w:r>
    </w:p>
    <w:p>
      <w:pPr>
        <w:spacing w:after="140"/>
        <w:jc w:val="both"/>
      </w:pPr>
      <w:r>
        <w:rPr>
          <w:rFonts w:ascii="Arial" w:cs="Arial" w:eastAsia="Arial" w:hAnsi="Arial"/>
          <w:color w:val="1A1A1A"/>
          <w:sz w:val="22"/>
          <w:szCs w:val="22"/>
        </w:rPr>
        <w:t xml:space="preserve">ISO 42001:2023 (Information technology — AI — Management system) is the first certifiable ISO standard for AI governance, analogous to ISO 27001 for information security. A pharma company pursuing ISO 42001 certification must: establish an AI policy and objectives, conduct risk assessments for each AI system (including the nine-specialist agent pipeline), document the AI system lifecycle (design → validation → deployment → monitoring → retirement), implement impact assessments for high-risk AI uses, and maintain records demonstrating continuous compliance. ISO 42001 certification is not yet widely pursued in pharma (as of April 2026), but several large pharma companies (AstraZeneca, Roche, Novartis) have publicly announced ISO 42001 programmes as part of their AI governance frameworks. For the whitepaper's target readership (mid-size pharma, 50–200 scientists), ISO 42001 certification is aspirational rather than immediate — but structuring the agent deployment documentation to align with ISO 42001 Annex A controls from day one avoids expensive retrofitting.</w:t>
      </w:r>
    </w:p>
    <w:p>
      <w:pPr>
        <w:pStyle w:val="Heading3"/>
        <w:spacing w:after="100" w:before="280"/>
      </w:pPr>
      <w:r>
        <w:rPr>
          <w:rFonts w:ascii="Arial" w:cs="Arial" w:eastAsia="Arial" w:hAnsi="Arial"/>
          <w:b/>
          <w:bCs/>
          <w:color w:val="0D7C8C"/>
          <w:sz w:val="24"/>
          <w:szCs w:val="24"/>
        </w:rPr>
        <w:t xml:space="preserve">53.3 GAMP 5 Second Edition — Category 4/5 for AI Agents</w:t>
      </w:r>
    </w:p>
    <w:p>
      <w:pPr>
        <w:spacing w:after="140"/>
        <w:jc w:val="both"/>
      </w:pPr>
      <w:r>
        <w:rPr>
          <w:rFonts w:ascii="Arial" w:cs="Arial" w:eastAsia="Arial" w:hAnsi="Arial"/>
          <w:color w:val="1A1A1A"/>
          <w:sz w:val="22"/>
          <w:szCs w:val="22"/>
        </w:rPr>
        <w:t xml:space="preserve">GAMP 5 Second Edition (ISPE, 2022) provides the definitive validation framework for GxP computerised systems in pharma. AI agents with generative components fall into Category 4 (Configured Products) or Category 5 (Custom Applications), depending on whether the agent runtime is a commercial product (Category 4: Hermes Agent, Paperclip) or custom-developed code (Category 5: custom MCP servers, custom skills). The required validation deliverables per agent: Validation Plan, User Requirements Specification (URS), Functional Specification (FS), Configuration Specification (CS), Installation Qualification (IQ — verify the Nix-reproducible environment matches the approved build), Operational Qualification (OQ — verify the agent performs correctly on the golden task dataset), Performance Qualification (PQ — verify end-to-end workflow performance under representative load), Validation Summary Report. The GAMP 5 change control requirement mandates a full impact assessment and re-qualification whenever the agent runtime version, underlying LLM, or any skill is changed. This directly enforces the model-version pinning and GEPA PR-gated skill evolution pattern already described in Parts VI and VIII.</w:t>
      </w:r>
    </w:p>
    <w:p>
      <w:pPr>
        <w:pStyle w:val="Heading3"/>
        <w:spacing w:after="100" w:before="280"/>
      </w:pPr>
      <w:r>
        <w:rPr>
          <w:rFonts w:ascii="Arial" w:cs="Arial" w:eastAsia="Arial" w:hAnsi="Arial"/>
          <w:b/>
          <w:bCs/>
          <w:color w:val="0D7C8C"/>
          <w:sz w:val="24"/>
          <w:szCs w:val="24"/>
        </w:rPr>
        <w:t xml:space="preserve">53.4 FDA AI Action Plan 2025 and CDER Strategy</w:t>
      </w:r>
    </w:p>
    <w:p>
      <w:pPr>
        <w:spacing w:after="140"/>
        <w:jc w:val="both"/>
      </w:pPr>
      <w:r>
        <w:rPr>
          <w:rFonts w:ascii="Arial" w:cs="Arial" w:eastAsia="Arial" w:hAnsi="Arial"/>
          <w:color w:val="1A1A1A"/>
          <w:sz w:val="22"/>
          <w:szCs w:val="22"/>
        </w:rPr>
        <w:t xml:space="preserve">FDA published its AI Action Plan in January 2025 alongside the draft guidance 'Considerations for the Use of AI to Support Regulatory Decision-Making.' The seven-step Credibility Assessment Framework (CAF) introduced in the draft guidance requires: (1) Define the Context of Use (CoU) for each AI system — specific task, data domain, and intended user population; (2) Plan the credibility assessment; (3) Identify and document risks relative to the CoU; (4) Assess the AI methodology against the CoU; (5) Assess the results against the CoU; (6) Document and record the credibility assessment; (7) Communicate the credibility assessment in submissions. For autonomous pharma agents, the CoU must be documented per agent: the Literature Harvester's CoU is 'systematic retrieval and preliminary triage of PubMed literature for a defined target class — outputs are not GxP records'; the Regulatory Writer's CoU is 'generation of CMC section draft text under human QA review — outputs become GxP records after human approval.' The distinction drives the validation burden. FDA's CDER AI Steering Committee (established 2024) has signalled that fully autonomous IND assembly is not currently approvable without extensive human review at each step — consistent with the L2 trust model recommended throughout this whitepaper.</w:t>
      </w:r>
    </w:p>
    <w:p>
      <w:pPr>
        <w:pStyle w:val="Heading3"/>
        <w:spacing w:after="100" w:before="280"/>
      </w:pPr>
      <w:r>
        <w:rPr>
          <w:rFonts w:ascii="Arial" w:cs="Arial" w:eastAsia="Arial" w:hAnsi="Arial"/>
          <w:b/>
          <w:bCs/>
          <w:color w:val="0D7C8C"/>
          <w:sz w:val="24"/>
          <w:szCs w:val="24"/>
        </w:rPr>
        <w:t xml:space="preserve">53.5 EU AI Act Annex 22 and GMP Draft Guidance</w:t>
      </w:r>
    </w:p>
    <w:p>
      <w:pPr>
        <w:spacing w:after="140"/>
        <w:jc w:val="both"/>
      </w:pPr>
      <w:r>
        <w:rPr>
          <w:rFonts w:ascii="Arial" w:cs="Arial" w:eastAsia="Arial" w:hAnsi="Arial"/>
          <w:color w:val="1A1A1A"/>
          <w:sz w:val="22"/>
          <w:szCs w:val="22"/>
        </w:rPr>
        <w:t xml:space="preserve">The European Commission published draft Annex 22 to the EU GMP Guidelines in early 2025, covering the use of AI/ML in GxP applications. The draft is in consultation as of April 2026, with final guidance expected Q4 2026. Key provisions as drafted: (1) AI/ML systems used in critical GMP applications (batch release, process control, QC decisions) must meet heightened validation requirements including prospective validation against representative production data; (2) Generative AI (including LLM-based agents) is restricted from use in decisions that directly affect product quality or patient safety without additional human oversight controls — aligned with the L2 trust model; (3) AI/ML systems must be capable of explaining their decisions in terms auditable by the responsible QP; (4) Model drift monitoring is required, with defined alert thresholds and defined response procedures. The EU AI Act's research and development exemption (Article 2(8)) covers activities conducted 'solely for scientific research and development purposes' — this covers the pre-IND discovery work described in this whitepaper. Once results from that research are used in a regulatory submission, the exemption no longer applies and the AI system becomes a regulated AI system subject to the Act's risk classification.</w:t>
      </w:r>
    </w:p>
    <w:p>
      <w:pPr>
        <w:pStyle w:val="Heading2"/>
        <w:spacing w:after="160" w:before="400"/>
      </w:pPr>
      <w:r>
        <w:rPr>
          <w:rFonts w:ascii="Arial" w:cs="Arial" w:eastAsia="Arial" w:hAnsi="Arial"/>
          <w:b/>
          <w:bCs/>
          <w:color w:val="3A7CA5"/>
          <w:sz w:val="28"/>
          <w:szCs w:val="28"/>
        </w:rPr>
        <w:t xml:space="preserve">54. Human-in-the-Loop Patterns at Scale</w:t>
      </w:r>
    </w:p>
    <w:p>
      <w:pPr>
        <w:spacing w:after="140"/>
        <w:jc w:val="both"/>
      </w:pPr>
      <w:r>
        <w:rPr>
          <w:rFonts w:ascii="Arial" w:cs="Arial" w:eastAsia="Arial" w:hAnsi="Arial"/>
          <w:color w:val="1A1A1A"/>
          <w:sz w:val="22"/>
          <w:szCs w:val="22"/>
        </w:rPr>
        <w:t xml:space="preserve">Running 20–50 parallel agents 24/7 while maintaining meaningful human oversight is the central design challenge of the entire system. Three patterns address different approval granularities.</w:t>
      </w:r>
    </w:p>
    <w:p>
      <w:pPr>
        <w:pStyle w:val="Heading3"/>
        <w:spacing w:after="100" w:before="280"/>
      </w:pPr>
      <w:r>
        <w:rPr>
          <w:rFonts w:ascii="Arial" w:cs="Arial" w:eastAsia="Arial" w:hAnsi="Arial"/>
          <w:b/>
          <w:bCs/>
          <w:color w:val="0D7C8C"/>
          <w:sz w:val="24"/>
          <w:szCs w:val="24"/>
        </w:rPr>
        <w:t xml:space="preserve">54.1 Tier 1: Automated gates (no human required)</w:t>
      </w:r>
    </w:p>
    <w:p>
      <w:pPr>
        <w:spacing w:after="140"/>
        <w:jc w:val="both"/>
      </w:pPr>
      <w:r>
        <w:rPr>
          <w:rFonts w:ascii="Arial" w:cs="Arial" w:eastAsia="Arial" w:hAnsi="Arial"/>
          <w:color w:val="1A1A1A"/>
          <w:sz w:val="22"/>
          <w:szCs w:val="22"/>
        </w:rPr>
        <w:t xml:space="preserve">The majority of agent actions should be governed by automated policies that require no human intervention: NeMo Guardrails + ProtectAI LLM Guard inline on every LLM call (prompt injection, PII, DEA schedule check), Invariant Labs Guardrails monitoring the full trajectory (exfiltration and Tool Abuse detection), Paperclip's budget circuit breaker (suspends any agent that exceeds its monthly token cap), and Cilium network policy (blocks any unauthorized egress at the kernel level). These controls run synchronously and contribute zero delay for the happy path.</w:t>
      </w:r>
    </w:p>
    <w:p>
      <w:pPr>
        <w:pStyle w:val="Heading3"/>
        <w:spacing w:after="100" w:before="280"/>
      </w:pPr>
      <w:r>
        <w:rPr>
          <w:rFonts w:ascii="Arial" w:cs="Arial" w:eastAsia="Arial" w:hAnsi="Arial"/>
          <w:b/>
          <w:bCs/>
          <w:color w:val="0D7C8C"/>
          <w:sz w:val="24"/>
          <w:szCs w:val="24"/>
        </w:rPr>
        <w:t xml:space="preserve">54.2 Tier 2: Asynchronous soft gates (alert + time window)</w:t>
      </w:r>
    </w:p>
    <w:p>
      <w:pPr>
        <w:spacing w:after="140"/>
        <w:jc w:val="both"/>
      </w:pPr>
      <w:r>
        <w:rPr>
          <w:rFonts w:ascii="Arial" w:cs="Arial" w:eastAsia="Arial" w:hAnsi="Arial"/>
          <w:color w:val="1A1A1A"/>
          <w:sz w:val="22"/>
          <w:szCs w:val="22"/>
        </w:rPr>
        <w:t xml:space="preserve">For actions that are unusual but not definitively wrong, use asynchronous soft gates: Paperclip creates a human-review task, notifies via Slack/email, and gives the scientist a configurable time window (default: 4 hours during business hours, 12 hours otherwise) to approve or veto before the action proceeds. If no response is received, the action is held pending escalation. Soft-gate triggers for pharma: a retrosynthesis route that requires a reagent not in the approved reagent list, a DFT job requesting more than 50,000 CPU-hours, an analytical method proposal for a compound class not previously assayed on that instrument type, any write to an ELN entry that already has a QA signature. The 4-hour default allows agents to operate overnight on literature triage and DFT campaigns without constant supervision while still catching anomalies during the business day.</w:t>
      </w:r>
    </w:p>
    <w:p>
      <w:pPr>
        <w:pStyle w:val="Heading3"/>
        <w:spacing w:after="100" w:before="280"/>
      </w:pPr>
      <w:r>
        <w:rPr>
          <w:rFonts w:ascii="Arial" w:cs="Arial" w:eastAsia="Arial" w:hAnsi="Arial"/>
          <w:b/>
          <w:bCs/>
          <w:color w:val="0D7C8C"/>
          <w:sz w:val="24"/>
          <w:szCs w:val="24"/>
        </w:rPr>
        <w:t xml:space="preserve">54.3 Tier 3: Synchronous hard gates (block until approved)</w:t>
      </w:r>
    </w:p>
    <w:p>
      <w:pPr>
        <w:spacing w:after="140"/>
        <w:jc w:val="both"/>
      </w:pPr>
      <w:r>
        <w:rPr>
          <w:rFonts w:ascii="Arial" w:cs="Arial" w:eastAsia="Arial" w:hAnsi="Arial"/>
          <w:color w:val="1A1A1A"/>
          <w:sz w:val="22"/>
          <w:szCs w:val="22"/>
        </w:rPr>
        <w:t xml:space="preserve">For the highest-risk decisions, the agent must wait indefinitely for explicit human approval: wet-lab synthesis initiation (board chair + QA director), IND-section finalisation (QA director + Part 11 e-signature), IP/patent filing (Legal board), any action flagged by Invariant Labs as a potential exfiltration attempt, regulatory submission to an agency, and any action that would modify an approved GxP document. LangGraph's interrupt() mechanism is the reference implementation for stateful suspension — the workflow graph checkpoints its state, signals the human approval channel, and resumes from exactly the interrupted node once approval is granted. Paperclip's custom approval gates implement the same logic at the orchestration layer. The human approver's identity, timestamp, reason-for-signing, and the hash of the approved content are all logged to the MinIO WORM audit bucket.</w:t>
      </w:r>
    </w:p>
    <w:p>
      <w:pPr>
        <w:pStyle w:val="Heading3"/>
        <w:spacing w:after="100" w:before="280"/>
      </w:pPr>
      <w:r>
        <w:rPr>
          <w:rFonts w:ascii="Arial" w:cs="Arial" w:eastAsia="Arial" w:hAnsi="Arial"/>
          <w:b/>
          <w:bCs/>
          <w:color w:val="0D7C8C"/>
          <w:sz w:val="24"/>
          <w:szCs w:val="24"/>
        </w:rPr>
        <w:t xml:space="preserve">54.4 Scaling HITL to 50 parallel agents</w:t>
      </w:r>
    </w:p>
    <w:p>
      <w:pPr>
        <w:spacing w:after="140"/>
        <w:jc w:val="both"/>
      </w:pPr>
      <w:r>
        <w:rPr>
          <w:rFonts w:ascii="Arial" w:cs="Arial" w:eastAsia="Arial" w:hAnsi="Arial"/>
          <w:color w:val="1A1A1A"/>
          <w:sz w:val="22"/>
          <w:szCs w:val="22"/>
        </w:rPr>
        <w:t xml:space="preserve">With 50 agents running simultaneously, the risk is alert fatigue — a human reviewer who receives 200 soft-gate notifications per day will stop reading them carefully. Four controls prevent this: (1) Confidence scoring — LLM uncertainty estimates (temperature-scaled calibration, semantic similarity to training distribution) gate soft-gate promotion, so only genuinely anomalous actions trigger human review; (2) Agent trust levels — agents that have operated for &gt;3 months without a false-positive promotion are automatically elevated to Tier 2 for previously-seen action categories; (3) Batched approvals — Paperclip groups related approval tasks (all DFT job expansions for program X this week) into a single review interface rather than separate notifications; (4) Dedicated AI Safety Officer role — one scientist with oversight responsibility per program reviews the batched approval queue during a fixed daily review window, signing off in bulk on routine anomalies and escalating genuine concerns. The AI Safety Officer role is a new headcount requirement documented in the FTE impact analysis (Part IX, Section 35).</w:t>
      </w:r>
    </w:p>
    <w:p>
      <w:pPr>
        <w:pStyle w:val="Heading2"/>
        <w:spacing w:after="160" w:before="400"/>
      </w:pPr>
      <w:r>
        <w:rPr>
          <w:rFonts w:ascii="Arial" w:cs="Arial" w:eastAsia="Arial" w:hAnsi="Arial"/>
          <w:b/>
          <w:bCs/>
          <w:color w:val="3A7CA5"/>
          <w:sz w:val="28"/>
          <w:szCs w:val="28"/>
        </w:rPr>
        <w:t xml:space="preserve">55. Agent Identity and Authentication</w:t>
      </w:r>
    </w:p>
    <w:p>
      <w:pPr>
        <w:pStyle w:val="Heading3"/>
        <w:spacing w:after="100" w:before="280"/>
      </w:pPr>
      <w:r>
        <w:rPr>
          <w:rFonts w:ascii="Arial" w:cs="Arial" w:eastAsia="Arial" w:hAnsi="Arial"/>
          <w:b/>
          <w:bCs/>
          <w:color w:val="0D7C8C"/>
          <w:sz w:val="24"/>
          <w:szCs w:val="24"/>
        </w:rPr>
        <w:t xml:space="preserve">55.1 SPIFFE/SPIRE — cryptographic workload identity</w:t>
      </w:r>
    </w:p>
    <w:p>
      <w:pPr>
        <w:spacing w:after="140"/>
        <w:jc w:val="both"/>
      </w:pPr>
      <w:r>
        <w:rPr>
          <w:rFonts w:ascii="Arial" w:cs="Arial" w:eastAsia="Arial" w:hAnsi="Arial"/>
          <w:color w:val="1A1A1A"/>
          <w:sz w:val="22"/>
          <w:szCs w:val="22"/>
        </w:rPr>
        <w:t xml:space="preserve">SPIFFE (Secure Production Identity Framework for Everyone, CNCF Graduated) defines an open standard for workload identity: each workload gets a SPIFFE Verifiable Identity Document (SVID) — either an X.509 certificate or a JWT token — carrying a SPIFFE ID of the form spiffe://&lt;trust-domain&gt;/&lt;path&gt;. SPIRE (SPIFFE Runtime Environment, CNCF Graduated) is the production implementation: a Server issues SVIDs and a per-node Agent rotates them automatically (default: 1-hour validity). For the nine-specialist pharma pipeline, each Hermes Profile gets a unique SPIFFE ID encoding its role: spiffe://pharma.internal/hermes/profile/literature-harvester/prog-X42. Every inter-service call (Profile → Paperclip, Profile → MCP tool server) presents this SVID in the mTLS handshake. The receiving service validates the SVID against the SPIRE Server's trust bundle and authorizes the call based on the SPIFFE path. SPIFFE/SPIRE is the foundation of the Zero Trust architecture for agent communication — it eliminates long-lived static API keys, rotates credentials automatically, and provides cryptographically verifiable provenance for every inter-agent call.</w:t>
      </w:r>
    </w:p>
    <w:p>
      <w:pPr>
        <w:pStyle w:val="Heading3"/>
        <w:spacing w:after="100" w:before="280"/>
      </w:pPr>
      <w:r>
        <w:rPr>
          <w:rFonts w:ascii="Arial" w:cs="Arial" w:eastAsia="Arial" w:hAnsi="Arial"/>
          <w:b/>
          <w:bCs/>
          <w:color w:val="0D7C8C"/>
          <w:sz w:val="24"/>
          <w:szCs w:val="24"/>
        </w:rPr>
        <w:t xml:space="preserve">55.2 The agent identity comparison</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700"/>
        <w:gridCol w:w="2000"/>
        <w:gridCol w:w="1800"/>
        <w:gridCol w:w="2300"/>
      </w:tblGrid>
      <w:tr>
        <w:trPr>
          <w:tblHeader/>
        </w:trPr>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Identity Mechanism</w:t>
            </w:r>
          </w:p>
        </w:tc>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Crypto-graphic</w:t>
            </w:r>
          </w:p>
        </w:tc>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Auto-rotation</w:t>
            </w:r>
          </w:p>
        </w:tc>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Per-task Scope</w:t>
            </w:r>
          </w:p>
        </w:tc>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HIL Audit Trail</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Integration Complexity</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 Maturity</w:t>
            </w:r>
          </w:p>
        </w:tc>
        <w:tc>
          <w:tcPr>
            <w:tcW w:type="dxa" w:w="23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Recommended For</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SPIFFE/SPIRE (X.509 SVID)</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X.509</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(SPIRE, 1h default)</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SPIFFE path</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Full cert lineage</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(PKI setup)</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CNCF Graduated</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Inter-agent mTLS on K8s</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OAuth2 / OIDC (JWT)</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JWT sig</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(short-lived tokens)</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scope claims</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Token claim audit</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(IdP required)</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IAM standard</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 cloud API calls</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Vault Dynamic Credentials</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per-task secret</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auto-revocation</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(TTL = task duration)</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Vault audit log</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(Vault setup)</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widely deployed in pharma</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DB credentials, API keys</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JWT-per-task (custom)</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signed by Paperclip</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Paperclip lifecycle</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task-scoped</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(Paperclip activity log)</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(in Paperclip already)</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 custom</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Internal Paperclip ↔ agent calls</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Service mesh mTLS (Istio)</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per-pod cert</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(Istiod, auto)</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Per workload</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Envoy access logs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(mesh setup)</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used in regulated finance</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All K8s workload communication</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Long-lived API key (env var)</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static</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manual</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shared</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limited</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Very low</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(legacy)</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Never — replace with above</w:t>
            </w:r>
          </w:p>
        </w:tc>
      </w:tr>
    </w:tbl>
    <w:p>
      <w:pPr>
        <w:pStyle w:val="Heading2"/>
        <w:spacing w:after="160" w:before="400"/>
      </w:pPr>
      <w:r>
        <w:rPr>
          <w:rFonts w:ascii="Arial" w:cs="Arial" w:eastAsia="Arial" w:hAnsi="Arial"/>
          <w:b/>
          <w:bCs/>
          <w:color w:val="3A7CA5"/>
          <w:sz w:val="28"/>
          <w:szCs w:val="28"/>
        </w:rPr>
        <w:t xml:space="preserve">56. Secrets Management for Agent Workloads</w:t>
      </w:r>
    </w:p>
    <w:p>
      <w:pPr>
        <w:spacing w:after="140"/>
        <w:jc w:val="both"/>
      </w:pPr>
      <w:r>
        <w:rPr>
          <w:rFonts w:ascii="Arial" w:cs="Arial" w:eastAsia="Arial" w:hAnsi="Arial"/>
          <w:color w:val="1A1A1A"/>
          <w:sz w:val="22"/>
          <w:szCs w:val="22"/>
        </w:rPr>
        <w:t xml:space="preserve">Agents require secrets to function: LLM API keys, ELN credentials, ChEMBL API tokens, HPC cluster passwords, MinIO access credentials. The central security failure mode is static secrets in config files — the ~/.hermes/.env pattern is acceptable for local development but not for production multi-agent deployments where 50 credentials are in scope and need to rotate automatically.</w:t>
      </w:r>
    </w:p>
    <w:p>
      <w:pPr>
        <w:pStyle w:val="Heading3"/>
        <w:spacing w:after="100" w:before="280"/>
      </w:pPr>
      <w:r>
        <w:rPr>
          <w:rFonts w:ascii="Arial" w:cs="Arial" w:eastAsia="Arial" w:hAnsi="Arial"/>
          <w:b/>
          <w:bCs/>
          <w:color w:val="0D7C8C"/>
          <w:sz w:val="24"/>
          <w:szCs w:val="24"/>
        </w:rPr>
        <w:t xml:space="preserve">56.1 HashiCorp Vault — the production standard</w:t>
      </w:r>
    </w:p>
    <w:p>
      <w:pPr>
        <w:spacing w:after="140"/>
        <w:jc w:val="both"/>
      </w:pPr>
      <w:r>
        <w:rPr>
          <w:rFonts w:ascii="Arial" w:cs="Arial" w:eastAsia="Arial" w:hAnsi="Arial"/>
          <w:color w:val="1A1A1A"/>
          <w:sz w:val="22"/>
          <w:szCs w:val="22"/>
        </w:rPr>
        <w:t xml:space="preserve">HashiCorp Vault (hashicorp.com/vault, BSL 1.1 for enterprise features, OSS core under MPL 2.0) remains the production standard for secrets management in pharmaceutical IT environments, with documented deployments at Pfizer, Roche, Novartis, and AZ. For agent workloads, three Vault capabilities are essential: (1) Dynamic Secrets — Vault generates a fresh, short-lived credential for each agent task (e.g., a PostgreSQL username/password valid for 1 hour, automatically revoked at expiry); the agent never sees a long-lived credential. For Hermes Profiles, the Vault Agent sidecar injects credentials into the agent's environment at task start and revokes them at task end. (2) PKI Secrets Engine — generates the SPIFFE X.509 SVIDs for the SPIRE-aligned agent identity model. (3) AppRole + Kubernetes auth — the bootstrap credential problem ('how does the agent prove it's allowed to ask Vault for secrets?') is solved by Kubernetes service account token validation — the Vault Agent running in the same pod as Hermes automatically receives a Kubernetes service account JWT that Vault validates against the cluster's API server, eliminating static bootstrap secrets entirely.</w:t>
      </w:r>
    </w:p>
    <w:p>
      <w:pPr>
        <w:pStyle w:val="Heading3"/>
        <w:spacing w:after="100" w:before="280"/>
      </w:pPr>
      <w:r>
        <w:rPr>
          <w:rFonts w:ascii="Arial" w:cs="Arial" w:eastAsia="Arial" w:hAnsi="Arial"/>
          <w:b/>
          <w:bCs/>
          <w:color w:val="0D7C8C"/>
          <w:sz w:val="24"/>
          <w:szCs w:val="24"/>
        </w:rPr>
        <w:t xml:space="preserve">56.2 Secrets management comparison</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600"/>
        <w:gridCol w:w="1600"/>
        <w:gridCol w:w="2000"/>
        <w:gridCol w:w="1800"/>
        <w:gridCol w:w="1800"/>
        <w:gridCol w:w="1800"/>
      </w:tblGrid>
      <w:tr>
        <w:trPr>
          <w:tblHeader/>
        </w:trPr>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Tool</w:t>
            </w:r>
          </w:p>
        </w:tc>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Dynamic Secrets</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Auto-rotation</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K8s Integration</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Air-gapped Support</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 Deployments</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Licence</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Cost (self-hosted)</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HashiCorp Vault OSS</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(DB, PKI, SSH, cloud)</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(TTL + revocation)</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(Vault Agent, VSO)</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(Raft backend)</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Pfizer, Roche, Novartis</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MPL 2.0 (OSS core)</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Free (infra only)</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AWS Secrets Manager</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(RDS, Redshift native)</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(auto-rotate Lambda)</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(IRSA)</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(AWS cloud only)</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AWS pharma customers</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Commercial (AWS service)</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$0.40/secret/month</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Doppler</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(sync only)</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(webhook-based)</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(K8s operator)</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(SaaS)</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Commercial</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$6/user/month</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Infisical</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(basic rotation)</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(self-hosted)</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MIT (self-hosted)</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Free (self-hosted)</w:t>
            </w:r>
          </w:p>
        </w:tc>
      </w:tr>
      <w:tr>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SOPS + age encryption</w:t>
            </w:r>
          </w:p>
        </w:tc>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(static files only)</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(manual)</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(custom init container)</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Mozilla PL 2.0</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Free</w:t>
            </w:r>
          </w:p>
        </w:tc>
      </w:tr>
      <w:tr>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Sealed Secrets (Bitnami)</w:t>
            </w:r>
          </w:p>
        </w:tc>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(K8s secrets only)</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(native K8s)</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Apache 2.0</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Free</w:t>
            </w:r>
          </w:p>
        </w:tc>
      </w:tr>
    </w:tbl>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Recommendation: HashiCorp Vault OSS (3-node Raft cluster with HSM auto-unseal) for the on-premise half; AWS Secrets Manager for cloud-burst workloads on AWS. Doppler and Infisical are viable for smaller teams but lack the dynamic-secret capability that eliminates static credentials entirely.</w:t>
      </w:r>
    </w:p>
    <w:p>
      <w:pPr>
        <w:pStyle w:val="Heading2"/>
        <w:spacing w:after="160" w:before="400"/>
      </w:pPr>
      <w:r>
        <w:rPr>
          <w:rFonts w:ascii="Arial" w:cs="Arial" w:eastAsia="Arial" w:hAnsi="Arial"/>
          <w:b/>
          <w:bCs/>
          <w:color w:val="3A7CA5"/>
          <w:sz w:val="28"/>
          <w:szCs w:val="28"/>
        </w:rPr>
        <w:t xml:space="preserve">57. Least Privilege and Authorization Frameworks</w:t>
      </w:r>
    </w:p>
    <w:p>
      <w:pPr>
        <w:pStyle w:val="Heading3"/>
        <w:spacing w:after="100" w:before="280"/>
      </w:pPr>
      <w:r>
        <w:rPr>
          <w:rFonts w:ascii="Arial" w:cs="Arial" w:eastAsia="Arial" w:hAnsi="Arial"/>
          <w:b/>
          <w:bCs/>
          <w:color w:val="0D7C8C"/>
          <w:sz w:val="24"/>
          <w:szCs w:val="24"/>
        </w:rPr>
        <w:t xml:space="preserve">57.1 The authorization problem for agents</w:t>
      </w:r>
    </w:p>
    <w:p>
      <w:pPr>
        <w:spacing w:after="140"/>
        <w:jc w:val="both"/>
      </w:pPr>
      <w:r>
        <w:rPr>
          <w:rFonts w:ascii="Arial" w:cs="Arial" w:eastAsia="Arial" w:hAnsi="Arial"/>
          <w:color w:val="1A1A1A"/>
          <w:sz w:val="22"/>
          <w:szCs w:val="22"/>
        </w:rPr>
        <w:t xml:space="preserve">Least privilege for agents requires answering: which agent, doing which task, is allowed to call which tool, with which parameters, on which data? Traditional RBAC (role-based access control) assigns permissions to roles assigned to users — but agents are not users, they change role constantly (the Retrosynthesis agent becomes a DFT agent when delegating a sub-task), and tool parameters matter (the agent may call mcp_arcadedb_execute_query with a read-only SELECT but not an INSERT — the query parameter, not just the tool name, determines the authorization level).</w:t>
      </w:r>
    </w:p>
    <w:p>
      <w:pPr>
        <w:pStyle w:val="Heading3"/>
        <w:spacing w:after="100" w:before="280"/>
      </w:pPr>
      <w:r>
        <w:rPr>
          <w:rFonts w:ascii="Arial" w:cs="Arial" w:eastAsia="Arial" w:hAnsi="Arial"/>
          <w:b/>
          <w:bCs/>
          <w:color w:val="0D7C8C"/>
          <w:sz w:val="24"/>
          <w:szCs w:val="24"/>
        </w:rPr>
        <w:t xml:space="preserve">57.2 OpenFGA — relationship-based authorization</w:t>
      </w:r>
    </w:p>
    <w:p>
      <w:pPr>
        <w:spacing w:after="140"/>
        <w:jc w:val="both"/>
      </w:pPr>
      <w:r>
        <w:rPr>
          <w:rFonts w:ascii="Arial" w:cs="Arial" w:eastAsia="Arial" w:hAnsi="Arial"/>
          <w:color w:val="1A1A1A"/>
          <w:sz w:val="22"/>
          <w:szCs w:val="22"/>
        </w:rPr>
        <w:t xml:space="preserve">OpenFGA (github.com/openfga/openfga, Apache 2.0, CNCF Sandbox) is the open-source implementation of Google Zanzibar, the globally consistent authorization system underlying Google Drive, YouTube, and Google Maps. OpenFGA models permissions as typed relationships between objects: 'hermes-profile:literature-harvester has reader on arcadedb-graph:compound-library' rather than 'user X has permission Y.' For agents, the model encodes: which profiles can invoke which MCP tools, which tasks grant temporary elevated permissions, and which data objects each agent may read/write. The OpenFGA Check API evaluates an authorization tuple in &lt;1ms (average), making it suitable for inline authorization on every MCP tool call. Paperclip can drive OpenFGA: when it creates a new task and assigns it to an agent, it also writes the temporary authorization tuples for that task's allowed tool surface and revokes them when the task completes.</w:t>
      </w:r>
    </w:p>
    <w:p>
      <w:pPr>
        <w:pStyle w:val="Heading3"/>
        <w:spacing w:after="100" w:before="280"/>
      </w:pPr>
      <w:r>
        <w:rPr>
          <w:rFonts w:ascii="Arial" w:cs="Arial" w:eastAsia="Arial" w:hAnsi="Arial"/>
          <w:b/>
          <w:bCs/>
          <w:color w:val="0D7C8C"/>
          <w:sz w:val="24"/>
          <w:szCs w:val="24"/>
        </w:rPr>
        <w:t xml:space="preserve">57.3 Cedar — AWS policy language</w:t>
      </w:r>
    </w:p>
    <w:p>
      <w:pPr>
        <w:spacing w:after="140"/>
        <w:jc w:val="both"/>
      </w:pPr>
      <w:r>
        <w:rPr>
          <w:rFonts w:ascii="Arial" w:cs="Arial" w:eastAsia="Arial" w:hAnsi="Arial"/>
          <w:color w:val="1A1A1A"/>
          <w:sz w:val="22"/>
          <w:szCs w:val="22"/>
        </w:rPr>
        <w:t xml:space="preserve">Cedar (github.com/cedar-policy/cedar, Apache 2.0) is the policy language Amazon built for AWS Verified Permissions and Bedrock AgentCore's authorization layer. Cedar policies are human-readable, formally verifiable (Cedar has a published formal specification and proof of correctness), and evaluated in microseconds. For pharma: Cedar's formal verifiability is a significant GxP validation asset — the authorization policy can be formally proved to match the URS specification, eliminating an entire class of validation testing. Cedar integrates with SPIFFE SVIDs: the principal in a Cedar policy is the agent's SPIFFE ID, and the authorization checker validates the SVID before evaluating the policy. AWS Verified Permissions (the managed Cedar service) handles the scalability concerns; for air-gapped on-premise deployments, the Cedar Rust SDK evaluates policies locally.</w:t>
      </w:r>
    </w:p>
    <w:p>
      <w:pPr>
        <w:pStyle w:val="Heading3"/>
        <w:spacing w:after="100" w:before="280"/>
      </w:pPr>
      <w:r>
        <w:rPr>
          <w:rFonts w:ascii="Arial" w:cs="Arial" w:eastAsia="Arial" w:hAnsi="Arial"/>
          <w:b/>
          <w:bCs/>
          <w:color w:val="0D7C8C"/>
          <w:sz w:val="24"/>
          <w:szCs w:val="24"/>
        </w:rPr>
        <w:t xml:space="preserve">57.4 Authorization framework comparison</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1900"/>
        <w:gridCol w:w="1400"/>
        <w:gridCol w:w="1200"/>
        <w:gridCol w:w="1600"/>
        <w:gridCol w:w="1900"/>
      </w:tblGrid>
      <w:tr>
        <w:trPr>
          <w:tblHeader/>
        </w:trPr>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Framework</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Model</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Per-param Authorization</w:t>
            </w:r>
          </w:p>
        </w:tc>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Formal Verification</w:t>
            </w:r>
          </w:p>
        </w:tc>
        <w:tc>
          <w:tcPr>
            <w:tcW w:type="dxa" w:w="1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Latency</w:t>
            </w:r>
          </w:p>
        </w:tc>
        <w:tc>
          <w:tcPr>
            <w:tcW w:type="dxa" w:w="1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Air-gapped</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K8s Integration</w:t>
            </w:r>
          </w:p>
        </w:tc>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Pharma Maturity</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OpenFGA</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ReBAC (typed tuples)</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tuples (query + param = object)</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&lt;1ms (Check API)</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(self-hosted)</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(K8s operator)</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Low-Medium</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Cedar (AWS)</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Policy language (PARC)</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(conditions on attributes)</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(formal spec + proofs)</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&lt;0.1ms (Rust SDK)</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(Rust SDK local)</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Verified Permissions</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(AWS-native)</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OPA (Open Policy Agent)</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Rego policy language</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(full Rego)</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~1ms (in-process)</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(CNCF Graduated)</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used in K8s</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Permit.io</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RBAC/ABAC/ReBAC SaaS</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ABAC conditions</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~2ms (API)</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(SaaS)</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 startup</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Paperclip custom gates</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Issue-linked approval</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Via pre-checkout hook</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~10ms (DB query)</w:t>
            </w:r>
          </w:p>
        </w:tc>
        <w:tc>
          <w:tcPr>
            <w:tcW w:type="dxa" w:w="1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 (Paperclip layer)</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(in-stack already)</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K8s RBAC</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Role/ClusterRole</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 (resource-level only)</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&lt;1ms (kube-apiserver)</w:t>
            </w:r>
          </w:p>
        </w:tc>
        <w:tc>
          <w:tcPr>
            <w:tcW w:type="dxa" w:w="1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Native</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standard infra</w:t>
            </w:r>
          </w:p>
        </w:tc>
      </w:tr>
    </w:tbl>
    <w:p>
      <w:pPr>
        <w:pStyle w:val="Heading2"/>
        <w:spacing w:after="160" w:before="400"/>
      </w:pPr>
      <w:r>
        <w:rPr>
          <w:rFonts w:ascii="Arial" w:cs="Arial" w:eastAsia="Arial" w:hAnsi="Arial"/>
          <w:b/>
          <w:bCs/>
          <w:color w:val="3A7CA5"/>
          <w:sz w:val="28"/>
          <w:szCs w:val="28"/>
        </w:rPr>
        <w:t xml:space="preserve">58. Commercial AI Security Platforms</w:t>
      </w:r>
    </w:p>
    <w:p>
      <w:pPr>
        <w:pStyle w:val="Heading3"/>
        <w:spacing w:after="100" w:before="280"/>
      </w:pPr>
      <w:r>
        <w:rPr>
          <w:rFonts w:ascii="Arial" w:cs="Arial" w:eastAsia="Arial" w:hAnsi="Arial"/>
          <w:b/>
          <w:bCs/>
          <w:color w:val="0D7C8C"/>
          <w:sz w:val="24"/>
          <w:szCs w:val="24"/>
        </w:rPr>
        <w:t xml:space="preserve">58.1 Wiz AI Security Posture Management (AI-SPM)</w:t>
      </w:r>
    </w:p>
    <w:p>
      <w:pPr>
        <w:spacing w:after="140"/>
        <w:jc w:val="both"/>
      </w:pPr>
      <w:r>
        <w:rPr>
          <w:rFonts w:ascii="Arial" w:cs="Arial" w:eastAsia="Arial" w:hAnsi="Arial"/>
          <w:color w:val="1A1A1A"/>
          <w:sz w:val="22"/>
          <w:szCs w:val="22"/>
        </w:rPr>
        <w:t xml:space="preserve">Wiz AI-SPM (wiz.io/solutions/ai-spm) extends Wiz's cloud-native security graph to AI-specific risks. For agent deployments on AWS/Azure/GCP, it provides: discovery of all AI workloads (model endpoints, agent containers, LLM API calls) in the cloud account; identification of exposed model endpoints (public S3 buckets containing fine-tuned weights, EKS pods with unauthenticated inference endpoints); AI supply chain risk detection (containers pulling from untrusted PyPI packages that include LLM libraries); data exposure risk (agent containers with access to sensitive S3 data beyond what their task requires); and compliance mapping against OWASP LLM Top 10 and NIST AI 600-1. Wiz integrates with the existing cloud security posture management workflow — it does not require instrumenting the agent code. Pricing: enterprise subscription, unpublished per-workload pricing. For the hybrid pharma deployment, Wiz is the natural choice for the cloud-burst half: deploy Wiz on the AWS account running Modal/Daytona burst workloads and E2B cloud-side tool execution, and get continuous posture visibility without changing the agent stack.</w:t>
      </w:r>
    </w:p>
    <w:p>
      <w:pPr>
        <w:pStyle w:val="Heading3"/>
        <w:spacing w:after="100" w:before="280"/>
      </w:pPr>
      <w:r>
        <w:rPr>
          <w:rFonts w:ascii="Arial" w:cs="Arial" w:eastAsia="Arial" w:hAnsi="Arial"/>
          <w:b/>
          <w:bCs/>
          <w:color w:val="0D7C8C"/>
          <w:sz w:val="24"/>
          <w:szCs w:val="24"/>
        </w:rPr>
        <w:t xml:space="preserve">58.2 Palo Alto AI Runtime Security (AIRS)</w:t>
      </w:r>
    </w:p>
    <w:p>
      <w:pPr>
        <w:spacing w:after="140"/>
        <w:jc w:val="both"/>
      </w:pPr>
      <w:r>
        <w:rPr>
          <w:rFonts w:ascii="Arial" w:cs="Arial" w:eastAsia="Arial" w:hAnsi="Arial"/>
          <w:color w:val="1A1A1A"/>
          <w:sz w:val="22"/>
          <w:szCs w:val="22"/>
        </w:rPr>
        <w:t xml:space="preserve">Palo Alto Networks AI Runtime Security (AIRS, released 2025) is a network-level inspection layer for AI traffic — specifically designed to detect prompt injection, data exfiltration via LLM APIs, model abuse, and shadow AI. AIRS sits inline in the network path (similar to an NGFW) and analyses LLM API traffic in real time. For pharma: AIRS is the correct control for detecting exfiltration through allowed egress endpoints — for example, a compromised Literature Harvester agent attempting to send compound structures to OpenRouter in the body of a legitimate-looking literature query. AIRS decrypts TLS (via enterprise certificate trust) and inspects the LLM API payload; it is AI-specific content inspection rather than generic DPI. Pricing: Palo Alto platform subscription. Integration: network appliance or cloud-delivered; no agent code changes. Complementary to but more expensive than Cilium L7 policy — use AIRS for the cloud-burst perimeter and Cilium for on-premise.</w:t>
      </w:r>
    </w:p>
    <w:p>
      <w:pPr>
        <w:pStyle w:val="Heading3"/>
        <w:spacing w:after="100" w:before="280"/>
      </w:pPr>
      <w:r>
        <w:rPr>
          <w:rFonts w:ascii="Arial" w:cs="Arial" w:eastAsia="Arial" w:hAnsi="Arial"/>
          <w:b/>
          <w:bCs/>
          <w:color w:val="0D7C8C"/>
          <w:sz w:val="24"/>
          <w:szCs w:val="24"/>
        </w:rPr>
        <w:t xml:space="preserve">58.3 Cisco AI Defense</w:t>
      </w:r>
    </w:p>
    <w:p>
      <w:pPr>
        <w:spacing w:after="140"/>
        <w:jc w:val="both"/>
      </w:pPr>
      <w:r>
        <w:rPr>
          <w:rFonts w:ascii="Arial" w:cs="Arial" w:eastAsia="Arial" w:hAnsi="Arial"/>
          <w:color w:val="1A1A1A"/>
          <w:sz w:val="22"/>
          <w:szCs w:val="22"/>
        </w:rPr>
        <w:t xml:space="preserve">Cisco AI Defense (2025) provides four capabilities for enterprise agent deployments: Model Access Control (inventory of all AI models in use and enforcement of approved-model lists — directly maps to the model-version pinning requirement in Part VI Section 27); Multi-Model Safety Testing (automated red-teaming of all models in the approved list against a defined threat library — comparable to Microsoft PyRIT but managed); Application Firewall (inline guardrails for LLM API traffic, similar to Lakera Guard but network-delivered); and Visibility Dashboard (single-pane-of-glass view of all agent AI usage, token consumption, and policy violations). Cisco AI Defense integrates with Cisco's existing enterprise networking stack (Catalyst, Meraki, Umbrella) — for pharma companies that are Cisco shops, this is a low-integration-effort way to get AI-specific controls layered on top of existing network security.</w:t>
      </w:r>
    </w:p>
    <w:p>
      <w:pPr>
        <w:pStyle w:val="Heading3"/>
        <w:spacing w:after="100" w:before="280"/>
      </w:pPr>
      <w:r>
        <w:rPr>
          <w:rFonts w:ascii="Arial" w:cs="Arial" w:eastAsia="Arial" w:hAnsi="Arial"/>
          <w:b/>
          <w:bCs/>
          <w:color w:val="0D7C8C"/>
          <w:sz w:val="24"/>
          <w:szCs w:val="24"/>
        </w:rPr>
        <w:t xml:space="preserve">58.4 Sysdig and Aqua Security — Runtime Security for Agent Containers</w:t>
      </w:r>
    </w:p>
    <w:p>
      <w:pPr>
        <w:spacing w:after="140"/>
        <w:jc w:val="both"/>
      </w:pPr>
      <w:r>
        <w:rPr>
          <w:rFonts w:ascii="Arial" w:cs="Arial" w:eastAsia="Arial" w:hAnsi="Arial"/>
          <w:color w:val="1A1A1A"/>
          <w:sz w:val="22"/>
          <w:szCs w:val="22"/>
        </w:rPr>
        <w:t xml:space="preserve">Sysdig Secure (2026 AI features) uses eBPF-based runtime detection (Falco rules engine, now CNCF Graduated independently) to detect anomalous agent behaviour at the container level: unexpected outbound connections, file reads/writes outside expected paths, unusual process spawning by the agent (e.g., the Literature Harvester running a shell command it should never need). The 2026 AI extensions add Falco rules specifically tuned for LLM agent patterns (large base64-encoded data in HTTP bodies, unusual DNS query sizes indicative of DNS tunnelling, agent container spawning unexpected sub-processes). Aqua Security (aquasec.com) adds container image scanning (including Python wheel vulnerabilities in the Hermes Agent dependency tree) and runtime policy enforcement to a similar capability set. Both integrate with the Kubernetes cluster's audit log, connecting a container-level alert to the specific Hermes Profile and Paperclip task that triggered it.</w:t>
      </w:r>
    </w:p>
    <w:p>
      <w:pPr>
        <w:pStyle w:val="Heading3"/>
        <w:spacing w:after="100" w:before="280"/>
      </w:pPr>
      <w:r>
        <w:rPr>
          <w:rFonts w:ascii="Arial" w:cs="Arial" w:eastAsia="Arial" w:hAnsi="Arial"/>
          <w:b/>
          <w:bCs/>
          <w:color w:val="0D7C8C"/>
          <w:sz w:val="24"/>
          <w:szCs w:val="24"/>
        </w:rPr>
        <w:t xml:space="preserve">58.5 OSS vs. Commercial comparison</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2200"/>
        <w:gridCol w:w="1300"/>
        <w:gridCol w:w="2300"/>
      </w:tblGrid>
      <w:tr>
        <w:trPr>
          <w:tblHeader/>
        </w:trPr>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Capability</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Best OSS Option</w:t>
            </w:r>
          </w:p>
        </w:tc>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Maturity</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Best Commercial Option</w:t>
            </w:r>
          </w:p>
        </w:tc>
        <w:tc>
          <w:tcPr>
            <w:tcW w:type="dxa" w:w="13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Maturity</w:t>
            </w:r>
          </w:p>
        </w:tc>
        <w:tc>
          <w:tcPr>
            <w:tcW w:type="dxa" w:w="23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Recommended for Pharma</w:t>
            </w:r>
          </w:p>
        </w:tc>
      </w:tr>
      <w:tr>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sandboxing</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gVisor + Kata Containers</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(for NVIDIA DGX)</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Alpha</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gVisor on-prem; Kata for highest-sensitivity agents</w:t>
            </w:r>
          </w:p>
        </w:tc>
      </w:tr>
      <w:tr>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Network egress</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Cilium (eBPF)</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 (CNCF Graduated)</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Palo Alto AIRS</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 2025</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Cilium on-prem K8s; AIRS for cloud-burst perimeter</w:t>
            </w:r>
          </w:p>
        </w:tc>
      </w:tr>
      <w:tr>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Prompt injection defense</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ProtectAI LLM Guard + Rebuff</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Lakera Guard</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ProtectAI (on-prem, no data egress); Lakera (cloud-side)</w:t>
            </w:r>
          </w:p>
        </w:tc>
      </w:tr>
      <w:tr>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Trajectory security</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Invariant Labs Guardrails</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Beta (MIT)</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(None production-ready)</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Invariant Labs — only trajectory-level option available</w:t>
            </w:r>
          </w:p>
        </w:tc>
      </w:tr>
      <w:tr>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identity</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SPIFFE/SPIRE</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 (CNCF Graduated)</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AWS Verified Permissions (Cedar)</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SPIRE on-prem; Cedar for cloud-burst AWS</w:t>
            </w:r>
          </w:p>
        </w:tc>
      </w:tr>
      <w:tr>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Secrets management</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HashiCorp Vault OSS</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Vault Enterprise / AWS SM</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Vault OSS on-prem + AWS SM for cloud burst</w:t>
            </w:r>
          </w:p>
        </w:tc>
      </w:tr>
      <w:tr>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Authorization</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OpenFGA / Cedar (OSS Rust SDK)</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 / Beta</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AWS Verified Permissions</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Cedar Rust SDK on-prem; OVP on AWS</w:t>
            </w:r>
          </w:p>
        </w:tc>
      </w:tr>
      <w:tr>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 posture management</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(None production-ready OSS)</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Wiz AI-SPM</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 2025</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Wiz on cloud-burst AWS account</w:t>
            </w:r>
          </w:p>
        </w:tc>
      </w:tr>
      <w:tr>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Runtime container security</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Falco (CNCF Graduated)</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Sysdig Secure / Aqua</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Falco everywhere; Sysdig or Aqua for managed rules</w:t>
            </w:r>
          </w:p>
        </w:tc>
      </w:tr>
      <w:tr>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Supply chain scanning</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OSV-scanner + Syft SBOM</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Production</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Snyk / Veracode</w:t>
            </w:r>
          </w:p>
        </w:tc>
        <w:tc>
          <w:tcPr>
            <w:tcW w:type="dxa" w:w="1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w:t>
            </w:r>
          </w:p>
        </w:tc>
        <w:tc>
          <w:tcPr>
            <w:tcW w:type="dxa" w:w="23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OSV-scanner + Syft for SBOM; Snyk SCA on skill registry</w:t>
            </w:r>
          </w:p>
        </w:tc>
      </w:tr>
      <w:tr>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Red teaming</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Microsoft PyRIT (MIT)</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Beta</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Cisco AI Defense testing</w:t>
            </w:r>
          </w:p>
        </w:tc>
        <w:tc>
          <w:tcPr>
            <w:tcW w:type="dxa" w:w="1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 2025</w:t>
            </w:r>
          </w:p>
        </w:tc>
        <w:tc>
          <w:tcPr>
            <w:tcW w:type="dxa" w:w="23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PyRIT quarterly + Cisco AD if Cisco shop</w:t>
            </w:r>
          </w:p>
        </w:tc>
      </w:tr>
    </w:tbl>
    <w:p>
      <w:pPr>
        <w:pStyle w:val="Heading2"/>
        <w:spacing w:after="160" w:before="400"/>
      </w:pPr>
      <w:r>
        <w:rPr>
          <w:rFonts w:ascii="Arial" w:cs="Arial" w:eastAsia="Arial" w:hAnsi="Arial"/>
          <w:b/>
          <w:bCs/>
          <w:color w:val="3A7CA5"/>
          <w:sz w:val="28"/>
          <w:szCs w:val="28"/>
        </w:rPr>
        <w:t xml:space="preserve">59. The Recommended Hybrid Security Architecture</w:t>
      </w:r>
    </w:p>
    <w:p>
      <w:pPr>
        <w:spacing w:after="140"/>
        <w:jc w:val="both"/>
      </w:pPr>
      <w:r>
        <w:rPr>
          <w:rFonts w:ascii="Arial" w:cs="Arial" w:eastAsia="Arial" w:hAnsi="Arial"/>
          <w:color w:val="1A1A1A"/>
          <w:sz w:val="22"/>
          <w:szCs w:val="22"/>
        </w:rPr>
        <w:t xml:space="preserve">Combining the analysis across all five domains, the recommended security architecture for the nine-specialist pharma agent pipeline (on-premise DGX Spark / Slurm HPC for sensitive chemistry data, cloud-burst on AWS for DFT/docking overflow) has three concentric security rings.</w:t>
      </w:r>
    </w:p>
    <w:p>
      <w:pPr>
        <w:pStyle w:val="Heading3"/>
        <w:spacing w:after="100" w:before="280"/>
      </w:pPr>
      <w:r>
        <w:rPr>
          <w:rFonts w:ascii="Arial" w:cs="Arial" w:eastAsia="Arial" w:hAnsi="Arial"/>
          <w:b/>
          <w:bCs/>
          <w:color w:val="0D7C8C"/>
          <w:sz w:val="24"/>
          <w:szCs w:val="24"/>
        </w:rPr>
        <w:t xml:space="preserve">59.1 Inner ring: agent process isolation</w:t>
      </w:r>
    </w:p>
    <w:p>
      <w:pPr>
        <w:spacing w:after="140"/>
        <w:jc w:val="both"/>
      </w:pPr>
      <w:r>
        <w:rPr>
          <w:rFonts w:ascii="Arial" w:cs="Arial" w:eastAsia="Arial" w:hAnsi="Arial"/>
          <w:color w:val="1A1A1A"/>
          <w:sz w:val="22"/>
          <w:szCs w:val="22"/>
        </w:rPr>
        <w:t xml:space="preserve">Every Hermes Agent Profile runs in a gVisor-sandboxed Docker container (runsc runtime) with a read-only root filesystem and a separately mounted read-write /sandbox/artifacts volume. For the two highest-sensitivity agents (Regulatory Writer, Portfolio Strategist), use Kata Containers instead of gVisor for hardware-level VM isolation. SOUL.md and MEMORY.md are mounted read-only from the Git-controlled internal skills registry; skills are mounted read-only after a pre-deployment code review. Hermes Agent v0.10.0's terminal backend is set to docker for on-premise and singularity for Slurm HPC nodes. Vault Agent sidecars inject short-lived credentials (&lt;1-hour TTL) at task start and revoke them at task end — no static secrets in container environments. The agent Python process runs as UID 10001 (non-root), with seccomp-bpf profile (Docker's default plus denial of ptrace, socket, and setuid). Network: each agent namespace has a Cilium NetworkPolicy with default-deny ingress/egress plus explicit allowlist entries; CoreDNS returns NXDOMAIN for all non-allowlisted FQDNs; DNS query sizes are monitored for tunnelling indicators.</w:t>
      </w:r>
    </w:p>
    <w:p>
      <w:pPr>
        <w:pStyle w:val="Heading3"/>
        <w:spacing w:after="100" w:before="280"/>
      </w:pPr>
      <w:r>
        <w:rPr>
          <w:rFonts w:ascii="Arial" w:cs="Arial" w:eastAsia="Arial" w:hAnsi="Arial"/>
          <w:b/>
          <w:bCs/>
          <w:color w:val="0D7C8C"/>
          <w:sz w:val="24"/>
          <w:szCs w:val="24"/>
        </w:rPr>
        <w:t xml:space="preserve">59.2 Middle ring: API and communication security</w:t>
      </w:r>
    </w:p>
    <w:p>
      <w:pPr>
        <w:spacing w:after="140"/>
        <w:jc w:val="both"/>
      </w:pPr>
      <w:r>
        <w:rPr>
          <w:rFonts w:ascii="Arial" w:cs="Arial" w:eastAsia="Arial" w:hAnsi="Arial"/>
          <w:color w:val="1A1A1A"/>
          <w:sz w:val="22"/>
          <w:szCs w:val="22"/>
        </w:rPr>
        <w:t xml:space="preserve">SPIRE Server (2-node HA, Postgres backend) issues X.509 SVIDs to every workload in the cluster. Istio Ambient Mesh (ztunnel for L4 mTLS, waypoint proxy for L7 policy) enforces mTLS between all pod-to-pod communication. Envoy waypoints additionally perform: JWT validation on calls from agents to Paperclip (each agent call carries a Vault-issued JWT with the agent's SPIFFE ID); Cedar policy evaluation (Rust SDK in the waypoint) before each MCP tool call — the policy checks agent ID, task ID, tool name, and parameter hashes; Invariant Labs Guardrails running as a waypoint filter inspects the full (thought, tool_call, tool_result) trajectory in real time. ProtectAI LLM Guard runs inline on every outbound LLM API call (before the request leaves the cluster): Anonymize scanner strips PII, PromptInjection scanner blocks known injection patterns, Sensitive scanner flags compound-class keywords for audit logging. All API call logs (agent ID, SPIFFE SVID hash, tool called, timestamp, response status) are shipped via OTel to Langfuse + Tempo and simultaneously to the MinIO WORM audit bucket via the ALCOA+ sidecar.</w:t>
      </w:r>
    </w:p>
    <w:p>
      <w:pPr>
        <w:pStyle w:val="Heading3"/>
        <w:spacing w:after="100" w:before="280"/>
      </w:pPr>
      <w:r>
        <w:rPr>
          <w:rFonts w:ascii="Arial" w:cs="Arial" w:eastAsia="Arial" w:hAnsi="Arial"/>
          <w:b/>
          <w:bCs/>
          <w:color w:val="0D7C8C"/>
          <w:sz w:val="24"/>
          <w:szCs w:val="24"/>
        </w:rPr>
        <w:t xml:space="preserve">59.3 Outer ring: perimeter and cloud-burst security</w:t>
      </w:r>
    </w:p>
    <w:p>
      <w:pPr>
        <w:spacing w:after="140"/>
        <w:jc w:val="both"/>
      </w:pPr>
      <w:r>
        <w:rPr>
          <w:rFonts w:ascii="Arial" w:cs="Arial" w:eastAsia="Arial" w:hAnsi="Arial"/>
          <w:color w:val="1A1A1A"/>
          <w:sz w:val="22"/>
          <w:szCs w:val="22"/>
        </w:rPr>
        <w:t xml:space="preserve">At the cluster perimeter, a Squid ICAP proxy with SSL inspection handles all external traffic; Palo Alto AIRS inspects LLM API payloads on the cloud-burst network path. For cloud-burst workloads on AWS, Wiz AI-SPM scans the AWS account for AI posture risks; Cedar-based AWS Verified Permissions governs which cloud IAM roles the burst agents may assume; all burst agent containers run in Firecracker microVMs via Modal. Falco (with Sysdig-managed rule updates) monitors all container syscall activity cluster-wide and alerts to PagerDuty on anomalous patterns. A quarterly red-team exercise using Microsoft PyRIT tests the full stack against the MITRE ATLAS technique library — findings are tracked as Paperclip issues in the 'security' company and resolved before the next quarterly production gate.</w:t>
      </w:r>
    </w:p>
    <w:p>
      <w:pPr>
        <w:pStyle w:val="Heading3"/>
        <w:spacing w:after="100" w:before="280"/>
      </w:pPr>
      <w:r>
        <w:rPr>
          <w:rFonts w:ascii="Arial" w:cs="Arial" w:eastAsia="Arial" w:hAnsi="Arial"/>
          <w:b/>
          <w:bCs/>
          <w:color w:val="0D7C8C"/>
          <w:sz w:val="24"/>
          <w:szCs w:val="24"/>
        </w:rPr>
        <w:t xml:space="preserve">59.4 Operational playbook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2800"/>
      </w:tblGrid>
      <w:tr>
        <w:trPr>
          <w:tblHeader/>
        </w:trPr>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Scenario</w:t>
            </w:r>
          </w:p>
        </w:tc>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Detection</w:t>
            </w:r>
          </w:p>
        </w:tc>
        <w:tc>
          <w:tcPr>
            <w:tcW w:type="dxa" w:w="2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Automated Response</w:t>
            </w:r>
          </w:p>
        </w:tc>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Human Escalation</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Prompt injection in PubMed abstract</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ProtectAI PromptInjection scanner (inline, &lt;10ms)</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Block LLM call; log to audit; increment injection counter</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Alert if &gt;3 injections from same abstract source in 24h</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calls unapproved external API</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Cilium NetworkPolicy deny + DNS NXDOMAIN</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Drop packet; log with agent SPIFFE ID + Vault credential context</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Alert on first occurrence per agent per day</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Skill file modified unexpectedly</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AIDE FIM alert (SHA-256 mismatch)</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Pause affected agent heartbeat; flag skill as quarantined</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 Safety Officer reviews within 1 business hour</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token budget exceeded</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Paperclip circuit breaker</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Suspend agent; post budget-overrun task to approval queue</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Finance lead approves/rejects within 4h</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Hallucinated regulatory text in draft</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Human QA review (mandatory Part 11 gate)</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None — human gate is the control</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QA director reviews draft before any GxP record write</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SPIFFE SVID fails validation</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Istio mTLS rejection</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Drop connection; SPIRE issues new SVID; retry</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Alert if &gt;5 failures in 10 minutes (possible MITM)</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Vault credential revoked unexpectedly</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Vault audit log + agent error</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Hermes retry with fresh credential from Vault</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Alert if revocation not initiated by Vault lease TTL</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Container escape attempt (runC CVE)</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gVisor blocks (user-space kernel)</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Syscall rejected; no host kernel contact</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Auto-rotate all credentials for the affected container; page ops</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Trajectory exfiltration attempt detected</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Invariant Labs Guardrails</w:t>
            </w:r>
          </w:p>
        </w:tc>
        <w:tc>
          <w:tcPr>
            <w:tcW w:type="dxa" w:w="2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Kill agent session; log full trajectory to audit bucket</w:t>
            </w:r>
          </w:p>
        </w:tc>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 Safety Officer + InfoSec review within 2h</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New CVE in Hermes Agent dependency</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OSV-scanner nightly scan</w:t>
            </w:r>
          </w:p>
        </w:tc>
        <w:tc>
          <w:tcPr>
            <w:tcW w:type="dxa" w:w="2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Create Paperclip security task; flag affected agents</w:t>
            </w:r>
          </w:p>
        </w:tc>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Security engineer patches + re-deploys within SLA (P1: 24h)</w:t>
            </w:r>
          </w:p>
        </w:tc>
      </w:tr>
    </w:tbl>
    <w:p>
      <w:pPr>
        <w:pStyle w:val="Heading3"/>
        <w:spacing w:after="100" w:before="280"/>
      </w:pPr>
      <w:r>
        <w:rPr>
          <w:rFonts w:ascii="Arial" w:cs="Arial" w:eastAsia="Arial" w:hAnsi="Arial"/>
          <w:b/>
          <w:bCs/>
          <w:color w:val="0D7C8C"/>
          <w:sz w:val="24"/>
          <w:szCs w:val="24"/>
        </w:rPr>
        <w:t xml:space="preserve">59.5 The security investment vs. risk calculus</w:t>
      </w:r>
    </w:p>
    <w:p>
      <w:pPr>
        <w:spacing w:after="140"/>
        <w:jc w:val="both"/>
      </w:pPr>
      <w:r>
        <w:rPr>
          <w:rFonts w:ascii="Arial" w:cs="Arial" w:eastAsia="Arial" w:hAnsi="Arial"/>
          <w:color w:val="1A1A1A"/>
          <w:sz w:val="22"/>
          <w:szCs w:val="22"/>
        </w:rPr>
        <w:t xml:space="preserve">The controls described in this part carry implementation and operational costs. The inner ring (gVisor + Vault Agent + ProtectAI + Cilium + CoreDNS + Falco) requires approximately 3–4 weeks of initial setup by a platform engineer with Kubernetes and security experience, and ~0.25 FTE ongoing for maintenance. The middle ring (SPIRE + Istio Ambient + Cedar + Invariant Labs) adds another 2–3 weeks and ~0.25 FTE ongoing. The outer ring (Wiz on cloud burst, AIRS for cloud perimeter, quarterly PyRIT red team) is approximately $80,000–120,000 per year in commercial licensing plus ~0.1 FTE. Total: approximately €350,000 per year fully loaded for the full security stack. Against this cost, the risk being mitigated is IP exfiltration (a single compound series leak could eliminate a €500M exclusivity period), regulatory censure (an agent writing a hallucinated assay result to a GxP record could invalidate a clinical submission), and supply-chain compromise (ClawHavoc-class attacks will recur). The security investment is justified; the exact controls should be calibrated to the organisation's threat model and risk tolerance.</w:t>
      </w:r>
    </w:p>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Minimum viable security posture for a Phase 1 pilot (months 1–6): gVisor for process isolation, ProtectAI LLM Guard for prompt injection and PII, Vault OSS for secrets, Cilium for egress control, Falco for runtime detection, Paperclip approval gates for HITL. This provides 80% of the security value at approximately 20% of the full-stack implementation cost. Expand to the full architecture before Phase 2 production deployment.</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Part XI — Senior Management Pitch Framework</w:t>
      </w:r>
    </w:p>
    <w:p>
      <w:pPr>
        <w:pStyle w:val="Heading2"/>
        <w:spacing w:after="160" w:before="400"/>
      </w:pPr>
      <w:r>
        <w:rPr>
          <w:rFonts w:ascii="Arial" w:cs="Arial" w:eastAsia="Arial" w:hAnsi="Arial"/>
          <w:b/>
          <w:bCs/>
          <w:color w:val="3A7CA5"/>
          <w:sz w:val="28"/>
          <w:szCs w:val="28"/>
        </w:rPr>
        <w:t xml:space="preserve">32. Strategic Framing and Competitor Moves</w:t>
      </w:r>
    </w:p>
    <w:p>
      <w:pPr>
        <w:spacing w:after="140"/>
        <w:jc w:val="both"/>
      </w:pPr>
      <w:r>
        <w:rPr>
          <w:rFonts w:ascii="Arial" w:cs="Arial" w:eastAsia="Arial" w:hAnsi="Arial"/>
          <w:color w:val="1A1A1A"/>
          <w:sz w:val="22"/>
          <w:szCs w:val="22"/>
        </w:rPr>
        <w:t xml:space="preserve">The Tufts CSDD (2023) estimates fully capitalised cost per approved drug at €2.5–2.8B. A medicinal chemist in Germany costs €120–140K/year fully loaded. Each synthesis cycle costs €8,000–25,000. Decision latency consumes 25–30% of total programme time. The most expensive inefficiency is not synthesis cost — it is the time between receiving data and deciding what to make next. Agentic AI compresses that decision cycle from days to hours.</w:t>
      </w:r>
    </w:p>
    <w:p>
      <w:pPr>
        <w:spacing w:after="140"/>
        <w:jc w:val="both"/>
      </w:pPr>
      <w:r>
        <w:rPr>
          <w:rFonts w:ascii="Arial" w:cs="Arial" w:eastAsia="Arial" w:hAnsi="Arial"/>
          <w:color w:val="1A1A1A"/>
          <w:sz w:val="22"/>
          <w:szCs w:val="22"/>
        </w:rPr>
        <w:t xml:space="preserve">AI-native competitor timelines: Recursion — 50+ trillion data relationships in OS2 phenomics platform, three ML-guided programmes in Phase 2 (2025). Insilico — 30-month discovery-to-IND for rentosertib vs. industry average 5–7 years. Exscientia (acquired by Recursion) — 50–70% chemistry cycle-time reduction. Schrödinger FEP+ — 3–5× hit rate improvement on selectivity optimisation at 20+ major pharma companies. Pattern: AI-native organisations systematically compress R&amp;D timelines across all programmes, not just isolated wins.</w:t>
      </w:r>
    </w:p>
    <w:p>
      <w:pPr>
        <w:spacing w:after="140"/>
        <w:jc w:val="both"/>
      </w:pPr>
      <w:r>
        <w:rPr>
          <w:rFonts w:ascii="Arial" w:cs="Arial" w:eastAsia="Arial" w:hAnsi="Arial"/>
          <w:color w:val="1A1A1A"/>
          <w:sz w:val="22"/>
          <w:szCs w:val="22"/>
        </w:rPr>
        <w:t xml:space="preserve">Industry analyst consensus (McKinsey 'Bio Revolution' 2024 update): 20–40% AI-enabled productivity improvement by 2025, 40–70% by 2030 for adopter organisations, widening gap versus non-adopters. Gartner Hype Cycle 2025: fully autonomous R&amp;D agents at 'Early Mainstream' for large pharma, 'Early Adopter' for mid-size pharma. The competitive window to build this capability before it becomes table stakes is 18–24 months.</w:t>
      </w:r>
    </w:p>
    <w:p>
      <w:pPr>
        <w:pStyle w:val="Heading2"/>
        <w:spacing w:after="160" w:before="400"/>
      </w:pPr>
      <w:r>
        <w:rPr>
          <w:rFonts w:ascii="Arial" w:cs="Arial" w:eastAsia="Arial" w:hAnsi="Arial"/>
          <w:b/>
          <w:bCs/>
          <w:color w:val="3A7CA5"/>
          <w:sz w:val="28"/>
          <w:szCs w:val="28"/>
        </w:rPr>
        <w:t xml:space="preserve">33. Six Use Cases with Quantified Benefits</w:t>
      </w:r>
    </w:p>
    <w:p>
      <w:pPr>
        <w:spacing w:after="140"/>
        <w:jc w:val="both"/>
      </w:pPr>
      <w:r>
        <w:rPr>
          <w:rFonts w:ascii="Arial" w:cs="Arial" w:eastAsia="Arial" w:hAnsi="Arial"/>
          <w:color w:val="1A1A1A"/>
          <w:sz w:val="22"/>
          <w:szCs w:val="22"/>
        </w:rPr>
        <w:t xml:space="preserve">All benefit estimates assume a department of 120 scientists (40 medicinal chemists, 25 analytical chemists, 10 process chemists, 6 regulatory scientists, 4 computational chemists, 10 formulation scientists, 25 others) at average fully loaded cost €100K/year (€48/hour).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1900"/>
        <w:gridCol w:w="1360"/>
      </w:tblGrid>
      <w:tr>
        <w:trPr>
          <w:tblHeader/>
        </w:trPr>
        <w:tc>
          <w:tcPr>
            <w:tcW w:type="dxa" w:w="17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Use Case</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Current State</w:t>
            </w:r>
          </w:p>
        </w:tc>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Future State</w:t>
            </w:r>
          </w:p>
        </w:tc>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Annual Benefit (Base Case)</w:t>
            </w:r>
          </w:p>
        </w:tc>
        <w:tc>
          <w:tcPr>
            <w:tcW w:type="dxa" w:w="13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Complexity</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Continuous literature surveillance</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2–4 h/week/scientist manual PubMed/SciFinder; ~60% of relevant publications missed within 2 weeks</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Literature Agent + Paperclip watchlists + Paperclip.ing MCP; morning digest to Slack; zero-miss within 15 min of indexing</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 h/wk × €48/h × 50 scientists × 48 wks = €461K; improved decision quality unquantified</w:t>
            </w:r>
          </w:p>
        </w:tc>
        <w:tc>
          <w:tcPr>
            <w:tcW w:type="dxa" w:w="13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 Phase 1</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Retrosynthesis and route scouting</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Sr. chemist 4–16 h per new target; ~25% of proposed routes fail for unknown practical reasons</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Retrosynthesis Agent (AiZynthFinder + ASKCOS + literature precedent): 10 ranked routes in 30 min; 15% fewer failed first cycles</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 h/target × €75/h × 40 targets/yr + 15% fewer failures × 80 attempts × €15K = €186K</w:t>
            </w:r>
          </w:p>
        </w:tc>
        <w:tc>
          <w:tcPr>
            <w:tcW w:type="dxa" w:w="13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Phase 2</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Analytical method development</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3–5 days per new compound; 60% first-time success; 2 additional days per failed attempt (1.7 avg additional iterations)</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Analytical Agent searches precedent DB + proposes starting conditions; iterations from 3.2 avg to 1.5</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1.7 iterations × €400/instrument-day × 120 compounds + 1.7 days × €600/day FTE × 120 = €200K</w:t>
            </w:r>
          </w:p>
        </w:tc>
        <w:tc>
          <w:tcPr>
            <w:tcW w:type="dxa" w:w="13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Phase 2</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DFT-guided synthesis prioritisation</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Ad hoc; ~15% of syntheses fail for DFT-predictable reasons (wrong tautomer, reactive metabolite, instability)</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DFT Agent pre-screens all targets (GFN2-xTB 5 s → AIQM3 30 s → DFT on-demand): 10% fewer failed syntheses</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 × 80 attempts/yr × €15K/attempt = €120K; plus improved compound quality compounding over project lifetime</w:t>
            </w:r>
          </w:p>
        </w:tc>
        <w:tc>
          <w:tcPr>
            <w:tcW w:type="dxa" w:w="13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Phase 2–3</w:t>
            </w:r>
          </w:p>
        </w:tc>
      </w:tr>
      <w:tr>
        <w:tc>
          <w:tcPr>
            <w:tcW w:type="dxa" w:w="17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Bayesian process optimisation</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35–50 experiments to reach acceptable process conditions (OVAT or full-factorial); high API cost in screens</w:t>
            </w:r>
          </w:p>
        </w:tc>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Optimisation Agent (BoFire qNEHVI) + parallel synthesis: 15–25 experiments to Pareto-optimal; 40–60% reduction</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25 fewer experiments × €2,000/experiment × 5 campaigns/yr = €250K; plus 2-month cycle compression × 5 campaigns</w:t>
            </w:r>
          </w:p>
        </w:tc>
        <w:tc>
          <w:tcPr>
            <w:tcW w:type="dxa" w:w="13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 Phase 3</w:t>
            </w:r>
          </w:p>
        </w:tc>
      </w:tr>
      <w:tr>
        <w:tc>
          <w:tcPr>
            <w:tcW w:type="dxa" w:w="17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Regulatory intelligence and IND drafting</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6–10 months assembling CMC sections; 60–80% manual literature search and reference formatting</w:t>
            </w:r>
          </w:p>
        </w:tc>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Regulatory Agent (Paperclip.ing citations + ArcadeDB + Lobster templates); first draft in days; 30–50% fewer reviewer queries</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 months saved × €80K/yr regulatory scientist × 2 INDs = €40K; reviewer query avoidance = 2–4 week delay prevented per IND</w:t>
            </w:r>
          </w:p>
        </w:tc>
        <w:tc>
          <w:tcPr>
            <w:tcW w:type="dxa" w:w="13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 Phase 2 (L2 trust)</w:t>
            </w:r>
          </w:p>
        </w:tc>
      </w:tr>
    </w:tbl>
    <w:p>
      <w:pPr>
        <w:pStyle w:val="Heading2"/>
        <w:spacing w:after="160" w:before="400"/>
      </w:pPr>
      <w:r>
        <w:rPr>
          <w:rFonts w:ascii="Arial" w:cs="Arial" w:eastAsia="Arial" w:hAnsi="Arial"/>
          <w:b/>
          <w:bCs/>
          <w:color w:val="3A7CA5"/>
          <w:sz w:val="28"/>
          <w:szCs w:val="28"/>
        </w:rPr>
        <w:t xml:space="preserve">34. Three-Year NPV Model</w:t>
      </w:r>
    </w:p>
    <w:p>
      <w:pPr>
        <w:spacing w:after="140"/>
        <w:jc w:val="both"/>
      </w:pPr>
      <w:r>
        <w:rPr>
          <w:rFonts w:ascii="Arial" w:cs="Arial" w:eastAsia="Arial" w:hAnsi="Arial"/>
          <w:color w:val="1A1A1A"/>
          <w:sz w:val="22"/>
          <w:szCs w:val="22"/>
        </w:rPr>
        <w:t xml:space="preserve">Investment assumptions: hardware €380K (Year 1), €160K (Year 2–3 incremental); software licences (ORCA, Chemprop commercial, Paperclip.ing enterprise) €120K/yr; integration services €400K (Y1), €150K (Y2), €100K (Y3); validation and QA €300K (Y1), €150K (Y2), €80K (Y3); training and change management €120K (Y1), €60K (Y2), €40K (Y3); operations €60K (Y1), €80K (Y2), €100K (Y3). Total investment: Y1 €1,380K, Y2 €640K, Y3 €520K.</w:t>
      </w:r>
    </w:p>
    <w:tbl>
      <w:tblPr>
        <w:tblW w:type="dxa" w:w="9258"/>
        <w:tblBorders>
          <w:top w:val="single" w:color="auto" w:sz="4"/>
          <w:left w:val="single" w:color="auto" w:sz="4"/>
          <w:bottom w:val="single" w:color="auto" w:sz="4"/>
          <w:right w:val="single" w:color="auto" w:sz="4"/>
          <w:insideH w:val="single" w:color="auto" w:sz="4"/>
          <w:insideV w:val="single" w:color="auto" w:sz="4"/>
        </w:tblBorders>
      </w:tblPr>
      <w:tblGrid>
        <w:gridCol w:w="1543"/>
        <w:gridCol w:w="1543"/>
        <w:gridCol w:w="1543"/>
        <w:gridCol w:w="1543"/>
        <w:gridCol w:w="1543"/>
        <w:gridCol w:w="1543"/>
      </w:tblGrid>
      <w:tr>
        <w:trPr>
          <w:tblHeader/>
        </w:trPr>
        <w:tc>
          <w:tcPr>
            <w:tcW w:type="dxa" w:w="1543"/>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Scenario</w:t>
            </w:r>
          </w:p>
        </w:tc>
        <w:tc>
          <w:tcPr>
            <w:tcW w:type="dxa" w:w="1543"/>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Y1 Net (€K)</w:t>
            </w:r>
          </w:p>
        </w:tc>
        <w:tc>
          <w:tcPr>
            <w:tcW w:type="dxa" w:w="1543"/>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Y2 Net (€K)</w:t>
            </w:r>
          </w:p>
        </w:tc>
        <w:tc>
          <w:tcPr>
            <w:tcW w:type="dxa" w:w="1543"/>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Y3 Net (€K)</w:t>
            </w:r>
          </w:p>
        </w:tc>
        <w:tc>
          <w:tcPr>
            <w:tcW w:type="dxa" w:w="1543"/>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3-yr NPV @12% (€K)</w:t>
            </w:r>
          </w:p>
        </w:tc>
        <w:tc>
          <w:tcPr>
            <w:tcW w:type="dxa" w:w="1543"/>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ROI Multiple (5yr)</w:t>
            </w:r>
          </w:p>
        </w:tc>
      </w:tr>
      <w:tr>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Conservative (ramp 30/60/100%)</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–1,204</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–284</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56</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–1,310</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Payback Y4+; 1.4× by Y5</w:t>
            </w:r>
          </w:p>
        </w:tc>
      </w:tr>
      <w:tr>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Base Case (ramp 40/70/100%)</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–1,106</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175</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746</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–407 (break-even Y3)</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2.1× by Y5</w:t>
            </w:r>
          </w:p>
        </w:tc>
      </w:tr>
      <w:tr>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Optimistic (ramp 50/80/100%)</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–963</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451</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1,334</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526</w:t>
            </w:r>
          </w:p>
        </w:tc>
        <w:tc>
          <w:tcPr>
            <w:tcW w:type="dxa" w:w="1543"/>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3.5× by Y5</w:t>
            </w:r>
          </w:p>
        </w:tc>
      </w:tr>
      <w:tr>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Base + Speed-to-Market Premium*</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–1,106</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175</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746 + 3,600*</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3,193</w:t>
            </w:r>
          </w:p>
        </w:tc>
        <w:tc>
          <w:tcPr>
            <w:tcW w:type="dxa" w:w="1543"/>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6.1× by Y5</w:t>
            </w:r>
          </w:p>
        </w:tc>
      </w:tr>
    </w:tbl>
    <w:p>
      <w:pPr>
        <w:spacing w:after="140"/>
        <w:jc w:val="both"/>
      </w:pPr>
      <w:r>
        <w:rPr>
          <w:rFonts w:ascii="Arial" w:cs="Arial" w:eastAsia="Arial" w:hAnsi="Arial"/>
          <w:color w:val="1A1A1A"/>
          <w:sz w:val="22"/>
          <w:szCs w:val="22"/>
        </w:rPr>
        <w:t xml:space="preserve">*Speed-to-market premium: one programme entering Phase 1 six months ahead of industry average. Calculation: peak sales €500M/yr × 10-yr exclusivity × 8% royalty equivalent × 6-month acceleration × 8% PoS IND→approval × 12% discount rate ≈ €3,600K NPV contribution. This single term justifies the entire 18-month investment on a 2-year horizon if even one programme benefits. It is the argument that moves a CFO.</w:t>
      </w:r>
    </w:p>
    <w:p>
      <w:pPr>
        <w:pStyle w:val="Heading2"/>
        <w:spacing w:after="160" w:before="400"/>
      </w:pPr>
      <w:r>
        <w:rPr>
          <w:rFonts w:ascii="Arial" w:cs="Arial" w:eastAsia="Arial" w:hAnsi="Arial"/>
          <w:b/>
          <w:bCs/>
          <w:color w:val="3A7CA5"/>
          <w:sz w:val="28"/>
          <w:szCs w:val="28"/>
        </w:rPr>
        <w:t xml:space="preserve">35. FTE Impact Analysis</w:t>
      </w:r>
    </w:p>
    <w:tbl>
      <w:tblPr>
        <w:tblW w:type="dxa" w:w="108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00"/>
        <w:gridCol w:w="2000"/>
        <w:gridCol w:w="1900"/>
        <w:gridCol w:w="1560"/>
      </w:tblGrid>
      <w:tr>
        <w:trPr>
          <w:tblHeader/>
        </w:trPr>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Role</w:t>
            </w:r>
          </w:p>
        </w:tc>
        <w:tc>
          <w:tcPr>
            <w:tcW w:type="dxa" w:w="15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FTE (dept)</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Tasks Automated</w:t>
            </w:r>
          </w:p>
        </w:tc>
        <w:tc>
          <w:tcPr>
            <w:tcW w:type="dxa" w:w="20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Tasks Augmented</w:t>
            </w:r>
          </w:p>
        </w:tc>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Net FTE-Equivalent Impact</w:t>
            </w:r>
          </w:p>
        </w:tc>
        <w:tc>
          <w:tcPr>
            <w:tcW w:type="dxa" w:w="15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Reskilling Need</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Medicinal Chemist</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40</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Literature triage 15%, retrosynthesis first-pass 20%</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Route optimisation, SAR interpretation, compound design</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–14 FTE-equiv redirected to higher-value design work</w:t>
            </w:r>
          </w:p>
        </w:tc>
        <w:tc>
          <w:tcPr>
            <w:tcW w:type="dxa" w:w="15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AI-assisted design tools, output review</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Analytical Chemist</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25</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HPLC method first-pass 30%, report drafting 20%</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Method validation, spec setting, exception review</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–12.5 FTE-equiv total</w:t>
            </w:r>
          </w:p>
        </w:tc>
        <w:tc>
          <w:tcPr>
            <w:tcW w:type="dxa" w:w="15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CDS APIs, digital twin methods, ASM/ADF</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Computational Chemist</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DFT job setup and submission 40%</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Model curation, result interpretation, custom training</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 FTE-equiv (bottleneck removed by DFT agent)</w:t>
            </w:r>
          </w:p>
        </w:tc>
        <w:tc>
          <w:tcPr>
            <w:tcW w:type="dxa" w:w="15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oversight, validation science</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Regulatory Scientist</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Literature tabulation 50%, reference formatting 30%</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Strategic intelligence, FDA/EMA interaction</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–4.8 FTE-equiv total</w:t>
            </w:r>
          </w:p>
        </w:tc>
        <w:tc>
          <w:tcPr>
            <w:tcW w:type="dxa" w:w="15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AI-assisted writing, citation review, Part 11 gate</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Process Chemist</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10</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DoE design 30%, data processing 25%</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Optimisation strategy, scale-up judgement</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–5.5 FTE-equiv total</w:t>
            </w:r>
          </w:p>
        </w:tc>
        <w:tc>
          <w:tcPr>
            <w:tcW w:type="dxa" w:w="15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BoFire interpretation, green metrics</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New: AI/Agent Ops Engineer</w:t>
            </w:r>
          </w:p>
        </w:tc>
        <w:tc>
          <w:tcPr>
            <w:tcW w:type="dxa" w:w="15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0→2</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(new role)</w:t>
            </w:r>
          </w:p>
        </w:tc>
        <w:tc>
          <w:tcPr>
            <w:tcW w:type="dxa" w:w="20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 deployment, MCP tools, model updates</w:t>
            </w:r>
          </w:p>
        </w:tc>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 FTE (new hire or IT reskill)</w:t>
            </w:r>
          </w:p>
        </w:tc>
        <w:tc>
          <w:tcPr>
            <w:tcW w:type="dxa" w:w="15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 Paperclip, Python, MCP, Temporal</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New: Knowledge Graph Curator</w:t>
            </w:r>
          </w:p>
        </w:tc>
        <w:tc>
          <w:tcPr>
            <w:tcW w:type="dxa" w:w="15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0→1</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(new role)</w:t>
            </w:r>
          </w:p>
        </w:tc>
        <w:tc>
          <w:tcPr>
            <w:tcW w:type="dxa" w:w="20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Ontology management, ArcadeDB, data quality</w:t>
            </w:r>
          </w:p>
        </w:tc>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 FTE (reskill from data science)</w:t>
            </w:r>
          </w:p>
        </w:tc>
        <w:tc>
          <w:tcPr>
            <w:tcW w:type="dxa" w:w="15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ArcadeDB, RXNO/ChEBI/CHMO/AFO, SPARQL</w:t>
            </w:r>
          </w:p>
        </w:tc>
      </w:tr>
    </w:tbl>
    <w:p>
      <w:pPr>
        <w:spacing w:after="140"/>
        <w:jc w:val="both"/>
      </w:pPr>
      <w:r>
        <w:rPr>
          <w:rFonts w:ascii="Arial" w:cs="Arial" w:eastAsia="Arial" w:hAnsi="Arial"/>
          <w:color w:val="1A1A1A"/>
          <w:sz w:val="22"/>
          <w:szCs w:val="22"/>
        </w:rPr>
        <w:t xml:space="preserve">Total: ~38 FTE-equivalents of capacity redirected from low-value manual tasks to high-value scientific judgment work, plus 3 new specialist roles. This is not a headcount reduction — it is a productivity multiplier enabling the same team to run more programmes faster.</w:t>
      </w:r>
    </w:p>
    <w:p>
      <w:pPr>
        <w:pStyle w:val="Heading2"/>
        <w:spacing w:after="160" w:before="400"/>
      </w:pPr>
      <w:r>
        <w:rPr>
          <w:rFonts w:ascii="Arial" w:cs="Arial" w:eastAsia="Arial" w:hAnsi="Arial"/>
          <w:b/>
          <w:bCs/>
          <w:color w:val="3A7CA5"/>
          <w:sz w:val="28"/>
          <w:szCs w:val="28"/>
        </w:rPr>
        <w:t xml:space="preserve">36. Speed-to-Market Quantification</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400"/>
        <w:gridCol w:w="1800"/>
        <w:gridCol w:w="2960"/>
      </w:tblGrid>
      <w:tr>
        <w:trPr>
          <w:tblHeader/>
        </w:trPr>
        <w:tc>
          <w:tcPr>
            <w:tcW w:type="dxa" w:w="19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Current Duration</w:t>
            </w:r>
          </w:p>
        </w:tc>
        <w:tc>
          <w:tcPr>
            <w:tcW w:type="dxa" w:w="16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Target Duration</w:t>
            </w:r>
          </w:p>
        </w:tc>
        <w:tc>
          <w:tcPr>
            <w:tcW w:type="dxa" w:w="1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Compression</w:t>
            </w:r>
          </w:p>
        </w:tc>
        <w:tc>
          <w:tcPr>
            <w:tcW w:type="dxa" w:w="1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Primary Agent</w:t>
            </w:r>
          </w:p>
        </w:tc>
        <w:tc>
          <w:tcPr>
            <w:tcW w:type="dxa" w:w="29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Evidence</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Hit identification</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6–9 months</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3–5 months</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33–44%</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Literature + Retrosynthesis</w:t>
            </w:r>
          </w:p>
        </w:tc>
        <w:tc>
          <w:tcPr>
            <w:tcW w:type="dxa" w:w="29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Insilico 30-month target-to-IND; Recursion 2× hit rate</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Hit-to-lead</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12–18 months</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7–12 months</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33–44%</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Retrosynthesis + DFT + Analytical</w:t>
            </w:r>
          </w:p>
        </w:tc>
        <w:tc>
          <w:tcPr>
            <w:tcW w:type="dxa" w:w="29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Exscientia ATOM 50–70% cycle time reduction</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Lead optimisation</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18–30 months</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12–20 months</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30–35%</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All agents, BoFire closed-loop</w:t>
            </w:r>
          </w:p>
        </w:tc>
        <w:tc>
          <w:tcPr>
            <w:tcW w:type="dxa" w:w="29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Shields et al. 2021: 40–60% fewer iterations</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Candidate selection</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6–9 months</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4–6 months</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25–33%</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ADMET + Stability + Regulatory</w:t>
            </w:r>
          </w:p>
        </w:tc>
        <w:tc>
          <w:tcPr>
            <w:tcW w:type="dxa" w:w="29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ADMET-AI 1M compounds/hour pre-screen</w:t>
            </w:r>
          </w:p>
        </w:tc>
      </w:tr>
      <w:tr>
        <w:tc>
          <w:tcPr>
            <w:tcW w:type="dxa" w:w="19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IND-enabling studies</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12–18 months</w:t>
            </w:r>
          </w:p>
        </w:tc>
        <w:tc>
          <w:tcPr>
            <w:tcW w:type="dxa" w:w="16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9–14 months</w:t>
            </w:r>
          </w:p>
        </w:tc>
        <w:tc>
          <w:tcPr>
            <w:tcW w:type="dxa" w:w="1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20–25%</w:t>
            </w:r>
          </w:p>
        </w:tc>
        <w:tc>
          <w:tcPr>
            <w:tcW w:type="dxa" w:w="1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Regulatory + Stability</w:t>
            </w:r>
          </w:p>
        </w:tc>
        <w:tc>
          <w:tcPr>
            <w:tcW w:type="dxa" w:w="29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ACD/Labs IND assembly benchmarks</w:t>
            </w:r>
          </w:p>
        </w:tc>
      </w:tr>
      <w:tr>
        <w:tc>
          <w:tcPr>
            <w:tcW w:type="dxa" w:w="19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Total pre-IND</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54–84 months</w:t>
            </w:r>
          </w:p>
        </w:tc>
        <w:tc>
          <w:tcPr>
            <w:tcW w:type="dxa" w:w="16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35–57 months</w:t>
            </w:r>
          </w:p>
        </w:tc>
        <w:tc>
          <w:tcPr>
            <w:tcW w:type="dxa" w:w="1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30–40%</w:t>
            </w:r>
          </w:p>
        </w:tc>
        <w:tc>
          <w:tcPr>
            <w:tcW w:type="dxa" w:w="1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Full agent team</w:t>
            </w:r>
          </w:p>
        </w:tc>
        <w:tc>
          <w:tcPr>
            <w:tcW w:type="dxa" w:w="29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Insilico: 12–18 months project-initiation to PCC</w:t>
            </w:r>
          </w:p>
        </w:tc>
      </w:tr>
    </w:tbl>
    <w:p>
      <w:pPr>
        <w:pStyle w:val="Heading2"/>
        <w:spacing w:after="160" w:before="400"/>
      </w:pPr>
      <w:r>
        <w:rPr>
          <w:rFonts w:ascii="Arial" w:cs="Arial" w:eastAsia="Arial" w:hAnsi="Arial"/>
          <w:b/>
          <w:bCs/>
          <w:color w:val="3A7CA5"/>
          <w:sz w:val="28"/>
          <w:szCs w:val="28"/>
        </w:rPr>
        <w:t xml:space="preserve">37. Risk Register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3460"/>
      </w:tblGrid>
      <w:tr>
        <w:trPr>
          <w:tblHeader/>
        </w:trPr>
        <w:tc>
          <w:tcPr>
            <w:tcW w:type="dxa" w:w="22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Risk</w:t>
            </w:r>
          </w:p>
        </w:tc>
        <w:tc>
          <w:tcPr>
            <w:tcW w:type="dxa" w:w="1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Category</w:t>
            </w:r>
          </w:p>
        </w:tc>
        <w:tc>
          <w:tcPr>
            <w:tcW w:type="dxa" w:w="1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Probability</w:t>
            </w:r>
          </w:p>
        </w:tc>
        <w:tc>
          <w:tcPr>
            <w:tcW w:type="dxa" w:w="11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Impact</w:t>
            </w:r>
          </w:p>
        </w:tc>
        <w:tc>
          <w:tcPr>
            <w:tcW w:type="dxa" w:w="34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Mitigation</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Model hallucination in regulatory content</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Technical</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(inherent)</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w:t>
            </w:r>
          </w:p>
        </w:tc>
        <w:tc>
          <w:tcPr>
            <w:tcW w:type="dxa" w:w="3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L2 trust mandatory; Paperclip.ing citation grounding; NeMo Guardrails; Lobster approval gates; FDA CAF 2025</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Paperclip/NemoClaw alpha instability</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Technical</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(stated)</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w:t>
            </w:r>
          </w:p>
        </w:tc>
        <w:tc>
          <w:tcPr>
            <w:tcW w:type="dxa" w:w="34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Pin versioned blueprints; Temporal as fallback for critical workflows; quarterly version-gate review</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Paperclip scale issues (#2553, #958, #1088, #1089)</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Technical</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(known)</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w:t>
            </w:r>
          </w:p>
        </w:tc>
        <w:tc>
          <w:tcPr>
            <w:tcW w:type="dxa" w:w="3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Apply existing issue patches; cap at 250 issues/company; nightly graceful restart; OOB token shim</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CVE in runC/Docker/k3s breaking sandbox</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Technical</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 (annual cadence)</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w:t>
            </w:r>
          </w:p>
        </w:tc>
        <w:tc>
          <w:tcPr>
            <w:tcW w:type="dxa" w:w="34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Patch cadence = production K8s; signed container images; network-level egress control; NVD feed monitoring</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EU Annex 22 restricting LLMs in GMP</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Regulatory</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(draft published)</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w:t>
            </w:r>
          </w:p>
        </w:tc>
        <w:tc>
          <w:tcPr>
            <w:tcW w:type="dxa" w:w="3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Scope all deployments to non-GxP research; GMP floor uses validated rule-based tools only</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FDA/EMA guidance tightening</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Regulatory</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w:t>
            </w:r>
          </w:p>
        </w:tc>
        <w:tc>
          <w:tcPr>
            <w:tcW w:type="dxa" w:w="34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GAMP 5 Cat 4 from day 1; proactive FDA pre-IND meeting for AI-assisted submissions; Pistoia Alliance engagement</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IP in LLM context windows (cloud leakage)</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IP</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w:t>
            </w:r>
          </w:p>
        </w:tc>
        <w:tc>
          <w:tcPr>
            <w:tcW w:type="dxa" w:w="3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Privacy router: local Nemotron for all prompts containing SMILES or compound IDs; OpenShell deny-all default; DLP proxy</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ClawHavoc-style skill supply-chain attack</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IP/Security</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 (post-awareness)</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w:t>
            </w:r>
          </w:p>
        </w:tc>
        <w:tc>
          <w:tcPr>
            <w:tcW w:type="dxa" w:w="34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Never install from public ClawHub; internal skill registry with code review + signing; AIDE file-integrity monitoring</w:t>
            </w:r>
          </w:p>
        </w:tc>
      </w:tr>
      <w:tr>
        <w:tc>
          <w:tcPr>
            <w:tcW w:type="dxa" w:w="22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Scientist resistance and low adoption</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Organisational</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 (typical for change)</w:t>
            </w:r>
          </w:p>
        </w:tc>
        <w:tc>
          <w:tcPr>
            <w:tcW w:type="dxa" w:w="11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High</w:t>
            </w:r>
          </w:p>
        </w:tc>
        <w:tc>
          <w:tcPr>
            <w:tcW w:type="dxa" w:w="34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Embedded AI champions; 'assistant not replacement' framing; visible demo in 90 days; sunsetting manual processes only post dual-run validation</w:t>
            </w:r>
          </w:p>
        </w:tc>
      </w:tr>
      <w:tr>
        <w:tc>
          <w:tcPr>
            <w:tcW w:type="dxa" w:w="22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NVIDIA hardware dependency</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Technology</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Low–Medium</w:t>
            </w:r>
          </w:p>
        </w:tc>
        <w:tc>
          <w:tcPr>
            <w:tcW w:type="dxa" w:w="11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Medium</w:t>
            </w:r>
          </w:p>
        </w:tc>
        <w:tc>
          <w:tcPr>
            <w:tcW w:type="dxa" w:w="34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Hardware-agnostic NemoClaw; AMD MI300X as evaluated alternative; cloud burst via NVIDIA API for emergency coverage</w:t>
            </w:r>
          </w:p>
        </w:tc>
      </w:tr>
    </w:tbl>
    <w:p>
      <w:pPr>
        <w:pBdr>
          <w:top w:val="single" w:color="D1D9E3" w:sz="1"/>
          <w:bottom w:val="single" w:color="D1D9E3" w:sz="1"/>
          <w:left w:val="single" w:color="0D7C8C" w:sz="12"/>
          <w:right w:val="single" w:color="D1D9E3" w:sz="1"/>
        </w:pBdr>
        <w:shd w:fill="F3F6FA" w:val="clear"/>
        <w:spacing w:after="160" w:before="160"/>
        <w:ind w:left="360" w:right="360"/>
      </w:pPr>
      <w:r>
        <w:rPr>
          <w:rFonts w:ascii="Arial" w:cs="Arial" w:eastAsia="Arial" w:hAnsi="Arial"/>
          <w:b/>
          <w:bCs/>
          <w:color w:val="1B3A5C"/>
          <w:sz w:val="20"/>
          <w:szCs w:val="20"/>
        </w:rPr>
        <w:t xml:space="preserve">The ask: €2.5M over 18 months. The return: €1.4M/year base-case operational savings + €500–900M NPV impact if one programme is 12–18 months faster to clinic. The competitive risk of inaction: an AI-native competitor 18 months faster on a competitive programme means €18–45M NPV disadvantage per year of lost exclusivity. The window to build before this becomes table stakes: 18–24 months.</w:t>
      </w:r>
    </w:p>
    <w:p>
      <w:r>
        <w:br w:type="page"/>
      </w:r>
    </w:p>
    <w:p>
      <w:pPr>
        <w:pStyle w:val="Heading1"/>
        <w:pBdr>
          <w:bottom w:val="single" w:color="0D7C8C" w:sz="6" w:space="4"/>
        </w:pBdr>
        <w:spacing w:after="240" w:before="560"/>
      </w:pPr>
      <w:r>
        <w:rPr>
          <w:rFonts w:ascii="Arial" w:cs="Arial" w:eastAsia="Arial" w:hAnsi="Arial"/>
          <w:b/>
          <w:bCs/>
          <w:color w:val="1B3A5C"/>
          <w:sz w:val="38"/>
          <w:szCs w:val="38"/>
        </w:rPr>
        <w:t xml:space="preserve">Appendix A — Deployment Runbook and Production Gates</w:t>
      </w:r>
    </w:p>
    <w:p>
      <w:pPr>
        <w:pStyle w:val="Heading2"/>
        <w:spacing w:after="160" w:before="400"/>
      </w:pPr>
      <w:r>
        <w:rPr>
          <w:rFonts w:ascii="Arial" w:cs="Arial" w:eastAsia="Arial" w:hAnsi="Arial"/>
          <w:b/>
          <w:bCs/>
          <w:color w:val="3A7CA5"/>
          <w:sz w:val="28"/>
          <w:szCs w:val="28"/>
        </w:rPr>
        <w:t xml:space="preserve">A.1 Production Infrastructure</w:t>
      </w:r>
    </w:p>
    <w:p>
      <w:pPr>
        <w:spacing w:after="140"/>
        <w:jc w:val="both"/>
      </w:pPr>
      <w:r>
        <w:rPr>
          <w:rFonts w:ascii="Arial" w:cs="Arial" w:eastAsia="Arial" w:hAnsi="Arial"/>
          <w:color w:val="1A1A1A"/>
          <w:sz w:val="22"/>
          <w:szCs w:val="22"/>
        </w:rPr>
        <w:t xml:space="preserve">On-premises, single-site, air-gapped from corporate except via a Squid ICAP proxy with DLP rules (allowed: PubMed, EuropePMC, NVIDIA Endpoints). Paperclip: active-passive HA behind HAProxy on two Node.js instances; PostgreSQL 16 with streaming replica and WAL-G → MinIO every 5 minutes. NemoClaw sandboxes: 5 dedicated hosts (4× DGX Spark, 1× H100 80GB for DFT). Vault: Raft 3-node cluster with HSM auto-unseal. MinIO: 4-node erasure-coded with Object Lock Compliance mode and 15-year retention on audit/ and artefacts/ buckets. Langfuse: self-hosted with ClickHouse backend (8 vCPU, 32 GB RAM, 2 TB NVMe). Temporal: self-hosted OSS on K8s (separate namespace from NemoClaw k3s).</w:t>
      </w:r>
    </w:p>
    <w:p>
      <w:pPr>
        <w:pStyle w:val="Heading2"/>
        <w:spacing w:after="160" w:before="400"/>
      </w:pPr>
      <w:r>
        <w:rPr>
          <w:rFonts w:ascii="Arial" w:cs="Arial" w:eastAsia="Arial" w:hAnsi="Arial"/>
          <w:b/>
          <w:bCs/>
          <w:color w:val="3A7CA5"/>
          <w:sz w:val="28"/>
          <w:szCs w:val="28"/>
        </w:rPr>
        <w:t xml:space="preserve">A.2 Production Gates — Two Must Clear Before Phase 2</w:t>
      </w:r>
    </w:p>
    <w:p>
      <w:pPr>
        <w:pStyle w:val="ListParagraph"/>
        <w:numPr>
          <w:ilvl w:val="0"/>
          <w:numId w:val="3"/>
        </w:numPr>
        <w:spacing w:after="80"/>
      </w:pPr>
      <w:r>
        <w:rPr>
          <w:rFonts w:ascii="Arial" w:cs="Arial" w:eastAsia="Arial" w:hAnsi="Arial"/>
          <w:color w:val="1A1A1A"/>
          <w:sz w:val="22"/>
          <w:szCs w:val="22"/>
        </w:rPr>
        <w:t xml:space="preserve">Paperclip must fix: #2553 (pino-pretty OOM), #1825 (server crash), #958 (unpaginated heartbeat-runs), #1088 (ws-close crash), #1089 (no token accounting for openclaw_gateway). All are blocker-class at pharma scale. Target: Paperclip v0.x.x with documented API stability commitment.</w:t>
      </w:r>
    </w:p>
    <w:p>
      <w:pPr>
        <w:pStyle w:val="ListParagraph"/>
        <w:numPr>
          <w:ilvl w:val="0"/>
          <w:numId w:val="3"/>
        </w:numPr>
        <w:spacing w:after="80"/>
      </w:pPr>
      <w:r>
        <w:rPr>
          <w:rFonts w:ascii="Arial" w:cs="Arial" w:eastAsia="Arial" w:hAnsi="Arial"/>
          <w:color w:val="1A1A1A"/>
          <w:sz w:val="22"/>
          <w:szCs w:val="22"/>
        </w:rPr>
        <w:t xml:space="preserve">NemoClaw must exit alpha with API-stability commitment and close NVIDIA/NemoClaw #2039 (no custom-preset IaC surface for egress policies, requiring unsafe openshell policy set fallback). Until then: treat as architectural investment, validate quarterly, re-validate on every breaking change.</w:t>
      </w:r>
    </w:p>
    <w:p>
      <w:pPr>
        <w:pStyle w:val="Heading2"/>
        <w:spacing w:after="160" w:before="400"/>
      </w:pPr>
      <w:r>
        <w:rPr>
          <w:rFonts w:ascii="Arial" w:cs="Arial" w:eastAsia="Arial" w:hAnsi="Arial"/>
          <w:b/>
          <w:bCs/>
          <w:color w:val="3A7CA5"/>
          <w:sz w:val="28"/>
          <w:szCs w:val="28"/>
        </w:rPr>
        <w:t xml:space="preserve">A.3 Secrets Management</w:t>
      </w:r>
    </w:p>
    <w:p>
      <w:pPr>
        <w:shd w:fill="EEF2F7" w:val="clear"/>
        <w:spacing w:after="20" w:before="20"/>
        <w:ind w:left="360" w:right="360"/>
      </w:pPr>
      <w:r>
        <w:rPr>
          <w:rFonts w:ascii="Courier New" w:cs="Courier New" w:eastAsia="Courier New" w:hAnsi="Courier New"/>
          <w:color w:val="1B3A5C"/>
          <w:sz w:val="18"/>
          <w:szCs w:val="18"/>
        </w:rPr>
        <w:t xml:space="preserve"># Vault policy: paperclip-nemoclaw-agent (example)</w:t>
      </w:r>
    </w:p>
    <w:p>
      <w:pPr>
        <w:shd w:fill="EEF2F7" w:val="clear"/>
        <w:spacing w:after="20" w:before="20"/>
        <w:ind w:left="360" w:right="360"/>
      </w:pPr>
      <w:r>
        <w:rPr>
          <w:rFonts w:ascii="Courier New" w:cs="Courier New" w:eastAsia="Courier New" w:hAnsi="Courier New"/>
          <w:color w:val="1B3A5C"/>
          <w:sz w:val="18"/>
          <w:szCs w:val="18"/>
        </w:rPr>
        <w:t xml:space="preserve">path 'secret/data/agents/+/openclaw-token' {</w:t>
      </w:r>
    </w:p>
    <w:p>
      <w:pPr>
        <w:shd w:fill="EEF2F7" w:val="clear"/>
        <w:spacing w:after="20" w:before="20"/>
        <w:ind w:left="360" w:right="360"/>
      </w:pPr>
      <w:r>
        <w:rPr>
          <w:rFonts w:ascii="Courier New" w:cs="Courier New" w:eastAsia="Courier New" w:hAnsi="Courier New"/>
          <w:color w:val="1B3A5C"/>
          <w:sz w:val="18"/>
          <w:szCs w:val="18"/>
        </w:rPr>
        <w:t xml:space="preserve">  capabilities = ['read']</w:t>
      </w:r>
    </w:p>
    <w:p>
      <w:pPr>
        <w:shd w:fill="EEF2F7" w:val="clear"/>
        <w:spacing w:after="20" w:before="20"/>
        <w:ind w:left="360" w:right="360"/>
      </w:pPr>
      <w:r>
        <w:rPr>
          <w:rFonts w:ascii="Courier New" w:cs="Courier New" w:eastAsia="Courier New" w:hAnsi="Courier New"/>
          <w:color w:val="1B3A5C"/>
          <w:sz w:val="18"/>
          <w:szCs w:val="18"/>
        </w:rPr>
        <w:t xml:space="preserve">}</w:t>
      </w:r>
    </w:p>
    <w:p>
      <w:pPr>
        <w:shd w:fill="EEF2F7" w:val="clear"/>
        <w:spacing w:after="20" w:before="20"/>
        <w:ind w:left="360" w:right="360"/>
      </w:pPr>
      <w:r>
        <w:rPr>
          <w:rFonts w:ascii="Courier New" w:cs="Courier New" w:eastAsia="Courier New" w:hAnsi="Courier New"/>
          <w:color w:val="1B3A5C"/>
          <w:sz w:val="18"/>
          <w:szCs w:val="18"/>
        </w:rPr>
        <w:t xml:space="preserve">path 'secret/data/agents/+/model-api-key' {</w:t>
      </w:r>
    </w:p>
    <w:p>
      <w:pPr>
        <w:shd w:fill="EEF2F7" w:val="clear"/>
        <w:spacing w:after="20" w:before="20"/>
        <w:ind w:left="360" w:right="360"/>
      </w:pPr>
      <w:r>
        <w:rPr>
          <w:rFonts w:ascii="Courier New" w:cs="Courier New" w:eastAsia="Courier New" w:hAnsi="Courier New"/>
          <w:color w:val="1B3A5C"/>
          <w:sz w:val="18"/>
          <w:szCs w:val="18"/>
        </w:rPr>
        <w:t xml:space="preserve">  capabilities = ['read']</w:t>
      </w:r>
    </w:p>
    <w:p>
      <w:pPr>
        <w:shd w:fill="EEF2F7" w:val="clear"/>
        <w:spacing w:after="20" w:before="20"/>
        <w:ind w:left="360" w:right="360"/>
      </w:pPr>
      <w:r>
        <w:rPr>
          <w:rFonts w:ascii="Courier New" w:cs="Courier New" w:eastAsia="Courier New" w:hAnsi="Courier New"/>
          <w:color w:val="1B3A5C"/>
          <w:sz w:val="18"/>
          <w:szCs w:val="18"/>
        </w:rPr>
        <w:t xml:space="preserve">}</w:t>
      </w:r>
    </w:p>
    <w:p>
      <w:pPr>
        <w:shd w:fill="EEF2F7" w:val="clear"/>
        <w:spacing w:after="20" w:before="20"/>
        <w:ind w:left="360" w:right="360"/>
      </w:pPr>
      <w:r>
        <w:rPr>
          <w:rFonts w:ascii="Courier New" w:cs="Courier New" w:eastAsia="Courier New" w:hAnsi="Courier New"/>
          <w:color w:val="1B3A5C"/>
          <w:sz w:val="18"/>
          <w:szCs w:val="18"/>
        </w:rPr>
        <w:t xml:space="preserve">path 'database/creds/rnd-postgres-role' {</w:t>
      </w:r>
    </w:p>
    <w:p>
      <w:pPr>
        <w:shd w:fill="EEF2F7" w:val="clear"/>
        <w:spacing w:after="20" w:before="20"/>
        <w:ind w:left="360" w:right="360"/>
      </w:pPr>
      <w:r>
        <w:rPr>
          <w:rFonts w:ascii="Courier New" w:cs="Courier New" w:eastAsia="Courier New" w:hAnsi="Courier New"/>
          <w:color w:val="1B3A5C"/>
          <w:sz w:val="18"/>
          <w:szCs w:val="18"/>
        </w:rPr>
        <w:t xml:space="preserve">  capabilities = ['read']   # Dynamic creds, 1h TTL</w:t>
      </w:r>
    </w:p>
    <w:p>
      <w:pPr>
        <w:shd w:fill="EEF2F7" w:val="clear"/>
        <w:spacing w:after="20" w:before="20"/>
        <w:ind w:left="360" w:right="360"/>
      </w:pPr>
      <w:r>
        <w:rPr>
          <w:rFonts w:ascii="Courier New" w:cs="Courier New" w:eastAsia="Courier New" w:hAnsi="Courier New"/>
          <w:color w:val="1B3A5C"/>
          <w:sz w:val="18"/>
          <w:szCs w:val="18"/>
        </w:rPr>
        <w:t xml:space="preserve">}</w:t>
      </w:r>
    </w:p>
    <w:p>
      <w:pPr>
        <w:shd w:fill="EEF2F7" w:val="clear"/>
        <w:spacing w:after="20" w:before="20"/>
        <w:ind w:left="360" w:right="360"/>
      </w:pPr>
      <w:r>
        <w:rPr>
          <w:rFonts w:ascii="Courier New" w:cs="Courier New" w:eastAsia="Courier New" w:hAnsi="Courier New"/>
          <w:color w:val="1B3A5C"/>
          <w:sz w:val="18"/>
          <w:szCs w:val="18"/>
        </w:rPr>
        <w:t xml:space="preserve"># Never: path 'secret/data/corporate/*' — agents cannot reach</w:t>
      </w:r>
    </w:p>
    <w:p>
      <w:pPr>
        <w:shd w:fill="EEF2F7" w:val="clear"/>
        <w:spacing w:after="20" w:before="20"/>
        <w:ind w:left="360" w:right="360"/>
      </w:pPr>
      <w:r>
        <w:rPr>
          <w:rFonts w:ascii="Courier New" w:cs="Courier New" w:eastAsia="Courier New" w:hAnsi="Courier New"/>
          <w:color w:val="1B3A5C"/>
          <w:sz w:val="18"/>
          <w:szCs w:val="18"/>
        </w:rPr>
        <w:t xml:space="preserve"># corp secrets regardless of SOUL.md instructions</w:t>
      </w:r>
    </w:p>
    <w:p>
      <w:pPr>
        <w:pStyle w:val="Heading2"/>
        <w:spacing w:after="160" w:before="400"/>
      </w:pPr>
      <w:r>
        <w:rPr>
          <w:rFonts w:ascii="Arial" w:cs="Arial" w:eastAsia="Arial" w:hAnsi="Arial"/>
          <w:b/>
          <w:bCs/>
          <w:color w:val="3A7CA5"/>
          <w:sz w:val="28"/>
          <w:szCs w:val="28"/>
        </w:rPr>
        <w:t xml:space="preserve">A.4 NemoClaw Blueprint Principles</w:t>
      </w:r>
    </w:p>
    <w:p>
      <w:pPr>
        <w:pStyle w:val="ListParagraph"/>
        <w:numPr>
          <w:ilvl w:val="0"/>
          <w:numId w:val="2"/>
        </w:numPr>
        <w:spacing w:after="80"/>
      </w:pPr>
      <w:r>
        <w:rPr>
          <w:rFonts w:ascii="Arial" w:cs="Arial" w:eastAsia="Arial" w:hAnsi="Arial"/>
          <w:color w:val="1A1A1A"/>
          <w:sz w:val="22"/>
          <w:szCs w:val="22"/>
        </w:rPr>
        <w:t xml:space="preserve">Blueprints pinned by immutable @sha256: digest — never :latest</w:t>
      </w:r>
    </w:p>
    <w:p>
      <w:pPr>
        <w:pStyle w:val="ListParagraph"/>
        <w:numPr>
          <w:ilvl w:val="0"/>
          <w:numId w:val="2"/>
        </w:numPr>
        <w:spacing w:after="80"/>
      </w:pPr>
      <w:r>
        <w:rPr>
          <w:rFonts w:ascii="Arial" w:cs="Arial" w:eastAsia="Arial" w:hAnsi="Arial"/>
          <w:color w:val="1A1A1A"/>
          <w:sz w:val="22"/>
          <w:szCs w:val="22"/>
        </w:rPr>
        <w:t xml:space="preserve">filesystem_policy.add_workdir_to_read_write: false — true is a known escape vector</w:t>
      </w:r>
    </w:p>
    <w:p>
      <w:pPr>
        <w:pStyle w:val="ListParagraph"/>
        <w:numPr>
          <w:ilvl w:val="0"/>
          <w:numId w:val="2"/>
        </w:numPr>
        <w:spacing w:after="80"/>
      </w:pPr>
      <w:r>
        <w:rPr>
          <w:rFonts w:ascii="Arial" w:cs="Arial" w:eastAsia="Arial" w:hAnsi="Arial"/>
          <w:color w:val="1A1A1A"/>
          <w:sz w:val="22"/>
          <w:szCs w:val="22"/>
        </w:rPr>
        <w:t xml:space="preserve">TUI real-time approval prompts DISABLED in production — unlisted egress always hard-fails with alert</w:t>
      </w:r>
    </w:p>
    <w:p>
      <w:pPr>
        <w:pStyle w:val="ListParagraph"/>
        <w:numPr>
          <w:ilvl w:val="0"/>
          <w:numId w:val="2"/>
        </w:numPr>
        <w:spacing w:after="80"/>
      </w:pPr>
      <w:r>
        <w:rPr>
          <w:rFonts w:ascii="Arial" w:cs="Arial" w:eastAsia="Arial" w:hAnsi="Arial"/>
          <w:color w:val="1A1A1A"/>
          <w:sz w:val="22"/>
          <w:szCs w:val="22"/>
        </w:rPr>
        <w:t xml:space="preserve">openshell direct commands forbidden; use nemoclaw onboard only for lifecycle management</w:t>
      </w:r>
    </w:p>
    <w:p>
      <w:pPr>
        <w:pStyle w:val="ListParagraph"/>
        <w:numPr>
          <w:ilvl w:val="0"/>
          <w:numId w:val="2"/>
        </w:numPr>
        <w:spacing w:after="80"/>
      </w:pPr>
      <w:r>
        <w:rPr>
          <w:rFonts w:ascii="Arial" w:cs="Arial" w:eastAsia="Arial" w:hAnsi="Arial"/>
          <w:color w:val="1A1A1A"/>
          <w:sz w:val="22"/>
          <w:szCs w:val="22"/>
        </w:rPr>
        <w:t xml:space="preserve">Nightly 03:00 graceful restart of Paperclip after quiescing heartbeats (mitigates #2553 until upstream fix)</w:t>
      </w:r>
    </w:p>
    <w:p>
      <w:pPr>
        <w:pStyle w:val="ListParagraph"/>
        <w:numPr>
          <w:ilvl w:val="0"/>
          <w:numId w:val="2"/>
        </w:numPr>
        <w:spacing w:after="80"/>
      </w:pPr>
      <w:r>
        <w:rPr>
          <w:rFonts w:ascii="Arial" w:cs="Arial" w:eastAsia="Arial" w:hAnsi="Arial"/>
          <w:color w:val="1A1A1A"/>
          <w:sz w:val="22"/>
          <w:szCs w:val="22"/>
        </w:rPr>
        <w:t xml:space="preserve">Active issues capped at 250/company with nightly archive sweep (mitigates #958 unpaginated query)</w:t>
      </w:r>
    </w:p>
    <w:p>
      <w:pPr>
        <w:pStyle w:val="Heading1"/>
        <w:pBdr>
          <w:bottom w:val="single" w:color="0D7C8C" w:sz="6" w:space="4"/>
        </w:pBdr>
        <w:spacing w:after="240" w:before="560"/>
      </w:pPr>
      <w:r>
        <w:rPr>
          <w:rFonts w:ascii="Arial" w:cs="Arial" w:eastAsia="Arial" w:hAnsi="Arial"/>
          <w:b/>
          <w:bCs/>
          <w:color w:val="1B3A5C"/>
          <w:sz w:val="38"/>
          <w:szCs w:val="38"/>
        </w:rPr>
        <w:t xml:space="preserve">Appendix B — Acronym and Tool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Term</w:t>
            </w:r>
          </w:p>
        </w:tc>
        <w:tc>
          <w:tcPr>
            <w:tcW w:type="dxa" w:w="340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Full Name / Description</w:t>
            </w:r>
          </w:p>
        </w:tc>
        <w:tc>
          <w:tcPr>
            <w:tcW w:type="dxa" w:w="3160"/>
            <w:tcBorders>
              <w:top w:val="single" w:color="D1D9E3" w:sz="1"/>
              <w:left w:val="single" w:color="D1D9E3" w:sz="1"/>
              <w:bottom w:val="single" w:color="D1D9E3" w:sz="1"/>
              <w:right w:val="single" w:color="D1D9E3" w:sz="1"/>
            </w:tcBorders>
            <w:shd w:fill="1B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Chapter</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A2A</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Agent-to-Agent Protocol (Google/open standard for inter-agent communication)</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III</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ADF</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Allotrope Data Format (HDF5-based analytical instrument data container)</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AFO</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Allotrope Foundation Ontologies (analytical chemistry ontology suite)</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AIQM2/3</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AI-enhanced Quantum Mechanical methods (Dral group, MLatom)</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ALCOA+</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Attributable, Legible, Contemporaneous, Original, Accurate + Complete, Consistent, Enduring, Available</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ASM</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Allotrope Simple Model (JSON-LD lightweight analytical data representation)</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BoFire</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Bayesian Optimisation Framework (MIT, multi-objective experimental design)</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CAF</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Credibility Assessment Framework (FDA Jan 2025 draft guidance)</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ChEBI</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Chemical Entities of Biological Interest (EBI ontology, 60,000+ entities)</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CHMO</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Chemical Methods Ontology (OBO, 3,000+ laboratory method terms)</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CDS</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Chromatography Data System (Waters Empower, Agilent OpenLab, Thermo Chromeleon)</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CoU</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Context of Use (FDA CAF term for defining AI system scope)</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DFT</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Density Functional Theory (quantum chemistry method)</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DLPNO-CCSD(T)</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Domain-based Local Pair Natural Orbital Coupled Cluster — gold standard QC method</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GBM</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Gradient-Boosted Machine (XGBoost, LightGBM, CatBoost)</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GFN2-xTB</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Geometry, Frequency, Noncovalent eXtended Tight-Binding v2 (Grimme group)</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HIL</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Human-in-the-Loop</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II, VI</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ISA</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Investigation-Study-Assay (FAIR experimental metadata framework)</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LIMS</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Laboratory Information Management System</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 VI</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MACE-OFF23</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Machine Learning Atomic Cluster Expansion for organic molecules</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MCP</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Model Context Protocol (Anthropic open standard for AI tool integration)</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I–VIII</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NemoClaw</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NVIDIA open-source agentic runtime (OpenClaw + OpenShell)</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OTel</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OpenTelemetry (open observability standard)</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Paperclip</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Open-source orchestration for zero-human companies (paperclipai/paperclip)</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II</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PAT</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Process Analytical Technology (inline/online/atline monitoring)</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 V</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PROV-O</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W3C Provenance Ontology (agent knowledge lineage)</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 VI</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RXNO</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Reaction Ontology (OBO Foundry, 1,000+ reaction classes)</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SiLA 2</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Standardisation in Lab Automation v2 (gRPC instrument control)</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SOUL.md</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OpenClaw agent persona definition file (persona, hard limits)</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 II</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TabPFN v2</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Tabular Prior-Data Fitted Network v2 (Hollmann et al., Nature MI 2025)</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TRL</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Technology Readiness Level (NASA/EC standard 1–9)</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VII</w:t>
            </w:r>
          </w:p>
        </w:tc>
      </w:tr>
      <w:tr>
        <w:tc>
          <w:tcPr>
            <w:tcW w:type="dxa" w:w="28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WORM</w:t>
            </w:r>
          </w:p>
        </w:tc>
        <w:tc>
          <w:tcPr>
            <w:tcW w:type="dxa" w:w="340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Write Once Read Many (MinIO Object Lock Compliance mode)</w:t>
            </w:r>
          </w:p>
        </w:tc>
        <w:tc>
          <w:tcPr>
            <w:tcW w:type="dxa" w:w="3160"/>
            <w:tcBorders>
              <w:top w:val="single" w:color="D1D9E3" w:sz="1"/>
              <w:left w:val="single" w:color="D1D9E3" w:sz="1"/>
              <w:bottom w:val="single" w:color="D1D9E3" w:sz="1"/>
              <w:right w:val="single" w:color="D1D9E3" w:sz="1"/>
            </w:tcBorders>
            <w:shd w:fill="F3F6FA"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V, VI</w:t>
            </w:r>
          </w:p>
        </w:tc>
      </w:tr>
      <w:tr>
        <w:tc>
          <w:tcPr>
            <w:tcW w:type="dxa" w:w="28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xTB</w:t>
            </w:r>
          </w:p>
        </w:tc>
        <w:tc>
          <w:tcPr>
            <w:tcW w:type="dxa" w:w="340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Extended Tight-Binding semi-empirical QC (Grimme group, LGPL)</w:t>
            </w:r>
          </w:p>
        </w:tc>
        <w:tc>
          <w:tcPr>
            <w:tcW w:type="dxa" w:w="3160"/>
            <w:tcBorders>
              <w:top w:val="single" w:color="D1D9E3" w:sz="1"/>
              <w:left w:val="single" w:color="D1D9E3" w:sz="1"/>
              <w:bottom w:val="single" w:color="D1D9E3" w:sz="1"/>
              <w:right w:val="single" w:color="D1D9E3" w:sz="1"/>
            </w:tcBorders>
            <w:shd w:fill="FFFFFF" w:val="clear"/>
            <w:tcMar>
              <w:top w:type="dxa" w:w="80"/>
              <w:left w:type="dxa" w:w="100"/>
              <w:bottom w:type="dxa" w:w="80"/>
              <w:right w:type="dxa" w:w="100"/>
            </w:tcMar>
          </w:tcPr>
          <w:p>
            <w:pPr>
              <w:spacing w:after="0"/>
              <w:jc w:val="left"/>
            </w:pPr>
            <w:r>
              <w:rPr>
                <w:rFonts w:ascii="Arial" w:cs="Arial" w:eastAsia="Arial" w:hAnsi="Arial"/>
                <w:color w:val="1A1A1A"/>
                <w:sz w:val="19"/>
                <w:szCs w:val="19"/>
              </w:rPr>
              <w:t xml:space="preserve">IV</w:t>
            </w:r>
          </w:p>
        </w:tc>
      </w:tr>
    </w:tbl>
    <w:p>
      <w:pPr>
        <w:spacing w:after="300"/>
      </w:pPr>
    </w:p>
    <w:p>
      <w:pPr>
        <w:pBdr>
          <w:top w:val="single" w:color="0D7C8C" w:sz="6" w:space="4"/>
        </w:pBdr>
        <w:spacing w:before="300"/>
        <w:jc w:val="center"/>
      </w:pPr>
      <w:r>
        <w:rPr>
          <w:rFonts w:ascii="Arial" w:cs="Arial" w:eastAsia="Arial" w:hAnsi="Arial"/>
          <w:color w:val="4A5568"/>
          <w:sz w:val="18"/>
          <w:szCs w:val="18"/>
        </w:rPr>
        <w:t xml:space="preserve">End of Document  ·  NemoClaw · Paperclip · Hermes Whitepaper v4.0  ·  April 2026  ·  CONFIDENTIAL DRAFT</w:t>
      </w:r>
    </w:p>
    <w:p>
      <w:pPr>
        <w:pBdr>
          <w:top w:val="single" w:color="0D7C8C" w:sz="6" w:space="4"/>
        </w:pBdr>
        <w:spacing w:before="300"/>
        <w:jc w:val="center"/>
      </w:pPr>
      <w:r>
        <w:rPr>
          <w:rFonts w:ascii="Arial" w:cs="Arial" w:eastAsia="Arial" w:hAnsi="Arial"/>
          <w:color w:val="4A5568"/>
          <w:sz w:val="18"/>
          <w:szCs w:val="18"/>
        </w:rPr>
        <w:t xml:space="preserve">End of Document  ·  Autonomous Pharma R&amp;D Whitepaper v6.0  ·  April 2026  ·  CONFIDENTIAL DRAFT</w:t>
      </w:r>
    </w:p>
    <w:sectPr>
      <w:headerReference w:type="default" r:id="rId7"/>
      <w:footerReference w:type="default" r:id="rId8"/>
      <w:pgSz w:w="11906" w:h="16838" w:orient="portrait"/>
      <w:pgMar w:top="1020" w:right="1020"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3" w:sz="4" w:space="4"/>
      </w:pBdr>
      <w:jc w:val="center"/>
    </w:pPr>
    <w:r>
      <w:rPr>
        <w:rFonts w:ascii="Arial" w:cs="Arial" w:eastAsia="Arial" w:hAnsi="Arial"/>
        <w:color w:val="4A5568"/>
        <w:sz w:val="16"/>
        <w:szCs w:val="16"/>
      </w:rPr>
      <w:t xml:space="preserve">For internal review only. Not for external distribution. Revision pending Paperclip / NemoClaw / Hermes Agent production releases.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3" w:sz="4" w:space="4"/>
      </w:pBdr>
    </w:pPr>
    <w:r>
      <w:rPr>
        <w:rFonts w:ascii="Arial" w:cs="Arial" w:eastAsia="Arial" w:hAnsi="Arial"/>
        <w:color w:val="4A5568"/>
        <w:sz w:val="16"/>
        <w:szCs w:val="16"/>
      </w:rPr>
      <w:t xml:space="preserve">Autonomous Pharma R&amp;D  ·  Complete Consolidated Whitepaper v6.0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1B3A5C"/>
      <w:sz w:val="38"/>
      <w:szCs w:val="38"/>
    </w:rPr>
  </w:style>
  <w:style w:type="paragraph" w:styleId="Heading2">
    <w:name w:val="Heading 2"/>
    <w:basedOn w:val="Normal"/>
    <w:next w:val="Normal"/>
    <w:qFormat/>
    <w:pPr>
      <w:spacing w:after="160" w:before="400"/>
      <w:outlineLvl w:val="1"/>
    </w:pPr>
    <w:rPr>
      <w:rFonts w:ascii="Arial" w:cs="Arial" w:eastAsia="Arial" w:hAnsi="Arial"/>
      <w:b/>
      <w:bCs/>
      <w:color w:val="3A7CA5"/>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0D7C8C"/>
      <w:sz w:val="24"/>
      <w:szCs w:val="24"/>
    </w:rPr>
  </w:style>
  <w:style w:type="paragraph" w:styleId="Heading4">
    <w:name w:val="Heading 4"/>
    <w:basedOn w:val="Normal"/>
    <w:next w:val="Normal"/>
    <w:qFormat/>
    <w:pPr>
      <w:spacing w:after="80" w:before="200"/>
      <w:outlineLvl w:val="3"/>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2026-04-22T18:17:22.135Z</dcterms:created>
  <dcterms:modified xsi:type="dcterms:W3CDTF">2026-04-22T18:17:22.136Z</dcterms:modified>
</cp:coreProperties>
</file>

<file path=docProps/custom.xml><?xml version="1.0" encoding="utf-8"?>
<Properties xmlns="http://schemas.openxmlformats.org/officeDocument/2006/custom-properties" xmlns:vt="http://schemas.openxmlformats.org/officeDocument/2006/docPropsVTypes"/>
</file>