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Football AI Pro｜十场比赛重新筛选报告</w:t>
      </w:r>
    </w:p>
    <w:p>
      <w:pPr>
        <w:jc w:val="center"/>
      </w:pPr>
      <w:r>
        <w:rPr>
          <w:i/>
        </w:rPr>
        <w:t>概率校准 + 弃权门禁 + 多公司一致性复核</w:t>
        <w:br/>
        <w:t>数据截点：用户提供截图（2026-07-17 15:19–15:28）</w:t>
      </w:r>
    </w:p>
    <w:p>
      <w:r>
        <w:rPr>
          <w:b/>
        </w:rPr>
        <w:t>重要说明：</w:t>
      </w:r>
      <w:r>
        <w:t>本报告依据已提供截图和已登记联赛样本重新筛选。AI评分、信心指数仅表示当前数据一致性，不是保证命中率。标记“弃”代表不进入正式组合。</w:t>
      </w:r>
    </w:p>
    <w:p>
      <w:pPr>
        <w:pStyle w:val="Heading1"/>
      </w:pPr>
      <w:r>
        <w:t>一、最终筛选总表</w:t>
      </w:r>
    </w:p>
    <w:p>
      <w:r>
        <w:t>盘口标注说明： “竞彩让球”列为官方让球数值；-1 表示主队让一球，+1 表示主队受让一球。该列与“让球胜平负”配套阅读。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场次</w:t>
            </w:r>
          </w:p>
        </w:tc>
        <w:tc>
          <w:tcPr>
            <w:tcW w:type="dxa" w:w="127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对阵</w:t>
            </w:r>
          </w:p>
        </w:tc>
        <w:tc>
          <w:tcPr>
            <w:tcW w:type="dxa" w:w="127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竞彩让球</w:t>
            </w:r>
          </w:p>
        </w:tc>
        <w:tc>
          <w:tcPr>
            <w:tcW w:type="dxa" w:w="127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竞彩胜平负</w:t>
            </w:r>
          </w:p>
        </w:tc>
        <w:tc>
          <w:tcPr>
            <w:tcW w:type="dxa" w:w="127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让球胜平负</w:t>
            </w:r>
          </w:p>
        </w:tc>
        <w:tc>
          <w:tcPr>
            <w:tcW w:type="dxa" w:w="127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AI评分</w:t>
            </w:r>
          </w:p>
        </w:tc>
        <w:tc>
          <w:tcPr>
            <w:tcW w:type="dxa" w:w="127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信心</w:t>
            </w:r>
          </w:p>
        </w:tc>
        <w:tc>
          <w:tcPr>
            <w:tcW w:type="dxa" w:w="1278"/>
            <w:vAlign w:val="center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瓦勒伦加 vs 奥勒松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主胜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68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条件通过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德里城 vs 索陆军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客胜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67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条件通过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费伦茨瓦罗斯 vs 伏伊伏丁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主胜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让胜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77</w:t>
            </w:r>
          </w:p>
        </w:tc>
        <w:tc>
          <w:tcPr>
            <w:tcW w:type="dxa" w:w="1278"/>
            <w:vAlign w:val="center"/>
            <w:shd w:fill="E2F0D9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通过·最强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204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日利纳 vs 斯海杜克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客胜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62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观望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博塔弗戈 vs 桑托斯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让负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57</w:t>
            </w:r>
          </w:p>
        </w:tc>
        <w:tc>
          <w:tcPr>
            <w:tcW w:type="dxa" w:w="1278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弃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206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维多利亚 vs 达伽马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主胜防平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57</w:t>
            </w:r>
          </w:p>
        </w:tc>
        <w:tc>
          <w:tcPr>
            <w:tcW w:type="dxa" w:w="1278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弃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207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蒙特利尔 vs 多伦多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让负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56</w:t>
            </w:r>
          </w:p>
        </w:tc>
        <w:tc>
          <w:tcPr>
            <w:tcW w:type="dxa" w:w="1278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弃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208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芝加哥 vs 温哥华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让胜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59</w:t>
            </w:r>
          </w:p>
        </w:tc>
        <w:tc>
          <w:tcPr>
            <w:tcW w:type="dxa" w:w="1278"/>
            <w:vAlign w:val="center"/>
            <w:shd w:fill="FCE4D6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弃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209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圣路易斯城 vs 堪萨斯城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主胜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69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西雅图 vs 波特兰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主胜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让平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68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pStyle w:val="Heading1"/>
      </w:pPr>
      <w:r>
        <w:t>二、保留场次</w:t>
      </w:r>
    </w:p>
    <w:p>
      <w:pPr>
        <w:pStyle w:val="Heading2"/>
      </w:pPr>
      <w:r>
        <w:t>203｜费伦茨瓦罗斯 vs 伏伊伏丁</w:t>
      </w:r>
    </w:p>
    <w:p>
      <w:r>
        <w:t>标准盘主胜为十场中最强方向。多家公司欧赔同步压低主胜，亚洲盘出现跨档升盘，联赛样本与盘口方向一致。竞彩建议：主胜；让球建议：让胜，但让胜风险高于普通主胜。</w:t>
      </w:r>
    </w:p>
    <w:p>
      <w:pPr>
        <w:pStyle w:val="Heading2"/>
      </w:pPr>
      <w:r>
        <w:t>209｜圣路易斯城 vs 堪萨斯城</w:t>
      </w:r>
    </w:p>
    <w:p>
      <w:r>
        <w:t>标准盘主胜方向稳定，主场样本支持主队不败。亚洲盘虽强化主队，但受让方仍有低水保护，不能把升盘直接等同于大胜。竞彩建议：主胜；让球建议：让平。</w:t>
      </w:r>
    </w:p>
    <w:p>
      <w:pPr>
        <w:pStyle w:val="Heading2"/>
      </w:pPr>
      <w:r>
        <w:t>210｜西雅图 vs 波特兰</w:t>
      </w:r>
    </w:p>
    <w:p>
      <w:r>
        <w:t>主胜概率明确，欧赔和基本面均支持主队。让球盘对受让方存在保护，净胜两球的不确定性较高。竞彩建议：主胜；让球建议：让平。</w:t>
      </w:r>
    </w:p>
    <w:p>
      <w:pPr>
        <w:pStyle w:val="Heading2"/>
      </w:pPr>
      <w:r>
        <w:t>201｜瓦勒伦加 vs 奥勒松</w:t>
      </w:r>
    </w:p>
    <w:p>
      <w:r>
        <w:t>主胜方向成立，但防守样本不够稳定，属于条件通过。竞彩建议：主胜；让球建议：让平，不进入最稳层。</w:t>
      </w:r>
    </w:p>
    <w:p>
      <w:pPr>
        <w:pStyle w:val="Heading2"/>
      </w:pPr>
      <w:r>
        <w:t>202｜德里城 vs 索陆军</w:t>
      </w:r>
    </w:p>
    <w:p>
      <w:r>
        <w:t>客胜是欧赔第一方向，但平局保护明显，客胜优势不够大。竞彩建议：客胜；让球建议：让平，临场客胜赔率明显上升时退出。</w:t>
      </w:r>
    </w:p>
    <w:p>
      <w:pPr>
        <w:pStyle w:val="Heading2"/>
      </w:pPr>
      <w:r>
        <w:t>204｜日利纳 vs 斯海杜克</w:t>
      </w:r>
    </w:p>
    <w:p>
      <w:r>
        <w:t>客胜方向有支持，但跨公司一致性和净胜优势不足。建议仅作观察，不进入核心串关。</w:t>
      </w:r>
    </w:p>
    <w:p>
      <w:pPr>
        <w:pStyle w:val="Heading1"/>
      </w:pPr>
      <w:r>
        <w:t>三、弃权场次</w:t>
      </w:r>
    </w:p>
    <w:p>
      <w:pPr>
        <w:pStyle w:val="ListBullet"/>
      </w:pPr>
      <w:r>
        <w:t>205｜博塔弗戈 vs 桑托斯：欧赔与亚洲盘方向冲突，平局概率高，模型与市场缺乏一致性。</w:t>
      </w:r>
    </w:p>
    <w:p>
      <w:pPr>
        <w:pStyle w:val="ListBullet"/>
      </w:pPr>
      <w:r>
        <w:t>206｜维多利亚 vs 达伽马：主胜赔率与盘口水位不匹配，主胜边际不足；联赛样本只支持主队轻微优势。</w:t>
      </w:r>
    </w:p>
    <w:p>
      <w:pPr>
        <w:pStyle w:val="ListBullet"/>
      </w:pPr>
      <w:r>
        <w:t>207｜蒙特利尔 vs 多伦多：主胜、平局和客队受让方向互相牵制，无法形成可执行优势。</w:t>
      </w:r>
    </w:p>
    <w:p>
      <w:pPr>
        <w:pStyle w:val="ListBullet"/>
      </w:pPr>
      <w:r>
        <w:t>208｜芝加哥 vs 温哥华：欧赔偏向客队，但盘口对主队有保护，属于典型冲突盘。</w:t>
      </w:r>
    </w:p>
    <w:p>
      <w:pPr>
        <w:pStyle w:val="Heading1"/>
      </w:pPr>
      <w:r>
        <w:t>四、组合建议</w:t>
      </w:r>
    </w:p>
    <w:p>
      <w:r>
        <w:t>稳健方案：203主胜 × 209主胜。只选两场，优先命中率。</w:t>
      </w:r>
    </w:p>
    <w:p>
      <w:r>
        <w:t>高风险3串1（参考赔率约9.46倍）：203主胜（-1）让胜 @2.11 × 209主胜（-1）普通主胜 @1.32 × 202主胜（+1）让平 @3.40。该组合不作为首选，风险主要来自203让胜与202让平。</w:t>
      </w:r>
    </w:p>
    <w:p>
      <w:r>
        <w:t>稳健3串1：203普通主胜 @1.35 × 209普通主胜 @1.32 × 202客胜 @1.66，参考组合赔率约2.96倍，命中率优先但回报较低。</w:t>
      </w:r>
    </w:p>
    <w:p>
      <w:r>
        <w:t>折中3串1：203普通主胜 @1.35 × 209普通主胜 @1.32 × 202（+1）让平 @3.40，参考组合赔率约6.06倍；这是本报告更符合“两个稳胆+一个中高风险腿”的组合。</w:t>
      </w:r>
    </w:p>
    <w:p>
      <w:r>
        <w:t>不建议把205、206、207、208加入任何正式串关。</w:t>
      </w:r>
    </w:p>
    <w:p>
      <w:pPr>
        <w:pStyle w:val="Heading1"/>
      </w:pPr>
      <w:r>
        <w:t>五、临场退出条件</w:t>
      </w:r>
    </w:p>
    <w:p>
      <w:pPr>
        <w:pStyle w:val="ListBullet"/>
      </w:pPr>
      <w:r>
        <w:t>203若临场退回浅盘且主队水位持续升高，取消让胜，仅保留普通主胜。</w:t>
      </w:r>
    </w:p>
    <w:p>
      <w:pPr>
        <w:pStyle w:val="ListBullet"/>
      </w:pPr>
      <w:r>
        <w:t>202若客胜赔率明显升至1.85以上，退出稳健层。</w:t>
      </w:r>
    </w:p>
    <w:p>
      <w:pPr>
        <w:pStyle w:val="ListBullet"/>
      </w:pPr>
      <w:r>
        <w:t>209、210若让球继续升档但受让方持续低水，维持让平，不升级让胜。</w:t>
      </w:r>
    </w:p>
    <w:p>
      <w:pPr>
        <w:pStyle w:val="ListBullet"/>
      </w:pPr>
      <w:r>
        <w:t>任何单一公司变化，不足以改变结论；至少三家公司同步且方向一致才提高权重。</w:t>
      </w:r>
    </w:p>
    <w:p>
      <w:pPr>
        <w:pStyle w:val="Heading1"/>
      </w:pPr>
      <w:r>
        <w:t>六、门禁结论</w:t>
      </w:r>
    </w:p>
    <w:p>
      <w:r>
        <w:t>本次十场筛选结果：4场正式候选、2场条件候选、4场弃权。弃权不是预测其必败，而是表示当前数据不足以支持正式下注。该策略会降低覆盖率，但符合提高命中率的目标。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