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i w:val="0"/>
          <w:color w:val="1F4D78"/>
          <w:sz w:val="24"/>
        </w:rPr>
        <w:t>Football AI Pro</w:t>
      </w:r>
    </w:p>
    <w:p>
      <w:pPr>
        <w:spacing w:before="0" w:after="100"/>
      </w:pPr>
      <w:r>
        <w:rPr>
          <w:rFonts w:ascii="Calibri" w:hAnsi="Calibri" w:eastAsia="Microsoft YaHei"/>
          <w:b/>
          <w:i w:val="0"/>
          <w:color w:val="1F4D78"/>
          <w:sz w:val="48"/>
        </w:rPr>
        <w:t>8 场比赛完整分析汇总</w:t>
      </w:r>
    </w:p>
    <w:p>
      <w:pPr>
        <w:spacing w:before="0" w:after="280"/>
      </w:pPr>
      <w:r>
        <w:rPr>
          <w:rFonts w:ascii="Calibri" w:hAnsi="Calibri" w:eastAsia="Microsoft YaHei"/>
          <w:b w:val="0"/>
          <w:i w:val="0"/>
          <w:color w:val="64748B"/>
          <w:sz w:val="23"/>
        </w:rPr>
        <w:t>竞彩胜平负 + 让球胜平负 + AI评分 + 赛果路径 + 串关方案</w:t>
      </w:r>
    </w:p>
    <w:p>
      <w:pPr>
        <w:spacing w:before="40" w:after="160" w:line="300" w:lineRule="auto"/>
        <w:ind w:left="115" w:right="115"/>
        <w:shd w:fill="FFF6DD"/>
        <w:pBdr>
          <w:left w:val="single" w:sz="18" w:space="8" w:color="8A6100"/>
        </w:pBdr>
      </w:pPr>
      <w:r>
        <w:rPr>
          <w:rFonts w:ascii="Calibri" w:hAnsi="Calibri" w:eastAsia="Microsoft YaHei"/>
          <w:b/>
          <w:i w:val="0"/>
          <w:color w:val="8A6100"/>
          <w:sz w:val="23"/>
        </w:rPr>
        <w:t>阅读说明</w:t>
        <w:br/>
      </w:r>
      <w:r>
        <w:rPr>
          <w:rFonts w:ascii="Calibri" w:hAnsi="Calibri" w:eastAsia="Microsoft YaHei"/>
          <w:b w:val="0"/>
          <w:i w:val="0"/>
          <w:color w:val="202A33"/>
          <w:sz w:val="21"/>
        </w:rPr>
        <w:t>本报告整合用户提供的竞彩、球探多公司欧赔与亚盘截图。AI评分表示数据一致性；信心指数表示方向相对把握，不是保证命中率或实际胜率。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1F4D78"/>
          <w:sz w:val="32"/>
        </w:rPr>
        <w:t>一、最终筛选与放弃标注</w:t>
      </w:r>
    </w:p>
    <w:p>
      <w:pPr>
        <w:spacing w:before="40" w:after="160" w:line="300" w:lineRule="auto"/>
        <w:ind w:left="115" w:right="115"/>
        <w:shd w:fill="EAF4EE"/>
        <w:pBdr>
          <w:left w:val="single" w:sz="18" w:space="8" w:color="2F6B4F"/>
        </w:pBdr>
      </w:pPr>
      <w:r>
        <w:rPr>
          <w:rFonts w:ascii="Calibri" w:hAnsi="Calibri" w:eastAsia="Microsoft YaHei"/>
          <w:b/>
          <w:i w:val="0"/>
          <w:color w:val="2F6B4F"/>
          <w:sz w:val="23"/>
        </w:rPr>
        <w:t>正式通过</w:t>
        <w:br/>
      </w:r>
      <w:r>
        <w:rPr>
          <w:rFonts w:ascii="Calibri" w:hAnsi="Calibri" w:eastAsia="Microsoft YaHei"/>
          <w:b w:val="0"/>
          <w:i w:val="0"/>
          <w:color w:val="202A33"/>
          <w:sz w:val="21"/>
        </w:rPr>
        <w:t>204 巴伊亚主胜；207 纳什维尔主胜；202 米亚尔比主胜。</w:t>
      </w:r>
    </w:p>
    <w:p>
      <w:pPr>
        <w:spacing w:before="40" w:after="160" w:line="300" w:lineRule="auto"/>
        <w:ind w:left="115" w:right="115"/>
        <w:shd w:fill="FFF6DD"/>
        <w:pBdr>
          <w:left w:val="single" w:sz="18" w:space="8" w:color="8A6100"/>
        </w:pBdr>
      </w:pPr>
      <w:r>
        <w:rPr>
          <w:rFonts w:ascii="Calibri" w:hAnsi="Calibri" w:eastAsia="Microsoft YaHei"/>
          <w:b/>
          <w:i w:val="0"/>
          <w:color w:val="8A6100"/>
          <w:sz w:val="23"/>
        </w:rPr>
        <w:t>条件通过</w:t>
        <w:br/>
      </w:r>
      <w:r>
        <w:rPr>
          <w:rFonts w:ascii="Calibri" w:hAnsi="Calibri" w:eastAsia="Microsoft YaHei"/>
          <w:b w:val="0"/>
          <w:i w:val="0"/>
          <w:color w:val="202A33"/>
          <w:sz w:val="21"/>
        </w:rPr>
        <w:t>201 哥德堡主胜（防平）；205 弗鲁米嫩塞主胜（不作稳胆）。</w:t>
      </w:r>
    </w:p>
    <w:p>
      <w:pPr>
        <w:spacing w:before="40" w:after="160" w:line="300" w:lineRule="auto"/>
        <w:ind w:left="115" w:right="115"/>
        <w:shd w:fill="FCEBEC"/>
        <w:pBdr>
          <w:left w:val="single" w:sz="18" w:space="8" w:color="9A3030"/>
        </w:pBdr>
      </w:pPr>
      <w:r>
        <w:rPr>
          <w:rFonts w:ascii="Calibri" w:hAnsi="Calibri" w:eastAsia="Microsoft YaHei"/>
          <w:b/>
          <w:i w:val="0"/>
          <w:color w:val="9A3030"/>
          <w:sz w:val="23"/>
        </w:rPr>
        <w:t>建议放弃</w:t>
        <w:br/>
      </w:r>
      <w:r>
        <w:rPr>
          <w:rFonts w:ascii="Calibri" w:hAnsi="Calibri" w:eastAsia="Microsoft YaHei"/>
          <w:b w:val="0"/>
          <w:i w:val="0"/>
          <w:color w:val="202A33"/>
          <w:sz w:val="21"/>
        </w:rPr>
        <w:t>203 博德闪耀（仅开 -2 深盘）；206 米拉索尔（市场强度分歧）；208 洛城德比（波动过高）。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1F4D78"/>
          <w:sz w:val="32"/>
        </w:rPr>
        <w:t>二、8 场比赛逐场完整结论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1F4D78"/>
          <w:sz w:val="26"/>
        </w:rPr>
        <w:t>201  瑞超：哥德堡 vs 布鲁马波卡纳</w:t>
      </w:r>
    </w:p>
    <w:p>
      <w:pPr>
        <w:spacing w:before="0" w:after="100" w:line="300" w:lineRule="auto"/>
        <w:ind w:left="115" w:right="115"/>
        <w:shd w:fill="FFF6DD"/>
        <w:pBdr>
          <w:left w:val="single" w:sz="18" w:space="8" w:color="8A6100"/>
        </w:pBdr>
      </w:pPr>
      <w:r>
        <w:rPr>
          <w:rFonts w:ascii="Calibri" w:hAnsi="Calibri" w:eastAsia="Microsoft YaHei"/>
          <w:b/>
          <w:i w:val="0"/>
          <w:color w:val="8A6100"/>
          <w:sz w:val="21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条件通过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主胜，防平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-1：让负为主，防让平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盘口信息：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竞彩：主胜 1.84 / 平 3.50 / 主负 3.33；让球 -1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AI / 信心 / 冷门：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72 / 68 / 35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1-0 / 1-1 / 2-1</w:t>
      </w:r>
    </w:p>
    <w:p>
      <w:pPr>
        <w:spacing w:before="0" w:after="1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主队是第一方向，但多家公司亚洲盘主要停留在主让半球，未形成强势升盘；可单关观察，不宜充当串关稳胆。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1F4D78"/>
          <w:sz w:val="26"/>
        </w:rPr>
        <w:t>202  瑞超：米亚尔比 vs 韦斯特罗斯</w:t>
      </w:r>
    </w:p>
    <w:p>
      <w:pPr>
        <w:spacing w:before="0" w:after="100" w:line="300" w:lineRule="auto"/>
        <w:ind w:left="115" w:right="115"/>
        <w:shd w:fill="EAF4EE"/>
        <w:pBdr>
          <w:left w:val="single" w:sz="18" w:space="8" w:color="2F6B4F"/>
        </w:pBdr>
      </w:pPr>
      <w:r>
        <w:rPr>
          <w:rFonts w:ascii="Calibri" w:hAnsi="Calibri" w:eastAsia="Microsoft YaHei"/>
          <w:b/>
          <w:i w:val="0"/>
          <w:color w:val="2F6B4F"/>
          <w:sz w:val="21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正式通过（稳胆候选）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主胜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-1：让平优先，防让负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盘口信息：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竞彩：主胜 1.61 / 平 3.75 / 主负 4.15；让球 -1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AI / 信心 / 冷门：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74 / 70 / 28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1-0 / 2-1</w:t>
      </w:r>
    </w:p>
    <w:p>
      <w:pPr>
        <w:spacing w:before="0" w:after="1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主场优势明确，标准盘主胜可做稳胆。模型比分集中于一球小胜，因此让球 -1 的“让平”比穿盘更贴合高赔路径。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1F4D78"/>
          <w:sz w:val="26"/>
        </w:rPr>
        <w:t>203  挪超：博德闪耀 vs 腓特烈斯塔</w:t>
      </w:r>
    </w:p>
    <w:p>
      <w:pPr>
        <w:spacing w:before="0" w:after="100" w:line="300" w:lineRule="auto"/>
        <w:ind w:left="115" w:right="115"/>
        <w:shd w:fill="FCEBEC"/>
        <w:pBdr>
          <w:left w:val="single" w:sz="18" w:space="8" w:color="9A3030"/>
        </w:pBdr>
      </w:pPr>
      <w:r>
        <w:rPr>
          <w:rFonts w:ascii="Calibri" w:hAnsi="Calibri" w:eastAsia="Microsoft YaHei"/>
          <w:b/>
          <w:i w:val="0"/>
          <w:color w:val="9A3030"/>
          <w:sz w:val="21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建议放弃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标准盘未开售，不纳入组合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-2：让平或让负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盘口信息：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竞彩仅见让球 -2：主胜 1.90 / 平 4.10 / 主负 2.78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AI / 信心 / 冷门：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80 / 76 / 18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2-0 / 3-1</w:t>
      </w:r>
    </w:p>
    <w:p>
      <w:pPr>
        <w:spacing w:before="0" w:after="1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主胜方向虽强，但可投市场被迫进入 -2 深盘；赢球不等同赢盘，净胜两球是结算边界，风险不适合作串关。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1F4D78"/>
          <w:sz w:val="26"/>
        </w:rPr>
        <w:t>204  巴甲：巴伊亚 vs 沙佩科恩斯</w:t>
      </w:r>
    </w:p>
    <w:p>
      <w:pPr>
        <w:spacing w:before="0" w:after="100" w:line="300" w:lineRule="auto"/>
        <w:ind w:left="115" w:right="115"/>
        <w:shd w:fill="EAF4EE"/>
        <w:pBdr>
          <w:left w:val="single" w:sz="18" w:space="8" w:color="2F6B4F"/>
        </w:pBdr>
      </w:pPr>
      <w:r>
        <w:rPr>
          <w:rFonts w:ascii="Calibri" w:hAnsi="Calibri" w:eastAsia="Microsoft YaHei"/>
          <w:b/>
          <w:i w:val="0"/>
          <w:color w:val="2F6B4F"/>
          <w:sz w:val="21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正式通过（第一稳胆）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主胜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-1：让胜，防让平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盘口信息：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竞彩：主胜 1.29 / 平 4.70 / 主负 7.10；让球 -1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AI / 信心 / 冷门：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83 / 81 / 12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2-0 / 2-1</w:t>
      </w:r>
    </w:p>
    <w:p>
      <w:pPr>
        <w:spacing w:before="0" w:after="1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多家公司欧赔与亚盘对主队形成一致支撑，且竞彩主胜低位稳定；是本组方向最清晰的一场，标准主胜优先。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1F4D78"/>
          <w:sz w:val="26"/>
        </w:rPr>
        <w:t>205  巴甲：弗鲁米嫩塞 vs 布拉干RB</w:t>
      </w:r>
    </w:p>
    <w:p>
      <w:pPr>
        <w:spacing w:before="0" w:after="100" w:line="300" w:lineRule="auto"/>
        <w:ind w:left="115" w:right="115"/>
        <w:shd w:fill="FFF6DD"/>
        <w:pBdr>
          <w:left w:val="single" w:sz="18" w:space="8" w:color="8A6100"/>
        </w:pBdr>
      </w:pPr>
      <w:r>
        <w:rPr>
          <w:rFonts w:ascii="Calibri" w:hAnsi="Calibri" w:eastAsia="Microsoft YaHei"/>
          <w:b/>
          <w:i w:val="0"/>
          <w:color w:val="8A6100"/>
          <w:sz w:val="21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条件通过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主胜，防平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-1：让平或让负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盘口信息：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竞彩：主胜 1.69 / 平 3.34 / 主负 4.20；让球 -1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AI / 信心 / 冷门：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68 / 62 / 31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1-0 / 2-1 / 1-1</w:t>
      </w:r>
    </w:p>
    <w:p>
      <w:pPr>
        <w:spacing w:before="0" w:after="1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主胜为第一方向，但竞彩主胜强度高于市场平均强度，且让球盘并不支持大胜；可作备选，不能归入稳胆。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1F4D78"/>
          <w:sz w:val="26"/>
        </w:rPr>
        <w:t>206  巴甲：米拉索尔 vs 格雷米奥</w:t>
      </w:r>
    </w:p>
    <w:p>
      <w:pPr>
        <w:spacing w:before="0" w:after="100" w:line="300" w:lineRule="auto"/>
        <w:ind w:left="115" w:right="115"/>
        <w:shd w:fill="FCEBEC"/>
        <w:pBdr>
          <w:left w:val="single" w:sz="18" w:space="8" w:color="9A3030"/>
        </w:pBdr>
      </w:pPr>
      <w:r>
        <w:rPr>
          <w:rFonts w:ascii="Calibri" w:hAnsi="Calibri" w:eastAsia="Microsoft YaHei"/>
          <w:b/>
          <w:i w:val="0"/>
          <w:color w:val="9A3030"/>
          <w:sz w:val="21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建议放弃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主胜，防平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-1：让负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盘口信息：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竞彩：主胜 1.72 / 平 3.20 / 主负 4.25；让球 -1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AI / 信心 / 冷门：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65 / 59 / 39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1-0 / 1-1</w:t>
      </w:r>
    </w:p>
    <w:p>
      <w:pPr>
        <w:spacing w:before="0" w:after="1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竞彩对主队的定价明显强于多家公司市场均值，三项概率接近，市场一致性不足；不满足正式组合门槛。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1F4D78"/>
          <w:sz w:val="26"/>
        </w:rPr>
        <w:t>207  美职：纳什维尔 vs 亚特联</w:t>
      </w:r>
    </w:p>
    <w:p>
      <w:pPr>
        <w:spacing w:before="0" w:after="100" w:line="300" w:lineRule="auto"/>
        <w:ind w:left="115" w:right="115"/>
        <w:shd w:fill="EAF4EE"/>
        <w:pBdr>
          <w:left w:val="single" w:sz="18" w:space="8" w:color="2F6B4F"/>
        </w:pBdr>
      </w:pPr>
      <w:r>
        <w:rPr>
          <w:rFonts w:ascii="Calibri" w:hAnsi="Calibri" w:eastAsia="Microsoft YaHei"/>
          <w:b/>
          <w:i w:val="0"/>
          <w:color w:val="2F6B4F"/>
          <w:sz w:val="21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正式通过（第二稳胆）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主胜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-1：让胜或让平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盘口信息：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竞彩：主胜 1.34 / 平 4.45 / 主负 6.30；让球 -1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AI / 信心 / 冷门：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81 / 78 / 15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2-0 / 2-1</w:t>
      </w:r>
    </w:p>
    <w:p>
      <w:pPr>
        <w:spacing w:before="0" w:after="1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主胜低位与多家公司欧赔同步，客胜处于普遍高位。主胜标准盘是更稳的选择；让球盘可赢可走边界，单选风险更高。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1F4D78"/>
          <w:sz w:val="26"/>
        </w:rPr>
        <w:t>208  美职：洛城银河 vs 洛杉矶FC</w:t>
      </w:r>
    </w:p>
    <w:p>
      <w:pPr>
        <w:spacing w:before="0" w:after="100" w:line="300" w:lineRule="auto"/>
        <w:ind w:left="115" w:right="115"/>
        <w:shd w:fill="FCEBEC"/>
        <w:pBdr>
          <w:left w:val="single" w:sz="18" w:space="8" w:color="9A3030"/>
        </w:pBdr>
      </w:pPr>
      <w:r>
        <w:rPr>
          <w:rFonts w:ascii="Calibri" w:hAnsi="Calibri" w:eastAsia="Microsoft YaHei"/>
          <w:b/>
          <w:i w:val="0"/>
          <w:color w:val="9A3030"/>
          <w:sz w:val="21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建议放弃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客胜，防平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+1：让胜或让平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盘口信息：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竞彩：主胜 2.95 / 平 3.55 / 主负 1.97；让球 +1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AI / 信心 / 冷门：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67 / 60 / 48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1-2 / 1-1 / 2-2</w:t>
      </w:r>
    </w:p>
    <w:p>
      <w:pPr>
        <w:spacing w:before="0" w:after="18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客胜是市场第一方向，但同城德比的波动与平局权重均高，盘口仅至客让平半，无法支持强客胜结论；建议放弃。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1F4D78"/>
          <w:sz w:val="32"/>
        </w:rPr>
        <w:t>三、修正后的 3 串 1（2 个稳胆标准盘 + 1 个高赔让球盘）</w:t>
      </w:r>
    </w:p>
    <w:p>
      <w:pPr>
        <w:spacing w:before="40" w:after="160" w:line="300" w:lineRule="auto"/>
        <w:ind w:left="115" w:right="115"/>
        <w:shd w:fill="EAF4EE"/>
        <w:pBdr>
          <w:left w:val="single" w:sz="18" w:space="8" w:color="2F6B4F"/>
        </w:pBdr>
      </w:pPr>
      <w:r>
        <w:rPr>
          <w:rFonts w:ascii="Calibri" w:hAnsi="Calibri" w:eastAsia="Microsoft YaHei"/>
          <w:b/>
          <w:i w:val="0"/>
          <w:color w:val="2F6B4F"/>
          <w:sz w:val="23"/>
        </w:rPr>
        <w:t>主推组合（按截图赔率约 5.88 倍）</w:t>
        <w:br/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巴伊亚 主胜 @1.29 × 纳什维尔 主胜 @1.34 × 米亚尔比（-1）让球平 @3.40。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组合逻辑：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前两场只用标准盘主胜做方向稳胆；第三场不用强行追主胜，而选米亚尔比一球小胜最匹配的 -1 让球平，既保留模型路径，也把组合赔率提升到目标区间。</w:t>
      </w:r>
    </w:p>
    <w:p>
      <w:pPr>
        <w:spacing w:before="40" w:after="160" w:line="300" w:lineRule="auto"/>
        <w:ind w:left="115" w:right="115"/>
        <w:shd w:fill="FFF6DD"/>
        <w:pBdr>
          <w:left w:val="single" w:sz="18" w:space="8" w:color="8A6100"/>
        </w:pBdr>
      </w:pPr>
      <w:r>
        <w:rPr>
          <w:rFonts w:ascii="Calibri" w:hAnsi="Calibri" w:eastAsia="Microsoft YaHei"/>
          <w:b/>
          <w:i w:val="0"/>
          <w:color w:val="8A6100"/>
          <w:sz w:val="23"/>
        </w:rPr>
        <w:t>备选组合（按截图赔率约 6.40 倍）</w:t>
        <w:br/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巴伊亚 主胜 @1.29 × 纳什维尔 主胜 @1.34 × 哥德堡（-1）让球平 @3.70。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备选风险：</w:t>
      </w:r>
      <w:r>
        <w:rPr>
          <w:rFonts w:ascii="Calibri" w:hAnsi="Calibri" w:eastAsia="Microsoft YaHei"/>
          <w:b w:val="0"/>
          <w:i w:val="0"/>
          <w:color w:val="202A33"/>
          <w:sz w:val="21"/>
        </w:rPr>
        <w:t>哥德堡属于条件通过，盘面没有提供同等强度的支持；所以该组合仅作更高波动备选，优先级低于主推组合。</w:t>
      </w:r>
    </w:p>
    <w:p>
      <w:pPr>
        <w:spacing w:before="40" w:after="160" w:line="300" w:lineRule="auto"/>
        <w:ind w:left="115" w:right="115"/>
        <w:shd w:fill="FCEBEC"/>
        <w:pBdr>
          <w:left w:val="single" w:sz="18" w:space="8" w:color="9A3030"/>
        </w:pBdr>
      </w:pPr>
      <w:r>
        <w:rPr>
          <w:rFonts w:ascii="Calibri" w:hAnsi="Calibri" w:eastAsia="Microsoft YaHei"/>
          <w:b/>
          <w:i w:val="0"/>
          <w:color w:val="9A3030"/>
          <w:sz w:val="23"/>
        </w:rPr>
        <w:t>组合门禁</w:t>
        <w:br/>
      </w:r>
      <w:r>
        <w:rPr>
          <w:rFonts w:ascii="Calibri" w:hAnsi="Calibri" w:eastAsia="Microsoft YaHei"/>
          <w:b w:val="0"/>
          <w:i w:val="0"/>
          <w:color w:val="202A33"/>
          <w:sz w:val="21"/>
        </w:rPr>
        <w:t>203、206、208 不进入正式串关；205 仅作替补，不替代前两场稳胆。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1F4D78"/>
          <w:sz w:val="32"/>
        </w:rPr>
        <w:t>四、风险提示与临场复核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赔率会继续变化。只有出现“盘口升降 + 多家公司同步变化 + 基本面支持”时，才提高临场信号权重。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竞彩胜平负与让球胜平负是不同结算市场。强队赢球，并不自动意味着让球盘能赢。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2A33"/>
          <w:sz w:val="21"/>
        </w:rPr>
        <w:t>如临场出现核心伤停、轮换、首发与预期明显不一致，需重新评估串关门槛。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4748B"/>
        <w:sz w:val="16"/>
      </w:rPr>
      <w:t>数据快照：2026-07-17 | 仅供研究与赛前复核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4748B"/>
        <w:sz w:val="17"/>
      </w:rPr>
      <w:t>Football AI Pro | 赛前分析汇总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Football AI Pro - 8场比赛完整分析汇总</dc:title>
  <dc:subject>竞彩胜平负、让球胜平负与串关方案</dc:subject>
  <dc:creator>Football AI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