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F4E78"/>
          <w:sz w:val="44"/>
        </w:rPr>
        <w:t>Football AI Pro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8场比赛赛后全面复盘</w:t>
      </w:r>
    </w:p>
    <w:p>
      <w:pPr>
        <w:jc w:val="center"/>
      </w:pPr>
      <w:r>
        <w:rPr>
          <w:color w:val="5A5A5A"/>
          <w:sz w:val="18"/>
        </w:rPr>
        <w:t>覆盖：2026-07-18 赛前报告（场次201—208）  |  复盘日：2026-07-19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一、结论先看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赛前正式三项“主方案”中，巴伊亚主胜、纳什维尔主胜命中；米亚尔比主胜失误，主方案3串1未中。替代方案中的哥德堡-1让平命中，因此替代3串1按约6.40倍结算为赢。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核心复盘：本轮最有价值的并非“猜对了多少主胜”，而是深盘弃赛规则有效挡住了博德闪耀-2的落空；但米亚尔比被误列为稳胆，说明低赔主胜仍需经过进球兑现门禁。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赛前选择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主方案3串1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巴伊亚主胜 × 纳什维尔主胜 × 米亚尔比(-1)让平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前两项命中；米亚尔比让负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未命中，1单位=-1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替代3串1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巴伊亚主胜 × 纳什维尔主胜 × 哥德堡(-1)让平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三项均命中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约6.40倍，1单位净+5.40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弃赛门禁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博德闪耀深让-2、米拉索尔、洛城德比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博德-2让负；其余有方向但波动大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弃赛原则正确，不以赛后结果倒推重仓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二、总览：赛前与赛后结算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56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221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6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赛果</w:t>
            </w:r>
          </w:p>
        </w:tc>
        <w:tc>
          <w:tcPr>
            <w:tcW w:type="dxa" w:w="79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标准盘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竞彩让球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复盘结论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201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哥德堡 vs 布鲁马波卡纳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2-1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让平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标准判断命中；让球防守方向命中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米亚尔比 vs 韦斯特罗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核心标准判断失误；让球备选覆盖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203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博德闪耀 vs 腓特烈斯塔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主让-2 让负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弃赛门禁正确；让球路径覆盖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204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巴伊亚 vs 沙佩科恩斯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2-0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让胜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标准、让球、亚洲方向均命中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205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弗鲁米嫩塞 vs 布拉干RB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主胜失误；防平与让球路径正确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206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米拉索尔 vs 格雷米奥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2-1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让平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方向正确，但弃赛仍合理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207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纳什维尔 vs 亚特联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1-0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主让-1 让平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标准命中；让球路径命中（亚洲走水）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208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洛城银河 vs 洛杉矶FC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0-3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客胜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主受+1 让负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标准方向命中；让球路径失误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统计口径：仅把赛前明确写出的标准盘方向纳入方向验证。7场有明确标准盘首选的比赛中，主/客/平单选方向命中5场；但这不是模型正式命中率，更不能与收益率混同。让球盘中存在“首选+防守”双路径，故只列结算，不把双选覆盖伪装成单选命中率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三、逐场复盘（手机阅读版）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201｜瑞超｜哥德堡 vs 布鲁马波卡纳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标准主胜、防平；让球首选让负，防让平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2-1；标准盘：主胜；竞彩主让-1：让平；亚洲：主队 -0.5：赢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标准判断命中；让球防守方向命中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信心指数：72 / 68。说明：这两个值只反映赛前数据的一致性与相对把握，不是承诺胜率。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复盘要点：主让半没有升盘，赛前就不应把穿盘当作主结论。2-1正好落在让平，是‘赢球不穿’的典型。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202｜瑞超｜米亚尔比 vs 韦斯特罗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标准主胜；让球首选让平，防让负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0-0；标准盘：平；竞彩主让-1：让负；亚洲：主队 -0.5：输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核心标准判断失误；让球备选覆盖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信心指数：74 / 70。说明：这两个值只反映赛前数据的一致性与相对把握，不是承诺胜率。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复盘要点：主胜低赔未兑现，0-0说明进攻兑现风险被低估；该场不应进入稳胆层。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203｜挪超｜博德闪耀 vs 腓特烈斯塔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不做标准盘；深让-2取让平/让负路径，弃赛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1-0；标准盘：主胜；竞彩主让-2：让负；亚洲：主队 -2/-2.5：输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弃赛门禁正确；让球路径覆盖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信心指数：80 / 76。说明：这两个值只反映赛前数据的一致性与相对把握，不是承诺胜率。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复盘要点：只靠点球1-0。赛后信息显示世界杯后轮换/疲劳存在，深盘与阵容负荷不匹配，弃赛判断比猜胜负更有价值。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204｜巴甲｜巴伊亚 vs 沙佩科恩斯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标准主胜；让球胜，防让平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2-0；标准盘：主胜；竞彩主让-1：让胜；亚洲：主队 -0.75/-1：赢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标准、让球、亚洲方向均命中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信心指数：83 / 81。说明：这两个值只反映赛前数据的一致性与相对把握，不是承诺胜率。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复盘要点：本轮最完整的一场：强势主队、市场共识和盘口兑现一致；可作为稳胆样本，但仍不能外推为保证。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205｜巴甲｜弗鲁米嫩塞 vs 布拉干RB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标准主胜、防平；让球平/负，条件通过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1-1；标准盘：平；竞彩主让-1：让负；亚洲：主队 -0.5：输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主胜失误；防平与让球路径正确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信心指数：68 / 62。说明：这两个值只反映赛前数据的一致性与相对把握，不是承诺胜率。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复盘要点：赛前已给主胜防平，实际被平局击中。低一致性场不应按‘可串关’处理。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206｜巴甲｜米拉索尔 vs 格雷米奥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标准主胜、防平；让负；弃赛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2-1；标准盘：主胜；竞彩主让-1：让平；亚洲：主队 -0.5：赢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方向正确，但弃赛仍合理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信心指数：65 / 59。说明：这两个值只反映赛前数据的一致性与相对把握，不是承诺胜率。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复盘要点：主胜兑现但只赢一球。由于赛前市场分歧和低信心，不能因赛后结果反向证明当时应重仓。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207｜美职联｜纳什维尔 vs 亚特联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标准主胜；让球胜/平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1-0；标准盘：主胜；竞彩主让-1：让平；亚洲：主队 -1：走水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标准命中；让球路径命中（亚洲走水）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信心指数：81 / 78。说明：这两个值只反映赛前数据的一致性与相对把握，不是承诺胜率。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复盘要点：主胜兑现但只赢一球，说明标准盘稳胆不等于让一球必穿；亚洲-1按走水处理，不能记为赢。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E78"/>
        </w:rPr>
        <w:t>208｜美职联｜洛城银河 vs 洛杉矶FC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赛前判断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实际结算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标准客胜、防平；让球胜/平；弃赛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赛果 0-3；标准盘：客胜；竞彩主受+1：让负；亚洲：主队 +0.25：输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标准方向命中；让球路径失误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AI评分 / 信心指数：67 / 60。说明：这两个值只反映赛前数据的一致性与相对把握，不是承诺胜率。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复盘要点：德比波动被正确标注为弃赛，但最终客队大胜。赛后不能把正确结果等同为可复制的赛前可下注信号。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四、盘口与模型诊断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1）“标准盘主胜”与“让一球穿盘”必须拆开：哥德堡、纳什维尔、米拉索尔均主胜但竞彩-1仅让平；不能因主胜判断正确就给让球盘加分。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）低赔稳胆需新增进球兑现门禁：米亚尔比0-0说明市场虽给出主队优势，却未证明其至少两球/至少一球的兑现能力。后续对主胜低于1.70且让球盘为-1的场次，若缺少明确火力、首发或连续多公司同步支撑，不进入稳胆串关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3）深盘与阵容负荷联动：博德闪耀虽1-0赢球，但-2失守。世界杯后复赛、轮换、疲劳和高让球并存时，深盘自动降级或弃赛。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4）弃赛不能被赛后结果否定：米拉索尔主胜、LAFC客胜都实现了方向，但赛前属于分歧/德比高波动场。模型应该奖励“避免无法证明优势的入场”，不是赛后追认。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五、规则库更新（待累计样本回测后才可升为正式模型）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9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候选规则</w:t>
            </w:r>
          </w:p>
        </w:tc>
        <w:tc>
          <w:tcPr>
            <w:tcW w:type="dxa" w:w="351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本轮依据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Rule041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低赔主胜进球兑现门禁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米亚尔比0-0，低赔主胜未兑现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候选；待联赛样本回测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Rule042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深盘×轮换/国际赛事负荷降权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博德闪耀1-0，-2让负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候选；待跨联赛回测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Rule043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标准盘与让球盘独立记分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多场主胜但-1让平/让负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已执行为报告口径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Rule044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弃赛结果不得反向计入推荐命中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米拉索尔、洛城德比赛后方向正确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已执行为复盘口径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F4E78"/>
        </w:rPr>
        <w:t>六、赛果核验来源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201｜IFK Göteborg 官方赛后报道 / 瑞典媒体赛况：2-1；客队33分钟红牌，主队末段绝杀信息已核验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202｜Aftonbladet / 442 赛后报道：0-0；主队占优未能破门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203｜VG 赛后报道：1-0；点球唯一进球，世界杯后轮换与疲劳背景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204｜Esporte Clube Bahia 官方 / CBF：巴伊亚2-0沙佩科恩斯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205｜Fluminense 官方 / CBF：弗鲁米嫩塞1-1布拉干RB，末段追平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206｜Grêmio 官方赛后报告：米拉索尔2-1格雷米奥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207｜Nashville SC 官方赛后报告：纳什维尔1-0亚特联，联赛不败延续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208｜LA Galaxy / LAFC 官方赛后报告：银河0-3洛杉矶FC；射正2-6、控球59.5%-40.5%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19"/>
        </w:rPr>
        <w:t>限制说明：赛前盘口以用户提供的竞彩/球探截图为准；亚洲盘按截图所示主流盘口结算。未保存逐分钟完整赔率轨迹的比赛，不把赛后水位变化解释为确定因果。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数据依据：用户提供的赛前球探/竞彩截图 + 赛后官方/权威报道；仅作数据复盘，不构成投注承诺。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Football AI Pro  |  赛后复盘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