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1F4E78"/>
          <w:sz w:val="44"/>
        </w:rPr>
        <w:t>Football AI Pro</w:t>
      </w:r>
    </w:p>
    <w:p>
      <w:pPr>
        <w:jc w:val="center"/>
      </w:pPr>
      <w:r>
        <w:rPr>
          <w:rFonts w:ascii="Microsoft YaHei" w:hAnsi="Microsoft YaHei" w:eastAsia="Microsoft YaHei"/>
          <w:b/>
          <w:sz w:val="36"/>
        </w:rPr>
        <w:t>8场比赛赛后全面复盘</w:t>
      </w:r>
    </w:p>
    <w:p>
      <w:pPr>
        <w:jc w:val="center"/>
      </w:pPr>
      <w:r>
        <w:rPr>
          <w:color w:val="5A5A5A"/>
          <w:sz w:val="18"/>
        </w:rPr>
        <w:t>覆盖：2026-07-18 赛前报告（场次201—208）  |  复盘日：2026-07-19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1F4E78"/>
        </w:rPr>
        <w:t>一、结论先看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赛前正式三项“主方案”中，巴伊亚主胜、纳什维尔主胜命中；米亚尔比主胜失误，主方案3串1未中。替代方案中的哥德堡-1让平命中，因此替代3串1按约6.40倍结算为赢。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核心复盘：本轮最有价值的并非“猜对了多少主胜”，而是深盘弃赛规则有效挡住了博德闪耀-2的落空；但米亚尔比被误列为稳胆，说明低赔主胜仍需经过进球兑现门禁。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94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赛前选择</w:t>
            </w:r>
          </w:p>
        </w:tc>
        <w:tc>
          <w:tcPr>
            <w:tcW w:type="dxa" w:w="294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</w:t>
            </w:r>
          </w:p>
        </w:tc>
        <w:tc>
          <w:tcPr>
            <w:tcW w:type="dxa" w:w="170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主方案3串1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巴伊亚主胜 × 纳什维尔主胜 × 米亚尔比(-1)让平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前两项命中；米亚尔比让负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未命中，1单位=-1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替代3串1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巴伊亚主胜 × 纳什维尔主胜 × 哥德堡(-1)让平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三项均命中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约6.40倍，1单位净+5.40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弃赛门禁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博德闪耀深让-2、米拉索尔、洛城德比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博德-2让负；其余有方向但波动大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弃赛原则正确，不以赛后结果倒推重仓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1F4E78"/>
        </w:rPr>
        <w:t>二、总览：赛前与赛后结算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567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场次</w:t>
            </w:r>
          </w:p>
        </w:tc>
        <w:tc>
          <w:tcPr>
            <w:tcW w:type="dxa" w:w="221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比赛</w:t>
            </w:r>
          </w:p>
        </w:tc>
        <w:tc>
          <w:tcPr>
            <w:tcW w:type="dxa" w:w="62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赛果</w:t>
            </w:r>
          </w:p>
        </w:tc>
        <w:tc>
          <w:tcPr>
            <w:tcW w:type="dxa" w:w="79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标准盘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竞彩让球</w:t>
            </w:r>
          </w:p>
        </w:tc>
        <w:tc>
          <w:tcPr>
            <w:tcW w:type="dxa" w:w="294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复盘结论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201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哥德堡 vs 布鲁马波卡纳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2-1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主胜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主让-1 让平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标准判断命中；让球防守方向命中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米亚尔比 vs 韦斯特罗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0-0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平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主让-1 让负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核心标准判断失误；让球备选覆盖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203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博德闪耀 vs 腓特烈斯塔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1-0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主胜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主让-2 让负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弃赛门禁正确；让球路径覆盖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204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巴伊亚 vs 沙佩科恩斯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2-0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主胜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主让-1 让胜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标准、让球、亚洲方向均命中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205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弗鲁米嫩塞 vs 布拉干RB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1-1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平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主让-1 让负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主胜失误；防平与让球路径正确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206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米拉索尔 vs 格雷米奥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2-1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主胜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主让-1 让平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方向正确，但弃赛仍合理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207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纳什维尔 vs 亚特联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1-0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主胜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主让-1 让平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标准命中；让球路径命中（亚洲走水）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208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洛城银河 vs 洛杉矶FC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0-3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客胜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主受+1 让负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标准方向命中；让球路径失误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统计口径：仅把赛前明确写出的标准盘方向纳入方向验证。7场有明确标准盘首选的比赛中，主/客/平单选方向命中5场；但这不是模型正式命中率，更不能与收益率混同。让球盘中存在“首选+防守”双路径，故只列结算，不把双选覆盖伪装成单选命中率。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1F4E78"/>
        </w:rPr>
        <w:t>三、逐场复盘（手机阅读版）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F4E78"/>
        </w:rPr>
        <w:t>201｜瑞超｜哥德堡 vs 布鲁马波卡纳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175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赛前判断</w:t>
            </w:r>
          </w:p>
        </w:tc>
        <w:tc>
          <w:tcPr>
            <w:tcW w:type="dxa" w:w="345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实际结算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标准主胜、防平；让球首选让负，防让平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赛果 2-1；标准盘：主胜；竞彩主让-1：让平；亚洲：主队 -0.5：赢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标准判断命中；让球防守方向命中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AI评分 / 信心指数：72 / 68。说明：这两个值只反映赛前数据的一致性与相对把握，不是承诺胜率。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复盘要点：主让半没有升盘，赛前就不应把穿盘当作主结论。2-1正好落在让平，是‘赢球不穿’的典型。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F4E78"/>
        </w:rPr>
        <w:t>202｜瑞超｜米亚尔比 vs 韦斯特罗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175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赛前判断</w:t>
            </w:r>
          </w:p>
        </w:tc>
        <w:tc>
          <w:tcPr>
            <w:tcW w:type="dxa" w:w="345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实际结算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标准主胜；让球首选让平，防让负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赛果 0-0；标准盘：平；竞彩主让-1：让负；亚洲：主队 -0.5：输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核心标准判断失误；让球备选覆盖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AI评分 / 信心指数：74 / 70。说明：这两个值只反映赛前数据的一致性与相对把握，不是承诺胜率。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复盘要点：主胜低赔未兑现，0-0说明进攻兑现风险被低估；该场不应进入稳胆层。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F4E78"/>
        </w:rPr>
        <w:t>203｜挪超｜博德闪耀 vs 腓特烈斯塔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175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赛前判断</w:t>
            </w:r>
          </w:p>
        </w:tc>
        <w:tc>
          <w:tcPr>
            <w:tcW w:type="dxa" w:w="345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实际结算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不做标准盘；深让-2取让平/让负路径，弃赛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赛果 1-0；标准盘：主胜；竞彩主让-2：让负；亚洲：主队 -2/-2.5：输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弃赛门禁正确；让球路径覆盖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AI评分 / 信心指数：80 / 76。说明：这两个值只反映赛前数据的一致性与相对把握，不是承诺胜率。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复盘要点：只靠点球1-0。赛后信息显示世界杯后轮换/疲劳存在，深盘与阵容负荷不匹配，弃赛判断比猜胜负更有价值。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F4E78"/>
        </w:rPr>
        <w:t>204｜巴甲｜巴伊亚 vs 沙佩科恩斯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175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赛前判断</w:t>
            </w:r>
          </w:p>
        </w:tc>
        <w:tc>
          <w:tcPr>
            <w:tcW w:type="dxa" w:w="345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实际结算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标准主胜；让球胜，防让平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赛果 2-0；标准盘：主胜；竞彩主让-1：让胜；亚洲：主队 -0.75/-1：赢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标准、让球、亚洲方向均命中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AI评分 / 信心指数：83 / 81。说明：这两个值只反映赛前数据的一致性与相对把握，不是承诺胜率。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复盘要点：本轮最完整的一场：强势主队、市场共识和盘口兑现一致；可作为稳胆样本，但仍不能外推为保证。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F4E78"/>
        </w:rPr>
        <w:t>205｜巴甲｜弗鲁米嫩塞 vs 布拉干RB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175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赛前判断</w:t>
            </w:r>
          </w:p>
        </w:tc>
        <w:tc>
          <w:tcPr>
            <w:tcW w:type="dxa" w:w="345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实际结算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标准主胜、防平；让球平/负，条件通过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赛果 1-1；标准盘：平；竞彩主让-1：让负；亚洲：主队 -0.5：输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主胜失误；防平与让球路径正确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AI评分 / 信心指数：68 / 62。说明：这两个值只反映赛前数据的一致性与相对把握，不是承诺胜率。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复盘要点：赛前已给主胜防平，实际被平局击中。低一致性场不应按‘可串关’处理。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F4E78"/>
        </w:rPr>
        <w:t>206｜巴甲｜米拉索尔 vs 格雷米奥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175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赛前判断</w:t>
            </w:r>
          </w:p>
        </w:tc>
        <w:tc>
          <w:tcPr>
            <w:tcW w:type="dxa" w:w="345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实际结算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标准主胜、防平；让负；弃赛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赛果 2-1；标准盘：主胜；竞彩主让-1：让平；亚洲：主队 -0.5：赢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方向正确，但弃赛仍合理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AI评分 / 信心指数：65 / 59。说明：这两个值只反映赛前数据的一致性与相对把握，不是承诺胜率。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复盘要点：主胜兑现但只赢一球。由于赛前市场分歧和低信心，不能因赛后结果反向证明当时应重仓。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F4E78"/>
        </w:rPr>
        <w:t>207｜美职联｜纳什维尔 vs 亚特联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175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赛前判断</w:t>
            </w:r>
          </w:p>
        </w:tc>
        <w:tc>
          <w:tcPr>
            <w:tcW w:type="dxa" w:w="345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实际结算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标准主胜；让球胜/平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赛果 1-0；标准盘：主胜；竞彩主让-1：让平；亚洲：主队 -1：走水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标准命中；让球路径命中（亚洲走水）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AI评分 / 信心指数：81 / 78。说明：这两个值只反映赛前数据的一致性与相对把握，不是承诺胜率。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复盘要点：主胜兑现但只赢一球，说明标准盘稳胆不等于让一球必穿；亚洲-1按走水处理，不能记为赢。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F4E78"/>
        </w:rPr>
        <w:t>208｜美职联｜洛城银河 vs 洛杉矶FC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175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赛前判断</w:t>
            </w:r>
          </w:p>
        </w:tc>
        <w:tc>
          <w:tcPr>
            <w:tcW w:type="dxa" w:w="345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实际结算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标准客胜、防平；让球胜/平；弃赛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赛果 0-3；标准盘：客胜；竞彩主受+1：让负；亚洲：主队 +0.25：输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标准方向命中；让球路径失误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AI评分 / 信心指数：67 / 60。说明：这两个值只反映赛前数据的一致性与相对把握，不是承诺胜率。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复盘要点：德比波动被正确标注为弃赛，但最终客队大胜。赛后不能把正确结果等同为可复制的赛前可下注信号。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1F4E78"/>
        </w:rPr>
        <w:t>四、盘口与模型诊断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1）“标准盘主胜”与“让一球穿盘”必须拆开：哥德堡、纳什维尔、米拉索尔均主胜但竞彩-1仅让平；不能因主胜判断正确就给让球盘加分。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2）低赔稳胆需新增进球兑现门禁：米亚尔比0-0说明市场虽给出主队优势，却未证明其至少两球/至少一球的兑现能力。后续对主胜低于1.70且让球盘为-1的场次，若缺少明确火力、首发或连续多公司同步支撑，不进入稳胆串关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3）深盘与阵容负荷联动：博德闪耀虽1-0赢球，但-2失守。世界杯后复赛、轮换、疲劳和高让球并存时，深盘自动降级或弃赛。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4）弃赛不能被赛后结果否定：米拉索尔主胜、LAFC客胜都实现了方向，但赛前属于分歧/德比高波动场。模型应该奖励“避免无法证明优势的入场”，不是赛后追认。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1F4E78"/>
        </w:rPr>
        <w:t>五、规则库更新（待累计样本回测后才可升为正式模型）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96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835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候选规则</w:t>
            </w:r>
          </w:p>
        </w:tc>
        <w:tc>
          <w:tcPr>
            <w:tcW w:type="dxa" w:w="3515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本轮依据</w:t>
            </w:r>
          </w:p>
        </w:tc>
        <w:tc>
          <w:tcPr>
            <w:tcW w:type="dxa" w:w="1701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Rule041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低赔主胜进球兑现门禁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米亚尔比0-0，低赔主胜未兑现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候选；待联赛样本回测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Rule042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深盘×轮换/国际赛事负荷降权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博德闪耀1-0，-2让负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候选；待跨联赛回测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Rule043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标准盘与让球盘独立记分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多场主胜但-1让平/让负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已执行为报告口径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Rule044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弃赛结果不得反向计入推荐命中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米拉索尔、洛城德比赛后方向正确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已执行为复盘口径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1F4E78"/>
        </w:rPr>
        <w:t>六、赛果核验来源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201｜IFK Göteborg 官方赛后报道 / 瑞典媒体赛况：2-1；客队33分钟红牌，主队末段绝杀信息已核验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202｜Aftonbladet / 442 赛后报道：0-0；主队占优未能破门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203｜VG 赛后报道：1-0；点球唯一进球，世界杯后轮换与疲劳背景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204｜Esporte Clube Bahia 官方 / CBF：巴伊亚2-0沙佩科恩斯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205｜Fluminense 官方 / CBF：弗鲁米嫩塞1-1布拉干RB，末段追平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206｜Grêmio 官方赛后报告：米拉索尔2-1格雷米奥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207｜Nashville SC 官方赛后报告：纳什维尔1-0亚特联，联赛不败延续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208｜LA Galaxy / LAFC 官方赛后报告：银河0-3洛杉矶FC；射正2-6、控球59.5%-40.5%</w:t>
      </w:r>
    </w:p>
    <w:p>
      <w:pPr>
        <w:spacing w:after="60" w:line="276" w:lineRule="auto"/>
      </w:pPr>
      <w:r>
        <w:rPr>
          <w:rFonts w:ascii="Microsoft YaHei" w:hAnsi="Microsoft YaHei" w:eastAsia="Microsoft YaHei"/>
          <w:sz w:val="19"/>
        </w:rPr>
        <w:t>限制说明：赛前盘口以用户提供的竞彩/球探截图为准；亚洲盘按截图所示主流盘口结算。未保存逐分钟完整赔率轨迹的比赛，不把赛后水位变化解释为确定因果。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5"/>
      </w:rPr>
      <w:t>数据依据：用户提供的赛前球探/竞彩截图 + 赛后官方/权威报道；仅作数据复盘，不构成投注承诺。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Football AI Pro  |  赛后复盘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