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</w:rPr>
        <w:t xml:space="preserve">AI Policy Statement Template</w:t>
      </w:r>
    </w:p>
    <w:p>
      <w:r>
        <w:t xml:space="preserve">Version 1.0 · Last updated 2026-09-12</w:t>
      </w:r>
    </w:p>
    <w:p>
      <w:r>
        <w:t xml:space="preserve">Informational only, not legal advice. Completing this file does not make an organisation compliant with any law or standard. AIPolicyTracker (aipolicytracker.org), CC BY 4.0.</w:t>
      </w:r>
    </w:p>
    <w:p>
      <w:r>
        <w:t xml:space="preserve"/>
      </w:r>
    </w:p>
    <w:tbl>
      <w:tblPr>
        <w:tblStyle w:val="TableGrid"/>
        <w:tblW w:w="0" w:type="auto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r>
        <w:tc>
          <w:tcPr>
            <w:tcW w:w="0" w:type="auto"/>
          </w:tcPr>
          <w:p>
            <w:r>
              <w:rPr>
                <w:b/>
              </w:rPr>
              <w:t xml:space="preserve">Clause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Text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Owner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Review</w:t>
            </w:r>
          </w:p>
        </w:tc>
      </w:tr>
      <w:tr>
        <w:tc>
          <w:tcPr>
            <w:tcW w:w="0" w:type="auto"/>
          </w:tcPr>
          <w:p>
            <w:r>
              <w:t xml:space="preserve">Scope</w:t>
            </w:r>
          </w:p>
        </w:tc>
        <w:tc>
          <w:tcPr>
            <w:tcW w:w="0" w:type="auto"/>
          </w:tcPr>
          <w:p>
            <w:r>
              <w:t xml:space="preserve">This policy applies to every AI system we build, buy or embed, and to everyone who uses them on our behalf.</w:t>
            </w:r>
          </w:p>
        </w:tc>
        <w:tc>
          <w:tcPr>
            <w:tcW w:w="0" w:type="auto"/>
          </w:tcPr>
          <w:p>
            <w:r>
              <w:t xml:space="preserve">Governance lead</w:t>
            </w:r>
          </w:p>
        </w:tc>
        <w:tc>
          <w:tcPr>
            <w:tcW w:w="0" w:type="auto"/>
          </w:tcPr>
          <w:p>
            <w:r>
              <w:t xml:space="preserve">Annual</w:t>
            </w:r>
          </w:p>
        </w:tc>
      </w:tr>
      <w:tr>
        <w:tc>
          <w:tcPr>
            <w:tcW w:w="0" w:type="auto"/>
          </w:tcPr>
          <w:p>
            <w:r>
              <w:t xml:space="preserve">Principles</w:t>
            </w:r>
          </w:p>
        </w:tc>
        <w:tc>
          <w:tcPr>
            <w:tcW w:w="0" w:type="auto"/>
          </w:tcPr>
          <w:p>
            <w:r>
              <w:t xml:space="preserve">We use AI lawfully, transparently and with human accountability; we do not deploy systems for prohibited practices.</w:t>
            </w:r>
          </w:p>
        </w:tc>
        <w:tc>
          <w:tcPr>
            <w:tcW w:w="0" w:type="auto"/>
          </w:tcPr>
          <w:p>
            <w:r>
              <w:t xml:space="preserve">Leadership</w:t>
            </w:r>
          </w:p>
        </w:tc>
        <w:tc>
          <w:tcPr>
            <w:tcW w:w="0" w:type="auto"/>
          </w:tcPr>
          <w:p>
            <w:r>
              <w:t xml:space="preserve">Annual</w:t>
            </w:r>
          </w:p>
        </w:tc>
      </w:tr>
      <w:tr>
        <w:tc>
          <w:tcPr>
            <w:tcW w:w="0" w:type="auto"/>
          </w:tcPr>
          <w:p>
            <w:r>
              <w:t xml:space="preserve">Acceptable use</w:t>
            </w:r>
          </w:p>
        </w:tc>
        <w:tc>
          <w:tcPr>
            <w:tcW w:w="0" w:type="auto"/>
          </w:tcPr>
          <w:p>
            <w:r>
              <w:t xml:space="preserve">Staff may use approved AI tools for listed purposes; confidential or personal data may only be entered into approved systems.</w:t>
            </w:r>
          </w:p>
        </w:tc>
        <w:tc>
          <w:tcPr>
            <w:tcW w:w="0" w:type="auto"/>
          </w:tcPr>
          <w:p>
            <w:r>
              <w:t xml:space="preserve">IT / Security</w:t>
            </w:r>
          </w:p>
        </w:tc>
        <w:tc>
          <w:tcPr>
            <w:tcW w:w="0" w:type="auto"/>
          </w:tcPr>
          <w:p>
            <w:r>
              <w:t xml:space="preserve">Semi-annual</w:t>
            </w:r>
          </w:p>
        </w:tc>
      </w:tr>
      <w:tr>
        <w:tc>
          <w:tcPr>
            <w:tcW w:w="0" w:type="auto"/>
          </w:tcPr>
          <w:p>
            <w:r>
              <w:t xml:space="preserve">Approval</w:t>
            </w:r>
          </w:p>
        </w:tc>
        <w:tc>
          <w:tcPr>
            <w:tcW w:w="0" w:type="auto"/>
          </w:tcPr>
          <w:p>
            <w:r>
              <w:t xml:space="preserve">New AI uses are recorded in the inventory and approved by the AI review group before production.</w:t>
            </w:r>
          </w:p>
        </w:tc>
        <w:tc>
          <w:tcPr>
            <w:tcW w:w="0" w:type="auto"/>
          </w:tcPr>
          <w:p>
            <w:r>
              <w:t xml:space="preserve">Governance lead</w:t>
            </w:r>
          </w:p>
        </w:tc>
        <w:tc>
          <w:tcPr>
            <w:tcW w:w="0" w:type="auto"/>
          </w:tcPr>
          <w:p>
            <w:r>
              <w:t xml:space="preserve">Per request</w:t>
            </w:r>
          </w:p>
        </w:tc>
      </w:tr>
      <w:tr>
        <w:tc>
          <w:tcPr>
            <w:tcW w:w="0" w:type="auto"/>
          </w:tcPr>
          <w:p>
            <w:r>
              <w:t xml:space="preserve">Oversight</w:t>
            </w:r>
          </w:p>
        </w:tc>
        <w:tc>
          <w:tcPr>
            <w:tcW w:w="0" w:type="auto"/>
          </w:tcPr>
          <w:p>
            <w:r>
              <w:t xml:space="preserve">Every production system has a named owner, a human override and monitored metrics.</w:t>
            </w:r>
          </w:p>
        </w:tc>
        <w:tc>
          <w:tcPr>
            <w:tcW w:w="0" w:type="auto"/>
          </w:tcPr>
          <w:p>
            <w:r>
              <w:t xml:space="preserve">System owners</w:t>
            </w:r>
          </w:p>
        </w:tc>
        <w:tc>
          <w:tcPr>
            <w:tcW w:w="0" w:type="auto"/>
          </w:tcPr>
          <w:p>
            <w:r>
              <w:t xml:space="preserve">Quarterly</w:t>
            </w:r>
          </w:p>
        </w:tc>
      </w:tr>
      <w:tr>
        <w:tc>
          <w:tcPr>
            <w:tcW w:w="0" w:type="auto"/>
          </w:tcPr>
          <w:p>
            <w:r>
              <w:t xml:space="preserve">Vendors</w:t>
            </w:r>
          </w:p>
        </w:tc>
        <w:tc>
          <w:tcPr>
            <w:tcW w:w="0" w:type="auto"/>
          </w:tcPr>
          <w:p>
            <w:r>
              <w:t xml:space="preserve">Vendors complete the due-diligence questionnaire; contracts allocate obligations.</w:t>
            </w:r>
          </w:p>
        </w:tc>
        <w:tc>
          <w:tcPr>
            <w:tcW w:w="0" w:type="auto"/>
          </w:tcPr>
          <w:p>
            <w:r>
              <w:t xml:space="preserve">Procurement</w:t>
            </w:r>
          </w:p>
        </w:tc>
        <w:tc>
          <w:tcPr>
            <w:tcW w:w="0" w:type="auto"/>
          </w:tcPr>
          <w:p>
            <w:r>
              <w:t xml:space="preserve">Per contract</w:t>
            </w:r>
          </w:p>
        </w:tc>
      </w:tr>
      <w:tr>
        <w:tc>
          <w:tcPr>
            <w:tcW w:w="0" w:type="auto"/>
          </w:tcPr>
          <w:p>
            <w:r>
              <w:t xml:space="preserve">Incidents</w:t>
            </w:r>
          </w:p>
        </w:tc>
        <w:tc>
          <w:tcPr>
            <w:tcW w:w="0" w:type="auto"/>
          </w:tcPr>
          <w:p>
            <w:r>
              <w:t xml:space="preserve">AI incidents are reported within one working day and handled under the incident checklist.</w:t>
            </w:r>
          </w:p>
        </w:tc>
        <w:tc>
          <w:tcPr>
            <w:tcW w:w="0" w:type="auto"/>
          </w:tcPr>
          <w:p>
            <w:r>
              <w:t xml:space="preserve">Incident lead</w:t>
            </w:r>
          </w:p>
        </w:tc>
        <w:tc>
          <w:tcPr>
            <w:tcW w:w="0" w:type="auto"/>
          </w:tcPr>
          <w:p>
            <w:r>
              <w:t xml:space="preserve">Per incident</w:t>
            </w:r>
          </w:p>
        </w:tc>
      </w:tr>
      <w:tr>
        <w:tc>
          <w:tcPr>
            <w:tcW w:w="0" w:type="auto"/>
          </w:tcPr>
          <w:p>
            <w:r>
              <w:t xml:space="preserve">Review</w:t>
            </w:r>
          </w:p>
        </w:tc>
        <w:tc>
          <w:tcPr>
            <w:tcW w:w="0" w:type="auto"/>
          </w:tcPr>
          <w:p>
            <w:r>
              <w:t xml:space="preserve">This policy and the risk register are reviewed annually and after any serious incident.</w:t>
            </w:r>
          </w:p>
        </w:tc>
        <w:tc>
          <w:tcPr>
            <w:tcW w:w="0" w:type="auto"/>
          </w:tcPr>
          <w:p>
            <w:r>
              <w:t xml:space="preserve">Leadership</w:t>
            </w:r>
          </w:p>
        </w:tc>
        <w:tc>
          <w:tcPr>
            <w:tcW w:w="0" w:type="auto"/>
          </w:tcPr>
          <w:p>
            <w:r>
              <w:t xml:space="preserve">Annual</w:t>
            </w:r>
          </w:p>
        </w:tc>
      </w:tr>
    </w:tbl>
    <w:p>
      <w:r>
        <w:t xml:space="preserve"/>
      </w:r>
    </w:p>
    <w:p>
      <w:r>
        <w:t xml:space="preserve">Informational only, not legal advice. Completing this file does not make an organisation compliant with any law or standard. AIPolicyTracker (aipolicytracker.org), CC BY 4.0.</w:t>
      </w:r>
    </w:p>
    <w:sectPr>
      <w:pgSz w:w="16838" w:h="11906" w:orient="landscape"/>
      <w:pgMar w:top="1000" w:right="1000" w:bottom="1000" w:left="1000"/>
    </w:sectPr>
  </w:body>
</w:document>
</file>