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</w:rPr>
        <w:t xml:space="preserve">AI System Technical Documentation Template</w:t>
      </w:r>
    </w:p>
    <w:p>
      <w:r>
        <w:t xml:space="preserve">Version 1.0 · Last updated 2026-09-12</w:t>
      </w:r>
    </w:p>
    <w:p>
      <w:r>
        <w:t xml:space="preserve">Informational only, not legal advice. Completing this file does not make an organisation compliant with any law or standard. AIPolicyTracker (aipolicytracker.org), CC BY 4.0.</w:t>
      </w:r>
    </w:p>
    <w:p>
      <w:r>
        <w:t xml:space="preserve"/>
      </w:r>
    </w:p>
    <w:tbl>
      <w:tblPr>
        <w:tblStyle w:val="TableGrid"/>
        <w:tblW w:w="0" w:type="auto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r>
        <w:tc>
          <w:tcPr>
            <w:tcW w:w="0" w:type="auto"/>
          </w:tcPr>
          <w:p>
            <w:r>
              <w:rPr>
                <w:b/>
              </w:rPr>
              <w:t xml:space="preserve">Section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Content required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Our entry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Evidence link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Owner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Status</w:t>
            </w:r>
          </w:p>
        </w:tc>
      </w:tr>
      <w:tr>
        <w:tc>
          <w:tcPr>
            <w:tcW w:w="0" w:type="auto"/>
          </w:tcPr>
          <w:p>
            <w:r>
              <w:t xml:space="preserve">1. General description</w:t>
            </w:r>
          </w:p>
        </w:tc>
        <w:tc>
          <w:tcPr>
            <w:tcW w:w="0" w:type="auto"/>
          </w:tcPr>
          <w:p>
            <w:r>
              <w:t xml:space="preserve">Intended purpose, provider, version, interaction with hardware/software, forms of release</w:t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</w:tr>
      <w:tr>
        <w:tc>
          <w:tcPr>
            <w:tcW w:w="0" w:type="auto"/>
          </w:tcPr>
          <w:p>
            <w:r>
              <w:t xml:space="preserve">2. Development</w:t>
            </w:r>
          </w:p>
        </w:tc>
        <w:tc>
          <w:tcPr>
            <w:tcW w:w="0" w:type="auto"/>
          </w:tcPr>
          <w:p>
            <w:r>
              <w:t xml:space="preserve">Design specifications, architecture, data requirements, training methodology, validation and testing procedures</w:t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</w:tr>
      <w:tr>
        <w:tc>
          <w:tcPr>
            <w:tcW w:w="0" w:type="auto"/>
          </w:tcPr>
          <w:p>
            <w:r>
              <w:t xml:space="preserve">3. Monitoring and control</w:t>
            </w:r>
          </w:p>
        </w:tc>
        <w:tc>
          <w:tcPr>
            <w:tcW w:w="0" w:type="auto"/>
          </w:tcPr>
          <w:p>
            <w:r>
              <w:t xml:space="preserve">Capabilities and limits, accuracy levels, foreseeable unintended outcomes, human oversight measures</w:t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</w:tr>
      <w:tr>
        <w:tc>
          <w:tcPr>
            <w:tcW w:w="0" w:type="auto"/>
          </w:tcPr>
          <w:p>
            <w:r>
              <w:t xml:space="preserve">4. Risk management</w:t>
            </w:r>
          </w:p>
        </w:tc>
        <w:tc>
          <w:tcPr>
            <w:tcW w:w="0" w:type="auto"/>
          </w:tcPr>
          <w:p>
            <w:r>
              <w:t xml:space="preserve">Description of the risk management system per Article 9</w:t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</w:tr>
      <w:tr>
        <w:tc>
          <w:tcPr>
            <w:tcW w:w="0" w:type="auto"/>
          </w:tcPr>
          <w:p>
            <w:r>
              <w:t xml:space="preserve">5. Changes</w:t>
            </w:r>
          </w:p>
        </w:tc>
        <w:tc>
          <w:tcPr>
            <w:tcW w:w="0" w:type="auto"/>
          </w:tcPr>
          <w:p>
            <w:r>
              <w:t xml:space="preserve">Changes through the lifecycle and re-assessment triggers</w:t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</w:tr>
      <w:tr>
        <w:tc>
          <w:tcPr>
            <w:tcW w:w="0" w:type="auto"/>
          </w:tcPr>
          <w:p>
            <w:r>
              <w:t xml:space="preserve">6. Standards</w:t>
            </w:r>
          </w:p>
        </w:tc>
        <w:tc>
          <w:tcPr>
            <w:tcW w:w="0" w:type="auto"/>
          </w:tcPr>
          <w:p>
            <w:r>
              <w:t xml:space="preserve">Harmonised standards or other specifications applied</w:t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</w:tr>
      <w:tr>
        <w:tc>
          <w:tcPr>
            <w:tcW w:w="0" w:type="auto"/>
          </w:tcPr>
          <w:p>
            <w:r>
              <w:t xml:space="preserve">7. Declaration</w:t>
            </w:r>
          </w:p>
        </w:tc>
        <w:tc>
          <w:tcPr>
            <w:tcW w:w="0" w:type="auto"/>
          </w:tcPr>
          <w:p>
            <w:r>
              <w:t xml:space="preserve">EU declaration of conformity and post-market monitoring plan</w:t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</w:tr>
    </w:tbl>
    <w:p>
      <w:r>
        <w:t xml:space="preserve"/>
      </w:r>
    </w:p>
    <w:p>
      <w:r>
        <w:t xml:space="preserve">Informational only, not legal advice. Completing this file does not make an organisation compliant with any law or standard. AIPolicyTracker (aipolicytracker.org), CC BY 4.0.</w:t>
      </w:r>
    </w:p>
    <w:sectPr>
      <w:pgSz w:w="16838" w:h="11906" w:orient="landscape"/>
      <w:pgMar w:top="1000" w:right="1000" w:bottom="1000" w:left="1000"/>
    </w:sectPr>
  </w:body>
</w:document>
</file>