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Vendor Due Diligence Questionnaire</w:t>
      </w:r>
    </w:p>
    <w:p>
      <w:r>
        <w:t xml:space="preserve">Version 1.0 · Last updated 2026-09-12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Why it matters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Evidence to request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Vendor answer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Rating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Follow-up owner</w:t>
            </w:r>
          </w:p>
        </w:tc>
      </w:tr>
      <w:tr>
        <w:tc>
          <w:tcPr>
            <w:tcW w:w="0" w:type="auto"/>
          </w:tcPr>
          <w:p>
            <w:r>
              <w:t xml:space="preserve">Identity</w:t>
            </w:r>
          </w:p>
        </w:tc>
        <w:tc>
          <w:tcPr>
            <w:tcW w:w="0" w:type="auto"/>
          </w:tcPr>
          <w:p>
            <w:r>
              <w:t xml:space="preserve">Are you the provider of the AI system or a distributor? Where is the system placed on the market?</w:t>
            </w:r>
          </w:p>
        </w:tc>
        <w:tc>
          <w:tcPr>
            <w:tcW w:w="0" w:type="auto"/>
          </w:tcPr>
          <w:p>
            <w:r>
              <w:t xml:space="preserve">Determines whose obligations apply (EU AI Act Art. 3, 25)</w:t>
            </w:r>
          </w:p>
        </w:tc>
        <w:tc>
          <w:tcPr>
            <w:tcW w:w="0" w:type="auto"/>
          </w:tcPr>
          <w:p>
            <w:r>
              <w:t xml:space="preserve">Declaration of role; EU representative details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Purpose</w:t>
            </w:r>
          </w:p>
        </w:tc>
        <w:tc>
          <w:tcPr>
            <w:tcW w:w="0" w:type="auto"/>
          </w:tcPr>
          <w:p>
            <w:r>
              <w:t xml:space="preserve">What is the intended purpose and what uses are excluded?</w:t>
            </w:r>
          </w:p>
        </w:tc>
        <w:tc>
          <w:tcPr>
            <w:tcW w:w="0" w:type="auto"/>
          </w:tcPr>
          <w:p>
            <w:r>
              <w:t xml:space="preserve">Deployers must use per instructions (Art. 26)</w:t>
            </w:r>
          </w:p>
        </w:tc>
        <w:tc>
          <w:tcPr>
            <w:tcW w:w="0" w:type="auto"/>
          </w:tcPr>
          <w:p>
            <w:r>
              <w:t xml:space="preserve">Instructions for use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Data</w:t>
            </w:r>
          </w:p>
        </w:tc>
        <w:tc>
          <w:tcPr>
            <w:tcW w:w="0" w:type="auto"/>
          </w:tcPr>
          <w:p>
            <w:r>
              <w:t xml:space="preserve">What data was the model trained on and how was bias assessed?</w:t>
            </w:r>
          </w:p>
        </w:tc>
        <w:tc>
          <w:tcPr>
            <w:tcW w:w="0" w:type="auto"/>
          </w:tcPr>
          <w:p>
            <w:r>
              <w:t xml:space="preserve">Data governance (Art. 10); NIST MAP</w:t>
            </w:r>
          </w:p>
        </w:tc>
        <w:tc>
          <w:tcPr>
            <w:tcW w:w="0" w:type="auto"/>
          </w:tcPr>
          <w:p>
            <w:r>
              <w:t xml:space="preserve">Data sheet; bias assessment summary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Testing</w:t>
            </w:r>
          </w:p>
        </w:tc>
        <w:tc>
          <w:tcPr>
            <w:tcW w:w="0" w:type="auto"/>
          </w:tcPr>
          <w:p>
            <w:r>
              <w:t xml:space="preserve">What accuracy, robustness and security testing was done?</w:t>
            </w:r>
          </w:p>
        </w:tc>
        <w:tc>
          <w:tcPr>
            <w:tcW w:w="0" w:type="auto"/>
          </w:tcPr>
          <w:p>
            <w:r>
              <w:t xml:space="preserve">Art. 15; NIST MEASURE</w:t>
            </w:r>
          </w:p>
        </w:tc>
        <w:tc>
          <w:tcPr>
            <w:tcW w:w="0" w:type="auto"/>
          </w:tcPr>
          <w:p>
            <w:r>
              <w:t xml:space="preserve">Test reports; red-team summary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Oversight</w:t>
            </w:r>
          </w:p>
        </w:tc>
        <w:tc>
          <w:tcPr>
            <w:tcW w:w="0" w:type="auto"/>
          </w:tcPr>
          <w:p>
            <w:r>
              <w:t xml:space="preserve">How can our staff intervene, override or stop the system?</w:t>
            </w:r>
          </w:p>
        </w:tc>
        <w:tc>
          <w:tcPr>
            <w:tcW w:w="0" w:type="auto"/>
          </w:tcPr>
          <w:p>
            <w:r>
              <w:t xml:space="preserve">Art. 14; human oversight</w:t>
            </w:r>
          </w:p>
        </w:tc>
        <w:tc>
          <w:tcPr>
            <w:tcW w:w="0" w:type="auto"/>
          </w:tcPr>
          <w:p>
            <w:r>
              <w:t xml:space="preserve">Oversight design description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Logging</w:t>
            </w:r>
          </w:p>
        </w:tc>
        <w:tc>
          <w:tcPr>
            <w:tcW w:w="0" w:type="auto"/>
          </w:tcPr>
          <w:p>
            <w:r>
              <w:t xml:space="preserve">What events are logged and for how long can we access them?</w:t>
            </w:r>
          </w:p>
        </w:tc>
        <w:tc>
          <w:tcPr>
            <w:tcW w:w="0" w:type="auto"/>
          </w:tcPr>
          <w:p>
            <w:r>
              <w:t xml:space="preserve">Art. 12, 26</w:t>
            </w:r>
          </w:p>
        </w:tc>
        <w:tc>
          <w:tcPr>
            <w:tcW w:w="0" w:type="auto"/>
          </w:tcPr>
          <w:p>
            <w:r>
              <w:t xml:space="preserve">Logging specification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Incidents</w:t>
            </w:r>
          </w:p>
        </w:tc>
        <w:tc>
          <w:tcPr>
            <w:tcW w:w="0" w:type="auto"/>
          </w:tcPr>
          <w:p>
            <w:r>
              <w:t xml:space="preserve">How and when will you notify us of serious incidents or vulnerabilities?</w:t>
            </w:r>
          </w:p>
        </w:tc>
        <w:tc>
          <w:tcPr>
            <w:tcW w:w="0" w:type="auto"/>
          </w:tcPr>
          <w:p>
            <w:r>
              <w:t xml:space="preserve">Art. 73; incident handling</w:t>
            </w:r>
          </w:p>
        </w:tc>
        <w:tc>
          <w:tcPr>
            <w:tcW w:w="0" w:type="auto"/>
          </w:tcPr>
          <w:p>
            <w:r>
              <w:t xml:space="preserve">Incident SLA in contract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Contract</w:t>
            </w:r>
          </w:p>
        </w:tc>
        <w:tc>
          <w:tcPr>
            <w:tcW w:w="0" w:type="auto"/>
          </w:tcPr>
          <w:p>
            <w:r>
              <w:t xml:space="preserve">Which obligations are contractually allocated to us and which stay with you?</w:t>
            </w:r>
          </w:p>
        </w:tc>
        <w:tc>
          <w:tcPr>
            <w:tcW w:w="0" w:type="auto"/>
          </w:tcPr>
          <w:p>
            <w:r>
              <w:t xml:space="preserve">Allocation along the value chain (Art. 25)</w:t>
            </w:r>
          </w:p>
        </w:tc>
        <w:tc>
          <w:tcPr>
            <w:tcW w:w="0" w:type="auto"/>
          </w:tcPr>
          <w:p>
            <w:r>
              <w:t xml:space="preserve">Contract schedule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