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Ai Governance 30-Day Plan</w:t>
      </w:r>
    </w:p>
    <w:p>
      <w:r>
        <w:t xml:space="preserve">Version 1.0 · Last updated 2026-09-11</w:t>
      </w:r>
    </w:p>
    <w:p>
      <w:r>
        <w:t xml:space="preserve">Informational only, not legal advice. Completing this file does not make an organisation compliant with any law or standard. AIPolicyTracker (aipolicytracker.org), CC BY 4.0.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nist-ai-rmf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Week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Goal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Tasks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Output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NIST AI RMF function</w:t>
            </w:r>
          </w:p>
        </w:tc>
      </w:tr>
      <w:tr>
        <w:tc>
          <w:tcPr>
            <w:tcW w:w="0" w:type="auto"/>
          </w:tcPr>
          <w:p>
            <w:r>
              <w:t xml:space="preserve">Week 1</w:t>
            </w:r>
          </w:p>
        </w:tc>
        <w:tc>
          <w:tcPr>
            <w:tcW w:w="0" w:type="auto"/>
          </w:tcPr>
          <w:p>
            <w:r>
              <w:t xml:space="preserve">Know what you have</w:t>
            </w:r>
          </w:p>
        </w:tc>
        <w:tc>
          <w:tcPr>
            <w:tcW w:w="0" w:type="auto"/>
          </w:tcPr>
          <w:p>
            <w:r>
              <w:t xml:space="preserve">Appoint the owner; fill the AI System Inventory Template; decide your role per system; list applicable laws per market</w:t>
            </w:r>
          </w:p>
        </w:tc>
        <w:tc>
          <w:tcPr>
            <w:tcW w:w="0" w:type="auto"/>
          </w:tcPr>
          <w:p>
            <w:r>
              <w:t xml:space="preserve">Inventory v1</w:t>
            </w:r>
          </w:p>
        </w:tc>
        <w:tc>
          <w:tcPr>
            <w:tcW w:w="0" w:type="auto"/>
          </w:tcPr>
          <w:p>
            <w:r>
              <w:t xml:space="preserve">Govern, Map</w:t>
            </w:r>
          </w:p>
        </w:tc>
      </w:tr>
      <w:tr>
        <w:tc>
          <w:tcPr>
            <w:tcW w:w="0" w:type="auto"/>
          </w:tcPr>
          <w:p>
            <w:r>
              <w:t xml:space="preserve">Week 2</w:t>
            </w:r>
          </w:p>
        </w:tc>
        <w:tc>
          <w:tcPr>
            <w:tcW w:w="0" w:type="auto"/>
          </w:tcPr>
          <w:p>
            <w:r>
              <w:t xml:space="preserve">Know what could go wrong</w:t>
            </w:r>
          </w:p>
        </w:tc>
        <w:tc>
          <w:tcPr>
            <w:tcW w:w="0" w:type="auto"/>
          </w:tcPr>
          <w:p>
            <w:r>
              <w:t xml:space="preserve">Fill the AI Risk Register Template for production systems; screen prohibited practices; classify EU AI Act risk</w:t>
            </w:r>
          </w:p>
        </w:tc>
        <w:tc>
          <w:tcPr>
            <w:tcW w:w="0" w:type="auto"/>
          </w:tcPr>
          <w:p>
            <w:r>
              <w:t xml:space="preserve">Risk register v1; screening record</w:t>
            </w:r>
          </w:p>
        </w:tc>
        <w:tc>
          <w:tcPr>
            <w:tcW w:w="0" w:type="auto"/>
          </w:tcPr>
          <w:p>
            <w:r>
              <w:t xml:space="preserve">Map, Measure</w:t>
            </w:r>
          </w:p>
        </w:tc>
      </w:tr>
      <w:tr>
        <w:tc>
          <w:tcPr>
            <w:tcW w:w="0" w:type="auto"/>
          </w:tcPr>
          <w:p>
            <w:r>
              <w:t xml:space="preserve">Week 3</w:t>
            </w:r>
          </w:p>
        </w:tc>
        <w:tc>
          <w:tcPr>
            <w:tcW w:w="0" w:type="auto"/>
          </w:tcPr>
          <w:p>
            <w:r>
              <w:t xml:space="preserve">Decide how you work</w:t>
            </w:r>
          </w:p>
        </w:tc>
        <w:tc>
          <w:tcPr>
            <w:tcW w:w="0" w:type="auto"/>
          </w:tcPr>
          <w:p>
            <w:r>
              <w:t xml:space="preserve">Write a two-page AI policy (acceptable use, approval, oversight, vendor rules); set review cadence; run an incident tabletop with the AI Incident Response Checklist</w:t>
            </w:r>
          </w:p>
        </w:tc>
        <w:tc>
          <w:tcPr>
            <w:tcW w:w="0" w:type="auto"/>
          </w:tcPr>
          <w:p>
            <w:r>
              <w:t xml:space="preserve">AI policy; incident procedure</w:t>
            </w:r>
          </w:p>
        </w:tc>
        <w:tc>
          <w:tcPr>
            <w:tcW w:w="0" w:type="auto"/>
          </w:tcPr>
          <w:p>
            <w:r>
              <w:t xml:space="preserve">Govern, Manage</w:t>
            </w:r>
          </w:p>
        </w:tc>
      </w:tr>
      <w:tr>
        <w:tc>
          <w:tcPr>
            <w:tcW w:w="0" w:type="auto"/>
          </w:tcPr>
          <w:p>
            <w:r>
              <w:t xml:space="preserve">Week 4</w:t>
            </w:r>
          </w:p>
        </w:tc>
        <w:tc>
          <w:tcPr>
            <w:tcW w:w="0" w:type="auto"/>
          </w:tcPr>
          <w:p>
            <w:r>
              <w:t xml:space="preserve">Show the evidence</w:t>
            </w:r>
          </w:p>
        </w:tc>
        <w:tc>
          <w:tcPr>
            <w:tcW w:w="0" w:type="auto"/>
          </w:tcPr>
          <w:p>
            <w:r>
              <w:t xml:space="preserve">Assemble the evidence pack (inventory, register, policy, tests, approvals); complete the EU AI Act Readiness Checklist gaps list; plan the next quarter</w:t>
            </w:r>
          </w:p>
        </w:tc>
        <w:tc>
          <w:tcPr>
            <w:tcW w:w="0" w:type="auto"/>
          </w:tcPr>
          <w:p>
            <w:r>
              <w:t xml:space="preserve">Evidence pack; gap plan</w:t>
            </w:r>
          </w:p>
        </w:tc>
        <w:tc>
          <w:tcPr>
            <w:tcW w:w="0" w:type="auto"/>
          </w:tcPr>
          <w:p>
            <w:r>
              <w:t xml:space="preserve">Manage</w:t>
            </w:r>
          </w:p>
        </w:tc>
      </w:tr>
      <w:tr>
        <w:tc>
          <w:tcPr>
            <w:tcW w:w="0" w:type="auto"/>
          </w:tcPr>
          <w:p>
            <w:r>
              <w:t xml:space="preserve">Day 30</w:t>
            </w:r>
          </w:p>
        </w:tc>
        <w:tc>
          <w:tcPr>
            <w:tcW w:w="0" w:type="auto"/>
          </w:tcPr>
          <w:p>
            <w:r>
              <w:t xml:space="preserve">Review</w:t>
            </w:r>
          </w:p>
        </w:tc>
        <w:tc>
          <w:tcPr>
            <w:tcW w:w="0" w:type="auto"/>
          </w:tcPr>
          <w:p>
            <w:r>
              <w:t xml:space="preserve">Leadership review: risks accepted, budget for gaps, owners confirmed, next review date set</w:t>
            </w:r>
          </w:p>
        </w:tc>
        <w:tc>
          <w:tcPr>
            <w:tcW w:w="0" w:type="auto"/>
          </w:tcPr>
          <w:p>
            <w:r>
              <w:t xml:space="preserve">Signed review note</w:t>
            </w:r>
          </w:p>
        </w:tc>
        <w:tc>
          <w:tcPr>
            <w:tcW w:w="0" w:type="auto"/>
          </w:tcPr>
          <w:p>
            <w:r>
              <w:t xml:space="preserve">Govern</w:t>
            </w:r>
          </w:p>
        </w:tc>
      </w:tr>
    </w:tbl>
    <w:p>
      <w:r>
        <w:t xml:space="preserve"/>
      </w:r>
    </w:p>
    <w:p>
      <w:r>
        <w:t xml:space="preserve">Informational only, not legal advice. AIPolicyTracker (aipolicytracker.org), CC BY 4.0.</w:t>
      </w:r>
    </w:p>
    <w:sectPr>
      <w:pgSz w:w="16838" w:h="11906" w:orient="landscape"/>
      <w:pgMar w:top="1000" w:right="1000" w:bottom="1000" w:left="1000"/>
    </w:sectPr>
  </w:body>
</w:document>
</file>