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Ai Incident Response</w:t>
      </w:r>
    </w:p>
    <w:p>
      <w:r>
        <w:t xml:space="preserve">Version 1.0 · Last updated 2026-09-11</w:t>
      </w:r>
    </w:p>
    <w:p>
      <w:r>
        <w:t xml:space="preserve">Informational only, not legal advice. Completing this file does not make an organisation compliant with any law or standard. AIPolicyTracker (aipolicytracker.org), CC BY 4.0.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Stage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Time target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Reference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Done</w:t>
            </w:r>
          </w:p>
        </w:tc>
      </w:tr>
      <w:tr>
        <w:tc>
          <w:tcPr>
            <w:tcW w:w="0" w:type="auto"/>
          </w:tcPr>
          <w:p>
            <w:r>
              <w:t xml:space="preserve">Prepare</w:t>
            </w:r>
          </w:p>
        </w:tc>
        <w:tc>
          <w:tcPr>
            <w:tcW w:w="0" w:type="auto"/>
          </w:tcPr>
          <w:p>
            <w:r>
              <w:t xml:space="preserve">Define what counts as an AI incident (harm, near-miss, policy breach, model drift) and severity levels</w:t>
            </w:r>
          </w:p>
        </w:tc>
        <w:tc>
          <w:tcPr>
            <w:tcW w:w="0" w:type="auto"/>
          </w:tcPr>
          <w:p>
            <w:r>
              <w:t xml:space="preserve">Governance lead</w:t>
            </w:r>
          </w:p>
        </w:tc>
        <w:tc>
          <w:tcPr>
            <w:tcW w:w="0" w:type="auto"/>
          </w:tcPr>
          <w:p>
            <w:r>
              <w:t xml:space="preserve">Before go-live</w:t>
            </w:r>
          </w:p>
        </w:tc>
        <w:tc>
          <w:tcPr>
            <w:tcW w:w="0" w:type="auto"/>
          </w:tcPr>
          <w:p>
            <w:r>
              <w:t xml:space="preserve">Internal policy; NIST AI RMF MANAGE 4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</w:tr>
      <w:tr>
        <w:tc>
          <w:tcPr>
            <w:tcW w:w="0" w:type="auto"/>
          </w:tcPr>
          <w:p>
            <w:r>
              <w:t xml:space="preserve">Prepare</w:t>
            </w:r>
          </w:p>
        </w:tc>
        <w:tc>
          <w:tcPr>
            <w:tcW w:w="0" w:type="auto"/>
          </w:tcPr>
          <w:p>
            <w:r>
              <w:t xml:space="preserve">Maintain a notification matrix: regulator, data-protection authority, customers, insurer, press</w:t>
            </w:r>
          </w:p>
        </w:tc>
        <w:tc>
          <w:tcPr>
            <w:tcW w:w="0" w:type="auto"/>
          </w:tcPr>
          <w:p>
            <w:r>
              <w:t xml:space="preserve">Governance lead</w:t>
            </w:r>
          </w:p>
        </w:tc>
        <w:tc>
          <w:tcPr>
            <w:tcW w:w="0" w:type="auto"/>
          </w:tcPr>
          <w:p>
            <w:r>
              <w:t xml:space="preserve">Before go-live</w:t>
            </w:r>
          </w:p>
        </w:tc>
        <w:tc>
          <w:tcPr>
            <w:tcW w:w="0" w:type="auto"/>
          </w:tcPr>
          <w:p>
            <w:r>
              <w:t xml:space="preserve">EU AI Act Art. 73; GDPR Art. 33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</w:tr>
      <w:tr>
        <w:tc>
          <w:tcPr>
            <w:tcW w:w="0" w:type="auto"/>
          </w:tcPr>
          <w:p>
            <w:r>
              <w:t xml:space="preserve">Prepare</w:t>
            </w:r>
          </w:p>
        </w:tc>
        <w:tc>
          <w:tcPr>
            <w:tcW w:w="0" w:type="auto"/>
          </w:tcPr>
          <w:p>
            <w:r>
              <w:t xml:space="preserve">Enable a kill switch / human-only mode and a tested rollback per system</w:t>
            </w:r>
          </w:p>
        </w:tc>
        <w:tc>
          <w:tcPr>
            <w:tcW w:w="0" w:type="auto"/>
          </w:tcPr>
          <w:p>
            <w:r>
              <w:t xml:space="preserve">Technical owner</w:t>
            </w:r>
          </w:p>
        </w:tc>
        <w:tc>
          <w:tcPr>
            <w:tcW w:w="0" w:type="auto"/>
          </w:tcPr>
          <w:p>
            <w:r>
              <w:t xml:space="preserve">Before go-live</w:t>
            </w:r>
          </w:p>
        </w:tc>
        <w:tc>
          <w:tcPr>
            <w:tcW w:w="0" w:type="auto"/>
          </w:tcPr>
          <w:p>
            <w:r>
              <w:t xml:space="preserve">EU AI Act Art. 14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</w:tr>
      <w:tr>
        <w:tc>
          <w:tcPr>
            <w:tcW w:w="0" w:type="auto"/>
          </w:tcPr>
          <w:p>
            <w:r>
              <w:t xml:space="preserve">Detect</w:t>
            </w:r>
          </w:p>
        </w:tc>
        <w:tc>
          <w:tcPr>
            <w:tcW w:w="0" w:type="auto"/>
          </w:tcPr>
          <w:p>
            <w:r>
              <w:t xml:space="preserve">Monitor user reports, output audits, drift metrics, abuse signals and press mentions</w:t>
            </w:r>
          </w:p>
        </w:tc>
        <w:tc>
          <w:tcPr>
            <w:tcW w:w="0" w:type="auto"/>
          </w:tcPr>
          <w:p>
            <w:r>
              <w:t xml:space="preserve">On-call</w:t>
            </w:r>
          </w:p>
        </w:tc>
        <w:tc>
          <w:tcPr>
            <w:tcW w:w="0" w:type="auto"/>
          </w:tcPr>
          <w:p>
            <w:r>
              <w:t xml:space="preserve">Continuous</w:t>
            </w:r>
          </w:p>
        </w:tc>
        <w:tc>
          <w:tcPr>
            <w:tcW w:w="0" w:type="auto"/>
          </w:tcPr>
          <w:p>
            <w:r>
              <w:t xml:space="preserve">ISO/IEC 42001 monitoring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</w:tr>
      <w:tr>
        <w:tc>
          <w:tcPr>
            <w:tcW w:w="0" w:type="auto"/>
          </w:tcPr>
          <w:p>
            <w:r>
              <w:t xml:space="preserve">Triage</w:t>
            </w:r>
          </w:p>
        </w:tc>
        <w:tc>
          <w:tcPr>
            <w:tcW w:w="0" w:type="auto"/>
          </w:tcPr>
          <w:p>
            <w:r>
              <w:t xml:space="preserve">Classify the incident by MIT AI Risk Repository domain, affected people and severity</w:t>
            </w:r>
          </w:p>
        </w:tc>
        <w:tc>
          <w:tcPr>
            <w:tcW w:w="0" w:type="auto"/>
          </w:tcPr>
          <w:p>
            <w:r>
              <w:t xml:space="preserve">Incident lead</w:t>
            </w:r>
          </w:p>
        </w:tc>
        <w:tc>
          <w:tcPr>
            <w:tcW w:w="0" w:type="auto"/>
          </w:tcPr>
          <w:p>
            <w:r>
              <w:t xml:space="preserve">1 hour</w:t>
            </w:r>
          </w:p>
        </w:tc>
        <w:tc>
          <w:tcPr>
            <w:tcW w:w="0" w:type="auto"/>
          </w:tcPr>
          <w:p>
            <w:r>
              <w:t xml:space="preserve">Internal severity scale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</w:tr>
      <w:tr>
        <w:tc>
          <w:tcPr>
            <w:tcW w:w="0" w:type="auto"/>
          </w:tcPr>
          <w:p>
            <w:r>
              <w:t xml:space="preserve">Contain</w:t>
            </w:r>
          </w:p>
        </w:tc>
        <w:tc>
          <w:tcPr>
            <w:tcW w:w="0" w:type="auto"/>
          </w:tcPr>
          <w:p>
            <w:r>
              <w:t xml:space="preserve">Stop or restrict the system, preserve logs and prompts, snapshot the model version</w:t>
            </w:r>
          </w:p>
        </w:tc>
        <w:tc>
          <w:tcPr>
            <w:tcW w:w="0" w:type="auto"/>
          </w:tcPr>
          <w:p>
            <w:r>
              <w:t xml:space="preserve">Technical owner</w:t>
            </w:r>
          </w:p>
        </w:tc>
        <w:tc>
          <w:tcPr>
            <w:tcW w:w="0" w:type="auto"/>
          </w:tcPr>
          <w:p>
            <w:r>
              <w:t xml:space="preserve">2 hours</w:t>
            </w:r>
          </w:p>
        </w:tc>
        <w:tc>
          <w:tcPr>
            <w:tcW w:w="0" w:type="auto"/>
          </w:tcPr>
          <w:p>
            <w:r>
              <w:t xml:space="preserve">EU AI Act Art. 12 logging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</w:tr>
      <w:tr>
        <w:tc>
          <w:tcPr>
            <w:tcW w:w="0" w:type="auto"/>
          </w:tcPr>
          <w:p>
            <w:r>
              <w:t xml:space="preserve">Notify</w:t>
            </w:r>
          </w:p>
        </w:tc>
        <w:tc>
          <w:tcPr>
            <w:tcW w:w="0" w:type="auto"/>
          </w:tcPr>
          <w:p>
            <w:r>
              <w:t xml:space="preserve">Report serious incidents to the market-surveillance authority within the statutory deadline; data breaches within 72 hours</w:t>
            </w:r>
          </w:p>
        </w:tc>
        <w:tc>
          <w:tcPr>
            <w:tcW w:w="0" w:type="auto"/>
          </w:tcPr>
          <w:p>
            <w:r>
              <w:t xml:space="preserve">Legal / DPO</w:t>
            </w:r>
          </w:p>
        </w:tc>
        <w:tc>
          <w:tcPr>
            <w:tcW w:w="0" w:type="auto"/>
          </w:tcPr>
          <w:p>
            <w:r>
              <w:t xml:space="preserve">Per deadline</w:t>
            </w:r>
          </w:p>
        </w:tc>
        <w:tc>
          <w:tcPr>
            <w:tcW w:w="0" w:type="auto"/>
          </w:tcPr>
          <w:p>
            <w:r>
              <w:t xml:space="preserve">EU AI Act Art. 73; GDPR Art. 33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</w:tr>
      <w:tr>
        <w:tc>
          <w:tcPr>
            <w:tcW w:w="0" w:type="auto"/>
          </w:tcPr>
          <w:p>
            <w:r>
              <w:t xml:space="preserve">Notify</w:t>
            </w:r>
          </w:p>
        </w:tc>
        <w:tc>
          <w:tcPr>
            <w:tcW w:w="0" w:type="auto"/>
          </w:tcPr>
          <w:p>
            <w:r>
              <w:t xml:space="preserve">Inform affected users and customers with plain-language guidance</w:t>
            </w:r>
          </w:p>
        </w:tc>
        <w:tc>
          <w:tcPr>
            <w:tcW w:w="0" w:type="auto"/>
          </w:tcPr>
          <w:p>
            <w:r>
              <w:t xml:space="preserve">Communications</w:t>
            </w:r>
          </w:p>
        </w:tc>
        <w:tc>
          <w:tcPr>
            <w:tcW w:w="0" w:type="auto"/>
          </w:tcPr>
          <w:p>
            <w:r>
              <w:t xml:space="preserve">24 hours</w:t>
            </w:r>
          </w:p>
        </w:tc>
        <w:tc>
          <w:tcPr>
            <w:tcW w:w="0" w:type="auto"/>
          </w:tcPr>
          <w:p>
            <w:r>
              <w:t xml:space="preserve">Contractual; consumer law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</w:tr>
      <w:tr>
        <w:tc>
          <w:tcPr>
            <w:tcW w:w="0" w:type="auto"/>
          </w:tcPr>
          <w:p>
            <w:r>
              <w:t xml:space="preserve">Recover</w:t>
            </w:r>
          </w:p>
        </w:tc>
        <w:tc>
          <w:tcPr>
            <w:tcW w:w="0" w:type="auto"/>
          </w:tcPr>
          <w:p>
            <w:r>
              <w:t xml:space="preserve">Fix, re-test (including red-team), decide re-deployment with sign-off</w:t>
            </w:r>
          </w:p>
        </w:tc>
        <w:tc>
          <w:tcPr>
            <w:tcW w:w="0" w:type="auto"/>
          </w:tcPr>
          <w:p>
            <w:r>
              <w:t xml:space="preserve">Technical owner</w:t>
            </w:r>
          </w:p>
        </w:tc>
        <w:tc>
          <w:tcPr>
            <w:tcW w:w="0" w:type="auto"/>
          </w:tcPr>
          <w:p>
            <w:r>
              <w:t xml:space="preserve">Per severity</w:t>
            </w:r>
          </w:p>
        </w:tc>
        <w:tc>
          <w:tcPr>
            <w:tcW w:w="0" w:type="auto"/>
          </w:tcPr>
          <w:p>
            <w:r>
              <w:t xml:space="preserve">EU AI Act Art. 15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</w:tr>
      <w:tr>
        <w:tc>
          <w:tcPr>
            <w:tcW w:w="0" w:type="auto"/>
          </w:tcPr>
          <w:p>
            <w:r>
              <w:t xml:space="preserve">Learn</w:t>
            </w:r>
          </w:p>
        </w:tc>
        <w:tc>
          <w:tcPr>
            <w:tcW w:w="0" w:type="auto"/>
          </w:tcPr>
          <w:p>
            <w:r>
              <w:t xml:space="preserve">Post-incident review; update risk register, controls, training and this checklist</w:t>
            </w:r>
          </w:p>
        </w:tc>
        <w:tc>
          <w:tcPr>
            <w:tcW w:w="0" w:type="auto"/>
          </w:tcPr>
          <w:p>
            <w:r>
              <w:t xml:space="preserve">Governance lead</w:t>
            </w:r>
          </w:p>
        </w:tc>
        <w:tc>
          <w:tcPr>
            <w:tcW w:w="0" w:type="auto"/>
          </w:tcPr>
          <w:p>
            <w:r>
              <w:t xml:space="preserve">10 days</w:t>
            </w:r>
          </w:p>
        </w:tc>
        <w:tc>
          <w:tcPr>
            <w:tcW w:w="0" w:type="auto"/>
          </w:tcPr>
          <w:p>
            <w:r>
              <w:t xml:space="preserve">NIST AI RMF MANAGE; ISO/IEC 42001 improvement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</w:tr>
    </w:tbl>
    <w:p>
      <w:r>
        <w:t xml:space="preserve"/>
      </w:r>
    </w:p>
    <w:p>
      <w:r>
        <w:t xml:space="preserve">Informational only, not legal advice. AIPolicyTracker (aipolicytracker.org), CC BY 4.0.</w:t>
      </w:r>
    </w:p>
    <w:sectPr>
      <w:pgSz w:w="16838" w:h="11906" w:orient="landscape"/>
      <w:pgMar w:top="1000" w:right="1000" w:bottom="1000" w:left="1000"/>
    </w:sectPr>
  </w:body>
</w:document>
</file>