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Eu Ai Act Readiness</w:t>
      </w:r>
    </w:p>
    <w:p>
      <w:r>
        <w:t xml:space="preserve">Version 1.0 · Last updated 2026-09-11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Phase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Obligation reference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Applies to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Evidence</w:t>
            </w:r>
          </w:p>
        </w:tc>
      </w:tr>
      <w:tr>
        <w:tc>
          <w:tcPr>
            <w:tcW w:w="0" w:type="auto"/>
          </w:tcPr>
          <w:p>
            <w:r>
              <w:t xml:space="preserve">Foundations</w:t>
            </w:r>
          </w:p>
        </w:tc>
        <w:tc>
          <w:tcPr>
            <w:tcW w:w="0" w:type="auto"/>
          </w:tcPr>
          <w:p>
            <w:r>
              <w:t xml:space="preserve">Build the AI system inventory with role per system</w:t>
            </w:r>
          </w:p>
        </w:tc>
        <w:tc>
          <w:tcPr>
            <w:tcW w:w="0" w:type="auto"/>
          </w:tcPr>
          <w:p>
            <w:r>
              <w:t xml:space="preserve">Art. 3 definitions; Art. 25 roles</w:t>
            </w:r>
          </w:p>
        </w:tc>
        <w:tc>
          <w:tcPr>
            <w:tcW w:w="0" w:type="auto"/>
          </w:tcPr>
          <w:p>
            <w:r>
              <w:t xml:space="preserve">All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2026-09-30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Foundations</w:t>
            </w:r>
          </w:p>
        </w:tc>
        <w:tc>
          <w:tcPr>
            <w:tcW w:w="0" w:type="auto"/>
          </w:tcPr>
          <w:p>
            <w:r>
              <w:t xml:space="preserve">Deliver AI literacy to staff who operate or use AI</w:t>
            </w:r>
          </w:p>
        </w:tc>
        <w:tc>
          <w:tcPr>
            <w:tcW w:w="0" w:type="auto"/>
          </w:tcPr>
          <w:p>
            <w:r>
              <w:t xml:space="preserve">Art. 4 (applies since 2025-02-02)</w:t>
            </w:r>
          </w:p>
        </w:tc>
        <w:tc>
          <w:tcPr>
            <w:tcW w:w="0" w:type="auto"/>
          </w:tcPr>
          <w:p>
            <w:r>
              <w:t xml:space="preserve">All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Prohibited practices</w:t>
            </w:r>
          </w:p>
        </w:tc>
        <w:tc>
          <w:tcPr>
            <w:tcW w:w="0" w:type="auto"/>
          </w:tcPr>
          <w:p>
            <w:r>
              <w:t xml:space="preserve">Screen every system against Article 5 practices and record the outcome</w:t>
            </w:r>
          </w:p>
        </w:tc>
        <w:tc>
          <w:tcPr>
            <w:tcW w:w="0" w:type="auto"/>
          </w:tcPr>
          <w:p>
            <w:r>
              <w:t xml:space="preserve">Art. 5 (applies since 2025-02-02)</w:t>
            </w:r>
          </w:p>
        </w:tc>
        <w:tc>
          <w:tcPr>
            <w:tcW w:w="0" w:type="auto"/>
          </w:tcPr>
          <w:p>
            <w:r>
              <w:t xml:space="preserve">Provider, deployer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Classification</w:t>
            </w:r>
          </w:p>
        </w:tc>
        <w:tc>
          <w:tcPr>
            <w:tcW w:w="0" w:type="auto"/>
          </w:tcPr>
          <w:p>
            <w:r>
              <w:t xml:space="preserve">Classify each system against Annex I and Annex III; document non-high-risk conclusions</w:t>
            </w:r>
          </w:p>
        </w:tc>
        <w:tc>
          <w:tcPr>
            <w:tcW w:w="0" w:type="auto"/>
          </w:tcPr>
          <w:p>
            <w:r>
              <w:t xml:space="preserve">Art. 6, Annex III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Risk management system</w:t>
            </w:r>
          </w:p>
        </w:tc>
        <w:tc>
          <w:tcPr>
            <w:tcW w:w="0" w:type="auto"/>
          </w:tcPr>
          <w:p>
            <w:r>
              <w:t xml:space="preserve">Art. 9 (from 2026-08-02)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Data governance for training, validation and test data</w:t>
            </w:r>
          </w:p>
        </w:tc>
        <w:tc>
          <w:tcPr>
            <w:tcW w:w="0" w:type="auto"/>
          </w:tcPr>
          <w:p>
            <w:r>
              <w:t xml:space="preserve">Art. 10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Technical documentation (Annex IV)</w:t>
            </w:r>
          </w:p>
        </w:tc>
        <w:tc>
          <w:tcPr>
            <w:tcW w:w="0" w:type="auto"/>
          </w:tcPr>
          <w:p>
            <w:r>
              <w:t xml:space="preserve">Art. 11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Logging and record keeping</w:t>
            </w:r>
          </w:p>
        </w:tc>
        <w:tc>
          <w:tcPr>
            <w:tcW w:w="0" w:type="auto"/>
          </w:tcPr>
          <w:p>
            <w:r>
              <w:t xml:space="preserve">Art. 12, Art. 19</w:t>
            </w:r>
          </w:p>
        </w:tc>
        <w:tc>
          <w:tcPr>
            <w:tcW w:w="0" w:type="auto"/>
          </w:tcPr>
          <w:p>
            <w:r>
              <w:t xml:space="preserve">Provider, deployer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Instructions for deployers and human-oversight design</w:t>
            </w:r>
          </w:p>
        </w:tc>
        <w:tc>
          <w:tcPr>
            <w:tcW w:w="0" w:type="auto"/>
          </w:tcPr>
          <w:p>
            <w:r>
              <w:t xml:space="preserve">Art. 13, Art. 14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Accuracy, robustness and cybersecurity testing</w:t>
            </w:r>
          </w:p>
        </w:tc>
        <w:tc>
          <w:tcPr>
            <w:tcW w:w="0" w:type="auto"/>
          </w:tcPr>
          <w:p>
            <w:r>
              <w:t xml:space="preserve">Art. 15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Quality management system</w:t>
            </w:r>
          </w:p>
        </w:tc>
        <w:tc>
          <w:tcPr>
            <w:tcW w:w="0" w:type="auto"/>
          </w:tcPr>
          <w:p>
            <w:r>
              <w:t xml:space="preserve">Art. 17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Conformity assessment, EU declaration and CE marking; registration in the EU database</w:t>
            </w:r>
          </w:p>
        </w:tc>
        <w:tc>
          <w:tcPr>
            <w:tcW w:w="0" w:type="auto"/>
          </w:tcPr>
          <w:p>
            <w:r>
              <w:t xml:space="preserve">Art. 43, Art. 47-49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High-risk workstreams</w:t>
            </w:r>
          </w:p>
        </w:tc>
        <w:tc>
          <w:tcPr>
            <w:tcW w:w="0" w:type="auto"/>
          </w:tcPr>
          <w:p>
            <w:r>
              <w:t xml:space="preserve">Deployer duties: use per instructions, oversight, logs, worker information, FRIA where required</w:t>
            </w:r>
          </w:p>
        </w:tc>
        <w:tc>
          <w:tcPr>
            <w:tcW w:w="0" w:type="auto"/>
          </w:tcPr>
          <w:p>
            <w:r>
              <w:t xml:space="preserve">Art. 26, Art. 27</w:t>
            </w:r>
          </w:p>
        </w:tc>
        <w:tc>
          <w:tcPr>
            <w:tcW w:w="0" w:type="auto"/>
          </w:tcPr>
          <w:p>
            <w:r>
              <w:t xml:space="preserve">Deployer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General-purpose AI</w:t>
            </w:r>
          </w:p>
        </w:tc>
        <w:tc>
          <w:tcPr>
            <w:tcW w:w="0" w:type="auto"/>
          </w:tcPr>
          <w:p>
            <w:r>
              <w:t xml:space="preserve">Technical documentation, downstream information, copyright policy, training-content summary</w:t>
            </w:r>
          </w:p>
        </w:tc>
        <w:tc>
          <w:tcPr>
            <w:tcW w:w="0" w:type="auto"/>
          </w:tcPr>
          <w:p>
            <w:r>
              <w:t xml:space="preserve">Art. 53 (applies since 2025-08-02)</w:t>
            </w:r>
          </w:p>
        </w:tc>
        <w:tc>
          <w:tcPr>
            <w:tcW w:w="0" w:type="auto"/>
          </w:tcPr>
          <w:p>
            <w:r>
              <w:t xml:space="preserve">GPAI 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General-purpose AI</w:t>
            </w:r>
          </w:p>
        </w:tc>
        <w:tc>
          <w:tcPr>
            <w:tcW w:w="0" w:type="auto"/>
          </w:tcPr>
          <w:p>
            <w:r>
              <w:t xml:space="preserve">Systemic-risk models: evaluation, incident reporting, cybersecurity</w:t>
            </w:r>
          </w:p>
        </w:tc>
        <w:tc>
          <w:tcPr>
            <w:tcW w:w="0" w:type="auto"/>
          </w:tcPr>
          <w:p>
            <w:r>
              <w:t xml:space="preserve">Art. 55</w:t>
            </w:r>
          </w:p>
        </w:tc>
        <w:tc>
          <w:tcPr>
            <w:tcW w:w="0" w:type="auto"/>
          </w:tcPr>
          <w:p>
            <w:r>
              <w:t xml:space="preserve">GPAI 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Transparency</w:t>
            </w:r>
          </w:p>
        </w:tc>
        <w:tc>
          <w:tcPr>
            <w:tcW w:w="0" w:type="auto"/>
          </w:tcPr>
          <w:p>
            <w:r>
              <w:t xml:space="preserve">Chatbot disclosure, synthetic-content marking, deepfake and AI-text labelling</w:t>
            </w:r>
          </w:p>
        </w:tc>
        <w:tc>
          <w:tcPr>
            <w:tcW w:w="0" w:type="auto"/>
          </w:tcPr>
          <w:p>
            <w:r>
              <w:t xml:space="preserve">Art. 50 (from 2026-08-02)</w:t>
            </w:r>
          </w:p>
        </w:tc>
        <w:tc>
          <w:tcPr>
            <w:tcW w:w="0" w:type="auto"/>
          </w:tcPr>
          <w:p>
            <w:r>
              <w:t xml:space="preserve">Provider, deployer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Evidence</w:t>
            </w:r>
          </w:p>
        </w:tc>
        <w:tc>
          <w:tcPr>
            <w:tcW w:w="0" w:type="auto"/>
          </w:tcPr>
          <w:p>
            <w:r>
              <w:t xml:space="preserve">Assemble the evidence pack: inventory, screening records, classifications, test reports, oversight procedures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All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Post-market</w:t>
            </w:r>
          </w:p>
        </w:tc>
        <w:tc>
          <w:tcPr>
            <w:tcW w:w="0" w:type="auto"/>
          </w:tcPr>
          <w:p>
            <w:r>
              <w:t xml:space="preserve">Post-market monitoring plan and serious-incident reporting process</w:t>
            </w:r>
          </w:p>
        </w:tc>
        <w:tc>
          <w:tcPr>
            <w:tcW w:w="0" w:type="auto"/>
          </w:tcPr>
          <w:p>
            <w:r>
              <w:t xml:space="preserve">Art. 72, Art. 73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2026-08-02</w:t>
            </w:r>
          </w:p>
        </w:tc>
        <w:tc>
          <w:tcPr>
            <w:tcW w:w="0" w:type="auto"/>
          </w:tcPr>
          <w:p>
            <w:r>
              <w:t xml:space="preserve">Not started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t xml:space="preserve">Informational only, not legal advice.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