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95A2A" w14:textId="77777777" w:rsidR="00905597" w:rsidRPr="00014AB0" w:rsidRDefault="00000000">
      <w:pPr>
        <w:pStyle w:val="Title"/>
      </w:pPr>
      <w:r w:rsidRPr="00014AB0">
        <w:t>Blockchain Integration in Gaming Ecosystems: A Systematic Review of Non-Fungible Token Standards, Asset Lending Protocols, and Decentralized Economy Architectures</w:t>
      </w:r>
    </w:p>
    <w:p w14:paraId="2474CAA9" w14:textId="77777777" w:rsidR="00905597" w:rsidRPr="00014AB0" w:rsidRDefault="00000000">
      <w:pPr>
        <w:pStyle w:val="AuthorAffiliation"/>
        <w:spacing w:before="240"/>
      </w:pPr>
      <w:r w:rsidRPr="00014AB0">
        <w:rPr>
          <w:b/>
          <w:bCs/>
        </w:rPr>
        <w:t>Bharath K, Suraj Shenoy, Avani Singh, Tanushka Jain, Swamy Samartha</w:t>
      </w:r>
    </w:p>
    <w:p w14:paraId="2F5D3AA7" w14:textId="77777777" w:rsidR="00905597" w:rsidRPr="00014AB0" w:rsidRDefault="00000000">
      <w:pPr>
        <w:pStyle w:val="AuthorAffiliation"/>
      </w:pPr>
      <w:r w:rsidRPr="00014AB0">
        <w:t>Jain (Deemed-to-be University), Bangalore, Karnataka 560069, India</w:t>
      </w:r>
    </w:p>
    <w:p w14:paraId="619751DA" w14:textId="77777777" w:rsidR="00905597" w:rsidRPr="00014AB0" w:rsidRDefault="00000000">
      <w:pPr>
        <w:pStyle w:val="AbstractHeading"/>
      </w:pPr>
      <w:r w:rsidRPr="00014AB0">
        <w:t>Abstract</w:t>
      </w:r>
    </w:p>
    <w:p w14:paraId="052C10AF" w14:textId="77777777" w:rsidR="00905597" w:rsidRPr="00014AB0" w:rsidRDefault="00000000">
      <w:pPr>
        <w:spacing w:after="120"/>
        <w:jc w:val="both"/>
      </w:pPr>
      <w:r w:rsidRPr="00014AB0">
        <w:t>The contemporary video gaming industry operates predominantly on centralized economic models that restrict player autonomy and asset ownership. This systematic literature review examines the integration of blockchain technology and Non-Fungible Tokens (NFTs) as mechanisms to establish decentralized gaming economies characterized by verifiable asset scarcity, transparent ownership, and peer-to-peer economic activity. Through analysis of 35 peer-reviewed academic publications (2022-2024) from IEEE Xplore, ACM Digital Library, and Springer databases, this study evaluates token standards (ERC-721 vs. ERC-1155), smart contract architectures for asset lending (collateralized DeFi models vs. EIP-4907 delegation protocol), and hybrid on-chain/off-chain integration frameworks for high-performance commercial game environments. The review identifies critical technical challenges including blockchain scalability limitations, metadata mutability concerns, and user experience barriers. Furthermore, it highlights fundamental legal and regulatory gaps, particularly the disconnect between NFT ownership and intellectual property rights, and the potential classification of play-to-earn models as unregulated gambling or financial securities under U.S. and European regulatory frameworks. This comprehensive analysis reveals that while technical frameworks for decentralized gaming economies exist, their mainstream adoption is contingent upon resolving significant legal ambiguities and developing standardized integration protocols. The study concludes by identifying four critical research gaps: technical integration standards, prescriptive economic rarity models, comprehensive legal frameworks, and scalable user experience abstraction architectures.</w:t>
      </w:r>
    </w:p>
    <w:p w14:paraId="0688C00D" w14:textId="77777777" w:rsidR="00905597" w:rsidRPr="00014AB0" w:rsidRDefault="00000000">
      <w:pPr>
        <w:spacing w:after="240"/>
      </w:pPr>
      <w:r w:rsidRPr="00014AB0">
        <w:rPr>
          <w:b/>
          <w:bCs/>
        </w:rPr>
        <w:t>Keywords—</w:t>
      </w:r>
      <w:r w:rsidRPr="00014AB0">
        <w:t xml:space="preserve">Blockchain gaming, </w:t>
      </w:r>
      <w:proofErr w:type="gramStart"/>
      <w:r w:rsidRPr="00014AB0">
        <w:t>Non-fungible</w:t>
      </w:r>
      <w:proofErr w:type="gramEnd"/>
      <w:r w:rsidRPr="00014AB0">
        <w:t xml:space="preserve"> tokens (NFTs), ERC-1155, Smart contracts, Decentralized economies, Asset lending, EIP-4907, Play-to-earn (P2E), Hybrid architecture, Web3, Ethereum, Cryptocurrency</w:t>
      </w:r>
    </w:p>
    <w:p w14:paraId="473C6839" w14:textId="77777777" w:rsidR="00905597" w:rsidRPr="00014AB0" w:rsidRDefault="00000000">
      <w:pPr>
        <w:pStyle w:val="Heading1"/>
      </w:pPr>
      <w:r w:rsidRPr="00014AB0">
        <w:t>I. Introduction</w:t>
      </w:r>
    </w:p>
    <w:p w14:paraId="737720B4" w14:textId="77777777" w:rsidR="00905597" w:rsidRPr="00014AB0" w:rsidRDefault="00000000">
      <w:pPr>
        <w:spacing w:after="120"/>
        <w:jc w:val="both"/>
      </w:pPr>
      <w:r w:rsidRPr="00014AB0">
        <w:t xml:space="preserve">The global video game industry, valued at approximately $184 billion as of 2023 [1], operates predominantly through centralized digital economies where players acquire virtual assets without genuine ownership rights. In popular multiplayer titles such as Valorant, PUBG, and Free Fire, in-game assets including cosmetic skins, weapons, and collectibles are stored on proprietary servers controlled exclusively by game developers. This centralized architecture creates what </w:t>
      </w:r>
      <w:proofErr w:type="gramStart"/>
      <w:r w:rsidRPr="00014AB0">
        <w:t>researchers</w:t>
      </w:r>
      <w:proofErr w:type="gramEnd"/>
      <w:r w:rsidRPr="00014AB0">
        <w:t xml:space="preserve"> term 'walled garden' economies, wherein players possess merely revocable licenses rather than transferable property rights [2].</w:t>
      </w:r>
    </w:p>
    <w:p w14:paraId="3C2E9CF7" w14:textId="77777777" w:rsidR="00905597" w:rsidRPr="00014AB0" w:rsidRDefault="00000000">
      <w:pPr>
        <w:spacing w:after="120"/>
        <w:jc w:val="both"/>
      </w:pPr>
      <w:r w:rsidRPr="00014AB0">
        <w:t>The limitations of this model are multifaceted. First, centralized storage creates single points of failure vulnerable to cyberattacks, data breaches, and server shutdowns [2]. Second, developers maintain unilateral authority to modify asset attributes, manipulate supply dynamics, or terminate user accounts without recourse, resulting in instantaneous asset loss [3]. Third, the absence of true ownership prevents the emergence of secondary markets and player-driven economies, constraining the potential economic utility of digital assets.</w:t>
      </w:r>
    </w:p>
    <w:p w14:paraId="63488812" w14:textId="77777777" w:rsidR="00905597" w:rsidRPr="00014AB0" w:rsidRDefault="00000000">
      <w:pPr>
        <w:spacing w:after="120"/>
        <w:jc w:val="both"/>
      </w:pPr>
      <w:r w:rsidRPr="00014AB0">
        <w:t xml:space="preserve">Blockchain technology presents a paradigm shift toward decentralized digital asset management, particularly through the implementation of Non-Fungible Tokens (NFTs). By </w:t>
      </w:r>
      <w:r w:rsidRPr="00014AB0">
        <w:lastRenderedPageBreak/>
        <w:t>leveraging distributed ledger technology and cryptographic verification, blockchain systems enable verifiable scarcity, transparent ownership provenance, and peer-to-peer economic transactions independent of centralized intermediaries [4]. This technological framework facilitates what researchers describe as 'cryptographically secured ownership'—wherein asset control is cryptographically secured in user-controlled wallets rather than developer-managed databases [5].</w:t>
      </w:r>
    </w:p>
    <w:p w14:paraId="7098FA4B" w14:textId="77777777" w:rsidR="00905597" w:rsidRPr="00014AB0" w:rsidRDefault="00000000">
      <w:pPr>
        <w:pStyle w:val="Heading2"/>
      </w:pPr>
      <w:r w:rsidRPr="00014AB0">
        <w:t>A. Research Objectives and Scope</w:t>
      </w:r>
    </w:p>
    <w:p w14:paraId="37C714B2" w14:textId="77777777" w:rsidR="00905597" w:rsidRPr="00014AB0" w:rsidRDefault="00000000">
      <w:pPr>
        <w:spacing w:after="60"/>
        <w:jc w:val="both"/>
      </w:pPr>
      <w:r w:rsidRPr="00014AB0">
        <w:t>This systematic literature review synthesizes recent academic research to comprehensively analyze blockchain integration frameworks for gaming ecosystems. The study addresses three primary research questions:</w:t>
      </w:r>
    </w:p>
    <w:p w14:paraId="6B71B778" w14:textId="77777777" w:rsidR="00905597" w:rsidRPr="00014AB0" w:rsidRDefault="00000000">
      <w:pPr>
        <w:spacing w:before="60" w:after="60"/>
        <w:ind w:left="720"/>
        <w:jc w:val="both"/>
      </w:pPr>
      <w:r w:rsidRPr="00014AB0">
        <w:rPr>
          <w:b/>
          <w:bCs/>
        </w:rPr>
        <w:t xml:space="preserve">RQ1: </w:t>
      </w:r>
      <w:r w:rsidRPr="00014AB0">
        <w:t>What cryptographic models enable the creation of verifiable digital asset scarcity within blockchain-based gaming economies, and what economic models enable verification of asset rarity?</w:t>
      </w:r>
    </w:p>
    <w:p w14:paraId="04986963" w14:textId="77777777" w:rsidR="00905597" w:rsidRPr="00014AB0" w:rsidRDefault="00000000">
      <w:pPr>
        <w:spacing w:after="60"/>
        <w:ind w:left="720"/>
        <w:jc w:val="both"/>
      </w:pPr>
      <w:r w:rsidRPr="00014AB0">
        <w:rPr>
          <w:b/>
          <w:bCs/>
        </w:rPr>
        <w:t xml:space="preserve">RQ2: </w:t>
      </w:r>
      <w:r w:rsidRPr="00014AB0">
        <w:t>What smart contract architectures and token standards facilitate peer-to-peer asset lending for in-game utility, and what are their respective collateralization requirements?</w:t>
      </w:r>
    </w:p>
    <w:p w14:paraId="660FB8EE" w14:textId="77777777" w:rsidR="00905597" w:rsidRPr="00014AB0" w:rsidRDefault="00000000">
      <w:pPr>
        <w:spacing w:after="120"/>
        <w:ind w:left="720"/>
        <w:jc w:val="both"/>
      </w:pPr>
      <w:r w:rsidRPr="00014AB0">
        <w:rPr>
          <w:b/>
          <w:bCs/>
        </w:rPr>
        <w:t xml:space="preserve">RQ3: </w:t>
      </w:r>
      <w:r w:rsidRPr="00014AB0">
        <w:t>What are the viable technical, economic, and legal frameworks for integrating decentralized asset systems into centralized, high-performance commercial game environments?</w:t>
      </w:r>
    </w:p>
    <w:p w14:paraId="0436649F" w14:textId="77777777" w:rsidR="00905597" w:rsidRPr="00014AB0" w:rsidRDefault="00000000">
      <w:pPr>
        <w:pStyle w:val="Heading2"/>
      </w:pPr>
      <w:r w:rsidRPr="00014AB0">
        <w:t>B. Methodology</w:t>
      </w:r>
    </w:p>
    <w:p w14:paraId="35BED94A" w14:textId="77777777" w:rsidR="00905597" w:rsidRPr="00014AB0" w:rsidRDefault="00000000">
      <w:pPr>
        <w:spacing w:after="120"/>
        <w:jc w:val="both"/>
      </w:pPr>
      <w:r w:rsidRPr="00014AB0">
        <w:t>This review employs systematic literature review (SLR) methodology following PRISMA guidelines [6], focusing on peer-reviewed publications from IEEE Xplore, ACM Digital Library, and Springer databases published between January 2022 and September 2024. The search strategy utilized Boolean operators combining terms: ('blockchain' OR 'NFT' OR 'non-fungible token') AND ('gaming' OR 'in-game assets' OR 'virtual economy') AND ('smart contracts' OR 'token standards' OR 'lending protocols').</w:t>
      </w:r>
    </w:p>
    <w:p w14:paraId="75A2C831" w14:textId="77777777" w:rsidR="00905597" w:rsidRPr="00014AB0" w:rsidRDefault="00000000">
      <w:pPr>
        <w:spacing w:after="120"/>
        <w:jc w:val="both"/>
      </w:pPr>
      <w:r w:rsidRPr="00014AB0">
        <w:t>Initial database searches yielded 127 papers. Inclusion criteria required: (1) peer-reviewed academic publications, (2) empirical data or technical implementation details, (3) direct relevance to blockchain gaming integration, (4) English language, and (5) full-text availability. Exclusion criteria eliminated: (1) non-peer-reviewed sources, (2) opinion pieces without technical foundation, (3) duplicate publications, and (4) studies focused solely on cryptocurrency trading. Two independent reviewers screened abstracts and full texts, with disagreements resolved through discussion (Cohen's kappa = 0.82, indicating substantial agreement). This resulted in a final corpus of 35 high-quality academic sources.</w:t>
      </w:r>
    </w:p>
    <w:p w14:paraId="00E6F79E" w14:textId="77777777" w:rsidR="00905597" w:rsidRPr="00014AB0" w:rsidRDefault="00000000">
      <w:pPr>
        <w:pStyle w:val="Heading1"/>
      </w:pPr>
      <w:r w:rsidRPr="00014AB0">
        <w:t>II. Technical Foundations of Blockchain-Based Gaming Assets</w:t>
      </w:r>
    </w:p>
    <w:p w14:paraId="37B60698" w14:textId="77777777" w:rsidR="00905597" w:rsidRPr="00014AB0" w:rsidRDefault="00000000">
      <w:pPr>
        <w:pStyle w:val="Heading2"/>
      </w:pPr>
      <w:r w:rsidRPr="00014AB0">
        <w:t>A. Smart Contracts and Token Standards</w:t>
      </w:r>
    </w:p>
    <w:p w14:paraId="5D27D6C6" w14:textId="77777777" w:rsidR="00905597" w:rsidRPr="00014AB0" w:rsidRDefault="00000000">
      <w:pPr>
        <w:spacing w:after="120"/>
        <w:jc w:val="both"/>
      </w:pPr>
      <w:r w:rsidRPr="00014AB0">
        <w:t>Smart contracts constitute the foundational infrastructure for blockchain-based digital assets. These self-executing programs, deployed on blockchain networks such as Ethereum, contain immutable code that automatically enforces predefined rules without intermediary intervention [7]. For gaming applications, smart contracts define asset properties including total supply, transferability conditions, metadata associations, and state transition logic [8].</w:t>
      </w:r>
    </w:p>
    <w:p w14:paraId="5C676243" w14:textId="77777777" w:rsidR="00905597" w:rsidRPr="00014AB0" w:rsidRDefault="00000000">
      <w:pPr>
        <w:spacing w:after="120"/>
        <w:jc w:val="both"/>
      </w:pPr>
      <w:r w:rsidRPr="00014AB0">
        <w:t>The Ethereum blockchain, utilizing the Ethereum Virtual Machine (EVM) for code execution, supports smart contract development primarily through the Solidity programming language [9]. Within this ecosystem, token standards establish standardized interfaces that ensure interoperability across different applications and platforms.</w:t>
      </w:r>
    </w:p>
    <w:p w14:paraId="0531999B" w14:textId="77777777" w:rsidR="00905597" w:rsidRPr="00014AB0" w:rsidRDefault="00000000">
      <w:pPr>
        <w:spacing w:before="120" w:after="60"/>
        <w:jc w:val="both"/>
      </w:pPr>
      <w:r w:rsidRPr="00014AB0">
        <w:rPr>
          <w:i/>
          <w:iCs/>
        </w:rPr>
        <w:lastRenderedPageBreak/>
        <w:t>1) ERC-721: The Pioneer NFT Standard</w:t>
      </w:r>
    </w:p>
    <w:p w14:paraId="5ADE8D0C" w14:textId="77777777" w:rsidR="00905597" w:rsidRPr="00014AB0" w:rsidRDefault="00000000">
      <w:pPr>
        <w:spacing w:after="120"/>
        <w:jc w:val="both"/>
      </w:pPr>
      <w:r w:rsidRPr="00014AB0">
        <w:t>ERC-721, proposed in 2017 and finalized in 2018 [10], established the foundational NFT standard by defining tokens where each asset possesses a unique identifier, making it suitable for one-of-one digital collectibles. However, its application in gaming environments reveals significant limitations. The standard's architecture necessitates deploying separate smart contracts for each distinct item type [10], creating computational inefficiency and prohibitive deployment costs for games featuring diverse asset catalogs. Additionally, ERC-721 supports only single-token transfers, necessitating individual blockchain transactions for each asset transfer, thereby creating network congestion and accumulating substantial transaction fees for users [11].</w:t>
      </w:r>
    </w:p>
    <w:p w14:paraId="26D5F8FA" w14:textId="77777777" w:rsidR="00905597" w:rsidRPr="00014AB0" w:rsidRDefault="00000000">
      <w:pPr>
        <w:spacing w:before="120" w:after="60"/>
        <w:jc w:val="both"/>
      </w:pPr>
      <w:r w:rsidRPr="00014AB0">
        <w:rPr>
          <w:i/>
          <w:iCs/>
        </w:rPr>
        <w:t>2) ERC-1155: The Multi-Token Gaming Standard</w:t>
      </w:r>
    </w:p>
    <w:p w14:paraId="79BD4CB5" w14:textId="77777777" w:rsidR="00905597" w:rsidRPr="00014AB0" w:rsidRDefault="00000000">
      <w:pPr>
        <w:spacing w:after="120"/>
        <w:jc w:val="both"/>
      </w:pPr>
      <w:r w:rsidRPr="00014AB0">
        <w:t xml:space="preserve">ERC-1155, authored by Witek Radomski of </w:t>
      </w:r>
      <w:proofErr w:type="spellStart"/>
      <w:r w:rsidRPr="00014AB0">
        <w:t>Enjin</w:t>
      </w:r>
      <w:proofErr w:type="spellEnd"/>
      <w:r w:rsidRPr="00014AB0">
        <w:t xml:space="preserve"> and contributors specifically to address ERC-721's limitations in gaming contexts, implements a multi-token architecture wherein a single smart contract manages multiple token types simultaneously [11]. This standard introduces a critical innovation for gaming economies: semi-fungible tokens, which begin as fungible (identical) assets but become unique upon consumption or specific use [12]. A single ERC-1155 contract can simultaneously manage fungible assets (e.g., in-game currency with unlimited supply), non-fungible assets (e.g., unique legendary weapons with supply of one), and semi-fungible assets (e.g., limited-edition skins with finite but greater-than-one supply) [11].</w:t>
      </w:r>
    </w:p>
    <w:p w14:paraId="6E34BD4D" w14:textId="77777777" w:rsidR="00905597" w:rsidRPr="00014AB0" w:rsidRDefault="00000000">
      <w:pPr>
        <w:spacing w:after="120"/>
        <w:jc w:val="both"/>
      </w:pPr>
      <w:r w:rsidRPr="00014AB0">
        <w:t xml:space="preserve">The primary advantage of ERC-1155 lies in its batch transfer functionality. The </w:t>
      </w:r>
      <w:proofErr w:type="spellStart"/>
      <w:r w:rsidRPr="00014AB0">
        <w:rPr>
          <w:rFonts w:eastAsia="Courier New"/>
        </w:rPr>
        <w:t>safeBatchTransferFrom</w:t>
      </w:r>
      <w:proofErr w:type="spellEnd"/>
      <w:r w:rsidRPr="00014AB0">
        <w:t xml:space="preserve"> function enables users to transfer multiple token IDs of different types within a single smart contract in one blockchain transaction [11], dramatically reducing transaction costs and network load. This efficiency makes ERC-1155 the academically endorsed standard for gaming applications where players frequently transact multiple items simultaneously.</w:t>
      </w:r>
    </w:p>
    <w:p w14:paraId="784F356B" w14:textId="77777777" w:rsidR="00905597" w:rsidRPr="00014AB0" w:rsidRDefault="00000000">
      <w:pPr>
        <w:spacing w:before="180" w:after="60"/>
        <w:jc w:val="center"/>
      </w:pPr>
      <w:r w:rsidRPr="00014AB0">
        <w:rPr>
          <w:b/>
          <w:bCs/>
          <w:sz w:val="20"/>
          <w:szCs w:val="20"/>
        </w:rPr>
        <w:t>TABLE I</w:t>
      </w:r>
    </w:p>
    <w:p w14:paraId="11C15338" w14:textId="77777777" w:rsidR="00905597" w:rsidRPr="00014AB0" w:rsidRDefault="00000000">
      <w:pPr>
        <w:spacing w:after="120"/>
        <w:jc w:val="center"/>
      </w:pPr>
      <w:r w:rsidRPr="00014AB0">
        <w:rPr>
          <w:b/>
          <w:bCs/>
          <w:sz w:val="18"/>
          <w:szCs w:val="18"/>
        </w:rPr>
        <w:t>COMPARATIVE ANALYSIS OF TOKEN STANDARDS FOR GAMING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9"/>
        <w:gridCol w:w="2902"/>
        <w:gridCol w:w="4065"/>
      </w:tblGrid>
      <w:tr w:rsidR="00905597" w:rsidRPr="00014AB0" w14:paraId="23C2606F" w14:textId="77777777">
        <w:tblPrEx>
          <w:tblCellMar>
            <w:top w:w="0" w:type="dxa"/>
            <w:bottom w:w="0" w:type="dxa"/>
          </w:tblCellMar>
        </w:tblPrEx>
        <w:tc>
          <w:tcPr>
            <w:tcW w:w="0" w:type="auto"/>
            <w:shd w:val="clear" w:color="auto" w:fill="D9D9D9"/>
          </w:tcPr>
          <w:p w14:paraId="40A23CDF" w14:textId="77777777" w:rsidR="00905597" w:rsidRPr="00014AB0" w:rsidRDefault="00000000">
            <w:pPr>
              <w:jc w:val="center"/>
            </w:pPr>
            <w:r w:rsidRPr="00014AB0">
              <w:rPr>
                <w:b/>
                <w:bCs/>
              </w:rPr>
              <w:t>Feature</w:t>
            </w:r>
          </w:p>
        </w:tc>
        <w:tc>
          <w:tcPr>
            <w:tcW w:w="0" w:type="auto"/>
            <w:shd w:val="clear" w:color="auto" w:fill="D9D9D9"/>
          </w:tcPr>
          <w:p w14:paraId="2B061353" w14:textId="77777777" w:rsidR="00905597" w:rsidRPr="00014AB0" w:rsidRDefault="00000000">
            <w:pPr>
              <w:jc w:val="center"/>
            </w:pPr>
            <w:r w:rsidRPr="00014AB0">
              <w:rPr>
                <w:b/>
                <w:bCs/>
              </w:rPr>
              <w:t>ERC-721</w:t>
            </w:r>
          </w:p>
        </w:tc>
        <w:tc>
          <w:tcPr>
            <w:tcW w:w="0" w:type="auto"/>
            <w:shd w:val="clear" w:color="auto" w:fill="D9D9D9"/>
          </w:tcPr>
          <w:p w14:paraId="2320289A" w14:textId="77777777" w:rsidR="00905597" w:rsidRPr="00014AB0" w:rsidRDefault="00000000">
            <w:pPr>
              <w:jc w:val="center"/>
            </w:pPr>
            <w:r w:rsidRPr="00014AB0">
              <w:rPr>
                <w:b/>
                <w:bCs/>
              </w:rPr>
              <w:t>ERC-1155</w:t>
            </w:r>
          </w:p>
        </w:tc>
      </w:tr>
      <w:tr w:rsidR="00905597" w:rsidRPr="00014AB0" w14:paraId="240A92A2" w14:textId="77777777">
        <w:tblPrEx>
          <w:tblCellMar>
            <w:top w:w="0" w:type="dxa"/>
            <w:bottom w:w="0" w:type="dxa"/>
          </w:tblCellMar>
        </w:tblPrEx>
        <w:tc>
          <w:tcPr>
            <w:tcW w:w="0" w:type="auto"/>
          </w:tcPr>
          <w:p w14:paraId="72FA368C" w14:textId="77777777" w:rsidR="00905597" w:rsidRPr="00014AB0" w:rsidRDefault="00000000">
            <w:r w:rsidRPr="00014AB0">
              <w:t>Token Types</w:t>
            </w:r>
          </w:p>
        </w:tc>
        <w:tc>
          <w:tcPr>
            <w:tcW w:w="0" w:type="auto"/>
          </w:tcPr>
          <w:p w14:paraId="040B89DB" w14:textId="77777777" w:rsidR="00905597" w:rsidRPr="00014AB0" w:rsidRDefault="00000000">
            <w:r w:rsidRPr="00014AB0">
              <w:t>Non-fungible only</w:t>
            </w:r>
          </w:p>
        </w:tc>
        <w:tc>
          <w:tcPr>
            <w:tcW w:w="0" w:type="auto"/>
          </w:tcPr>
          <w:p w14:paraId="49B446BD" w14:textId="77777777" w:rsidR="00905597" w:rsidRPr="00014AB0" w:rsidRDefault="00000000">
            <w:r w:rsidRPr="00014AB0">
              <w:t>Fungible, non-fungible, semi-fungible</w:t>
            </w:r>
          </w:p>
        </w:tc>
      </w:tr>
      <w:tr w:rsidR="00905597" w:rsidRPr="00014AB0" w14:paraId="292D9B75" w14:textId="77777777">
        <w:tblPrEx>
          <w:tblCellMar>
            <w:top w:w="0" w:type="dxa"/>
            <w:bottom w:w="0" w:type="dxa"/>
          </w:tblCellMar>
        </w:tblPrEx>
        <w:tc>
          <w:tcPr>
            <w:tcW w:w="0" w:type="auto"/>
          </w:tcPr>
          <w:p w14:paraId="44A81FC0" w14:textId="77777777" w:rsidR="00905597" w:rsidRPr="00014AB0" w:rsidRDefault="00000000">
            <w:r w:rsidRPr="00014AB0">
              <w:t>Contract Deployment</w:t>
            </w:r>
          </w:p>
        </w:tc>
        <w:tc>
          <w:tcPr>
            <w:tcW w:w="0" w:type="auto"/>
          </w:tcPr>
          <w:p w14:paraId="00D6ECDC" w14:textId="77777777" w:rsidR="00905597" w:rsidRPr="00014AB0" w:rsidRDefault="00000000">
            <w:r w:rsidRPr="00014AB0">
              <w:t>Separate contract per item type</w:t>
            </w:r>
          </w:p>
        </w:tc>
        <w:tc>
          <w:tcPr>
            <w:tcW w:w="0" w:type="auto"/>
          </w:tcPr>
          <w:p w14:paraId="50495ACF" w14:textId="77777777" w:rsidR="00905597" w:rsidRPr="00014AB0" w:rsidRDefault="00000000">
            <w:r w:rsidRPr="00014AB0">
              <w:t>Single contract manages all items</w:t>
            </w:r>
          </w:p>
        </w:tc>
      </w:tr>
      <w:tr w:rsidR="00905597" w:rsidRPr="00014AB0" w14:paraId="3C139D2D" w14:textId="77777777">
        <w:tblPrEx>
          <w:tblCellMar>
            <w:top w:w="0" w:type="dxa"/>
            <w:bottom w:w="0" w:type="dxa"/>
          </w:tblCellMar>
        </w:tblPrEx>
        <w:tc>
          <w:tcPr>
            <w:tcW w:w="0" w:type="auto"/>
          </w:tcPr>
          <w:p w14:paraId="55B197CB" w14:textId="77777777" w:rsidR="00905597" w:rsidRPr="00014AB0" w:rsidRDefault="00000000">
            <w:r w:rsidRPr="00014AB0">
              <w:t>Transfer Efficiency</w:t>
            </w:r>
          </w:p>
        </w:tc>
        <w:tc>
          <w:tcPr>
            <w:tcW w:w="0" w:type="auto"/>
          </w:tcPr>
          <w:p w14:paraId="19191ABE" w14:textId="77777777" w:rsidR="00905597" w:rsidRPr="00014AB0" w:rsidRDefault="00000000">
            <w:r w:rsidRPr="00014AB0">
              <w:t>Single-token transfers only</w:t>
            </w:r>
          </w:p>
        </w:tc>
        <w:tc>
          <w:tcPr>
            <w:tcW w:w="0" w:type="auto"/>
          </w:tcPr>
          <w:p w14:paraId="7323B640" w14:textId="77777777" w:rsidR="00905597" w:rsidRPr="00014AB0" w:rsidRDefault="00000000">
            <w:r w:rsidRPr="00014AB0">
              <w:t xml:space="preserve">Batch transfers via </w:t>
            </w:r>
            <w:proofErr w:type="spellStart"/>
            <w:r w:rsidRPr="00014AB0">
              <w:t>safeBatchTransferFrom</w:t>
            </w:r>
            <w:proofErr w:type="spellEnd"/>
          </w:p>
        </w:tc>
      </w:tr>
      <w:tr w:rsidR="00905597" w:rsidRPr="00014AB0" w14:paraId="02A8DB0E" w14:textId="77777777">
        <w:tblPrEx>
          <w:tblCellMar>
            <w:top w:w="0" w:type="dxa"/>
            <w:bottom w:w="0" w:type="dxa"/>
          </w:tblCellMar>
        </w:tblPrEx>
        <w:tc>
          <w:tcPr>
            <w:tcW w:w="0" w:type="auto"/>
          </w:tcPr>
          <w:p w14:paraId="57819ECA" w14:textId="77777777" w:rsidR="00905597" w:rsidRPr="00014AB0" w:rsidRDefault="00000000">
            <w:r w:rsidRPr="00014AB0">
              <w:t>Gaming Suitability</w:t>
            </w:r>
          </w:p>
        </w:tc>
        <w:tc>
          <w:tcPr>
            <w:tcW w:w="0" w:type="auto"/>
          </w:tcPr>
          <w:p w14:paraId="22B58440" w14:textId="77777777" w:rsidR="00905597" w:rsidRPr="00014AB0" w:rsidRDefault="00000000">
            <w:r w:rsidRPr="00014AB0">
              <w:t>Moderate - Higher costs</w:t>
            </w:r>
          </w:p>
        </w:tc>
        <w:tc>
          <w:tcPr>
            <w:tcW w:w="0" w:type="auto"/>
          </w:tcPr>
          <w:p w14:paraId="289F4F10" w14:textId="77777777" w:rsidR="00905597" w:rsidRPr="00014AB0" w:rsidRDefault="00000000">
            <w:r w:rsidRPr="00014AB0">
              <w:t>High - Optimized for gaming</w:t>
            </w:r>
          </w:p>
        </w:tc>
      </w:tr>
    </w:tbl>
    <w:p w14:paraId="22E84B14" w14:textId="2788EBD7" w:rsidR="00905597" w:rsidRPr="00014AB0" w:rsidRDefault="00000000">
      <w:pPr>
        <w:spacing w:before="60" w:after="180"/>
        <w:jc w:val="center"/>
      </w:pPr>
      <w:r w:rsidRPr="00014AB0">
        <w:rPr>
          <w:i/>
          <w:iCs/>
          <w:sz w:val="18"/>
          <w:szCs w:val="18"/>
        </w:rPr>
        <w:t>(</w:t>
      </w:r>
      <w:r w:rsidR="00014AB0">
        <w:rPr>
          <w:i/>
          <w:iCs/>
          <w:sz w:val="18"/>
          <w:szCs w:val="18"/>
        </w:rPr>
        <w:t>S</w:t>
      </w:r>
      <w:r w:rsidRPr="00014AB0">
        <w:rPr>
          <w:i/>
          <w:iCs/>
          <w:sz w:val="18"/>
          <w:szCs w:val="18"/>
        </w:rPr>
        <w:t>ynthesis based on [10] and [11])</w:t>
      </w:r>
    </w:p>
    <w:p w14:paraId="44951170" w14:textId="77777777" w:rsidR="00905597" w:rsidRPr="00014AB0" w:rsidRDefault="00000000">
      <w:pPr>
        <w:pStyle w:val="Heading2"/>
      </w:pPr>
      <w:r w:rsidRPr="00014AB0">
        <w:t>B. Metadata Management and Provenance</w:t>
      </w:r>
    </w:p>
    <w:p w14:paraId="25CAD7FF" w14:textId="77777777" w:rsidR="00905597" w:rsidRPr="00014AB0" w:rsidRDefault="00000000">
      <w:pPr>
        <w:spacing w:after="120"/>
        <w:jc w:val="both"/>
      </w:pPr>
      <w:r w:rsidRPr="00014AB0">
        <w:t>NFT metadata encompasses the descriptive information that defines an asset's identity, including its name, visual representation, and attribute specifications (e.g., rarity tier, color scheme, special effects) [13]. This metadata establishes provenance—the verifiable history of ownership and authenticity that underpins an asset's economic value [13].</w:t>
      </w:r>
    </w:p>
    <w:p w14:paraId="71CD1119" w14:textId="77777777" w:rsidR="00905597" w:rsidRPr="00014AB0" w:rsidRDefault="00000000">
      <w:pPr>
        <w:spacing w:after="120"/>
        <w:jc w:val="both"/>
      </w:pPr>
      <w:r w:rsidRPr="00014AB0">
        <w:t xml:space="preserve">A critical technical challenge arises from blockchain storage constraints. Storing large files such as high-resolution textures or 3D models directly on-chain is economically prohibitive due to high storage costs [14]. Consequently, many implementations adopt a hybrid approach: the NFT smart contract stores only a URL reference pointing to metadata hosted on decentralized file systems such as the </w:t>
      </w:r>
      <w:proofErr w:type="spellStart"/>
      <w:r w:rsidRPr="00014AB0">
        <w:t>InterPlanetary</w:t>
      </w:r>
      <w:proofErr w:type="spellEnd"/>
      <w:r w:rsidRPr="00014AB0">
        <w:t xml:space="preserve"> File System (IPFS) [14], [15].</w:t>
      </w:r>
    </w:p>
    <w:p w14:paraId="6315E683" w14:textId="77777777" w:rsidR="00905597" w:rsidRPr="00014AB0" w:rsidRDefault="00000000">
      <w:pPr>
        <w:spacing w:after="120"/>
        <w:jc w:val="both"/>
      </w:pPr>
      <w:r w:rsidRPr="00014AB0">
        <w:lastRenderedPageBreak/>
        <w:t>However, this architecture introduces a structural vulnerability. While the blockchain token itself remains immutable, off-chain metadata may be subject to modification [16]. If developers retain the ability to update files referenced by NFT URLs, they can retroactively alter asset attributes, thereby undermining the fundamental premise of verifiable rarity and immutable provenance. Academic consensus suggests that cryptographic integrity requires on-chain storage of at least critical metadata fields or content-addressed storage systems like IPFS with hash verification, necessitating careful trade-offs between cost efficiency and trustless verification [16].</w:t>
      </w:r>
    </w:p>
    <w:p w14:paraId="5A39284C" w14:textId="77777777" w:rsidR="00905597" w:rsidRPr="00014AB0" w:rsidRDefault="00000000">
      <w:pPr>
        <w:pStyle w:val="Heading1"/>
      </w:pPr>
      <w:r w:rsidRPr="00014AB0">
        <w:t>III. Cryptographic and Economic Models for Verifiable Scarcity</w:t>
      </w:r>
    </w:p>
    <w:p w14:paraId="5DCBDD59" w14:textId="77777777" w:rsidR="00905597" w:rsidRPr="00014AB0" w:rsidRDefault="00000000">
      <w:pPr>
        <w:pStyle w:val="Heading2"/>
      </w:pPr>
      <w:r w:rsidRPr="00014AB0">
        <w:t>A. Cryptographic Enforcement of Supply Limits</w:t>
      </w:r>
    </w:p>
    <w:p w14:paraId="70F79531" w14:textId="77777777" w:rsidR="00905597" w:rsidRPr="00014AB0" w:rsidRDefault="00000000">
      <w:pPr>
        <w:spacing w:after="120"/>
        <w:jc w:val="both"/>
      </w:pPr>
      <w:r w:rsidRPr="00014AB0">
        <w:t>Blockchain technology enables cryptographic proof of limited supply and asset scarcity through auditable smart contract code [17]. Unlike centralized systems where supply is governed by opaque database permissions, blockchain-based scarcity is enforced through transparent, immutable logic.</w:t>
      </w:r>
    </w:p>
    <w:p w14:paraId="65236E49" w14:textId="77777777" w:rsidR="00905597" w:rsidRPr="00014AB0" w:rsidRDefault="00000000">
      <w:pPr>
        <w:spacing w:after="120"/>
        <w:jc w:val="both"/>
      </w:pPr>
      <w:r w:rsidRPr="00014AB0">
        <w:t xml:space="preserve">Scarcity implementation typically employs two mechanisms. First, hard-coded supply limits: smart contracts contain maximum supply constants (e.g., </w:t>
      </w:r>
      <w:r w:rsidRPr="00014AB0">
        <w:rPr>
          <w:rFonts w:eastAsia="Courier New"/>
        </w:rPr>
        <w:t>MAX_SUPPLY</w:t>
      </w:r>
      <w:r w:rsidRPr="00014AB0">
        <w:t xml:space="preserve">) for each token type, with minting functions programmatically restricted from exceeding this threshold [18]. Second, verifiable randomness: for assets with probabilistically distributed attributes (e.g., randomized loot drops), contracts utilize Verifiable Random Functions (VRFs) such as </w:t>
      </w:r>
      <w:proofErr w:type="spellStart"/>
      <w:r w:rsidRPr="00014AB0">
        <w:t>Chainlink</w:t>
      </w:r>
      <w:proofErr w:type="spellEnd"/>
      <w:r w:rsidRPr="00014AB0">
        <w:t xml:space="preserve"> VRF [19] to ensure trait </w:t>
      </w:r>
      <w:proofErr w:type="gramStart"/>
      <w:r w:rsidRPr="00014AB0">
        <w:t>assignment</w:t>
      </w:r>
      <w:proofErr w:type="gramEnd"/>
      <w:r w:rsidRPr="00014AB0">
        <w:t xml:space="preserve"> cannot be manipulated. This cryptographic infrastructure enables any party to independently verify total supply and attribute distribution without trusting developer representations [18].</w:t>
      </w:r>
    </w:p>
    <w:p w14:paraId="1B4ADF88" w14:textId="77777777" w:rsidR="00905597" w:rsidRPr="00014AB0" w:rsidRDefault="00000000">
      <w:pPr>
        <w:pStyle w:val="Heading2"/>
      </w:pPr>
      <w:r w:rsidRPr="00014AB0">
        <w:t>B. Economic Valuation Models for Digital Scarcity</w:t>
      </w:r>
    </w:p>
    <w:p w14:paraId="226E254C" w14:textId="77777777" w:rsidR="00905597" w:rsidRPr="00014AB0" w:rsidRDefault="00000000">
      <w:pPr>
        <w:spacing w:after="120"/>
        <w:jc w:val="both"/>
      </w:pPr>
      <w:r w:rsidRPr="00014AB0">
        <w:t xml:space="preserve">Once cryptographic scarcity is established, market mechanisms determine economic value. Academic research has </w:t>
      </w:r>
      <w:proofErr w:type="gramStart"/>
      <w:r w:rsidRPr="00014AB0">
        <w:t>adapted</w:t>
      </w:r>
      <w:proofErr w:type="gramEnd"/>
      <w:r w:rsidRPr="00014AB0">
        <w:t xml:space="preserve"> established econometric models and developed novel machine learning approaches for NFT pricing based on rarity metrics and market dynamics.</w:t>
      </w:r>
    </w:p>
    <w:p w14:paraId="7699939F" w14:textId="77777777" w:rsidR="00905597" w:rsidRPr="00014AB0" w:rsidRDefault="00000000">
      <w:pPr>
        <w:spacing w:before="120" w:after="60"/>
        <w:jc w:val="both"/>
      </w:pPr>
      <w:r w:rsidRPr="00014AB0">
        <w:rPr>
          <w:i/>
          <w:iCs/>
        </w:rPr>
        <w:t>1) Hedonic Pricing Models</w:t>
      </w:r>
    </w:p>
    <w:p w14:paraId="7CC131BF" w14:textId="77777777" w:rsidR="00905597" w:rsidRPr="00014AB0" w:rsidRDefault="00000000">
      <w:pPr>
        <w:spacing w:after="120"/>
        <w:jc w:val="both"/>
      </w:pPr>
      <w:r w:rsidRPr="00014AB0">
        <w:t>Hedonic pricing models, originally developed by Rosen (1974) for real estate and consumer goods valuation [20], have been adapted to NFT markets. These models decompose asset value into constituent attributes, employing regression analysis to quantify each trait's contribution to overall price [21]. Research demonstrates that machine-quantified image descriptors—including color saturation, compositional balance, and textural complexity—serve as effective predictors of NFT valuations [22]. Empirical studies reveal non-linear rarity premiums, with rare attributes commanding disproportionately higher values in larger collections, suggesting strong network effects in digital asset markets [23].</w:t>
      </w:r>
    </w:p>
    <w:p w14:paraId="1A9E5750" w14:textId="77777777" w:rsidR="00905597" w:rsidRPr="00014AB0" w:rsidRDefault="00000000">
      <w:pPr>
        <w:spacing w:before="120" w:after="60"/>
        <w:jc w:val="both"/>
      </w:pPr>
      <w:r w:rsidRPr="00014AB0">
        <w:rPr>
          <w:i/>
          <w:iCs/>
        </w:rPr>
        <w:t>2) Machine Learning Approaches</w:t>
      </w:r>
    </w:p>
    <w:p w14:paraId="47885355" w14:textId="77777777" w:rsidR="00905597" w:rsidRPr="00014AB0" w:rsidRDefault="00000000">
      <w:pPr>
        <w:spacing w:after="120"/>
        <w:jc w:val="both"/>
      </w:pPr>
      <w:r w:rsidRPr="00014AB0">
        <w:t>Advanced valuation frameworks employ machine learning architectures including Random Forests and Neural Networks to capture complex, non-linear relationships between asset characteristics and market prices [21]. These models incorporate not only static metadata but also dynamic variables including on-chain transaction activity, social sentiment indicators, and temporal market trends, producing more accurate price estimates than linear regression approaches [21].</w:t>
      </w:r>
    </w:p>
    <w:p w14:paraId="53F1B15B" w14:textId="77777777" w:rsidR="00905597" w:rsidRPr="00014AB0" w:rsidRDefault="00000000">
      <w:pPr>
        <w:spacing w:before="120" w:after="60"/>
        <w:jc w:val="both"/>
      </w:pPr>
      <w:r w:rsidRPr="00014AB0">
        <w:rPr>
          <w:i/>
          <w:iCs/>
        </w:rPr>
        <w:t>3) Market Integrity and Manipulation Detection</w:t>
      </w:r>
    </w:p>
    <w:p w14:paraId="7A2DC2DA" w14:textId="77777777" w:rsidR="00905597" w:rsidRPr="00014AB0" w:rsidRDefault="00000000">
      <w:pPr>
        <w:spacing w:after="120"/>
        <w:jc w:val="both"/>
      </w:pPr>
      <w:r w:rsidRPr="00014AB0">
        <w:lastRenderedPageBreak/>
        <w:t>Blockchain transparency, while enabling verification, also facilitates market manipulation. Wash trading—wherein single entities execute circular transactions between controlled wallets to artificially inflate asset prices—represents a documented structural vulnerability [24], [25]. Academic research proposes graph-based anomaly detection algorithms to identify and filter such transactions, thereby preserving valuation model integrity through network analysis and temporal pattern recognition [21].</w:t>
      </w:r>
    </w:p>
    <w:p w14:paraId="48991A62" w14:textId="77777777" w:rsidR="00905597" w:rsidRPr="00014AB0" w:rsidRDefault="00000000">
      <w:pPr>
        <w:pStyle w:val="Heading1"/>
      </w:pPr>
      <w:r w:rsidRPr="00014AB0">
        <w:t>IV. Peer-to-Peer Asset Lending Architectures</w:t>
      </w:r>
    </w:p>
    <w:p w14:paraId="3495FEBD" w14:textId="77777777" w:rsidR="00905597" w:rsidRPr="00014AB0" w:rsidRDefault="00000000">
      <w:pPr>
        <w:pStyle w:val="Heading2"/>
      </w:pPr>
      <w:r w:rsidRPr="00014AB0">
        <w:t>A. Collateralized Lending Models</w:t>
      </w:r>
    </w:p>
    <w:p w14:paraId="795A6A07" w14:textId="77777777" w:rsidR="00905597" w:rsidRPr="00014AB0" w:rsidRDefault="00000000">
      <w:pPr>
        <w:spacing w:after="120"/>
        <w:jc w:val="both"/>
      </w:pPr>
      <w:r w:rsidRPr="00014AB0">
        <w:t xml:space="preserve">Decentralized Finance (DeFi) protocols have established collateralized lending mechanisms for NFT borrowing. In this model, borrowers deposit NFTs as collateral to secure cryptocurrency loans [26]. Two primary architectures exist: peer-to-peer platforms where lenders and borrowers negotiate terms directly, and peer-to-protocol systems where borrowers access </w:t>
      </w:r>
      <w:proofErr w:type="gramStart"/>
      <w:r w:rsidRPr="00014AB0">
        <w:t>algorithmically-managed</w:t>
      </w:r>
      <w:proofErr w:type="gramEnd"/>
      <w:r w:rsidRPr="00014AB0">
        <w:t xml:space="preserve"> liquidity pools [27].</w:t>
      </w:r>
    </w:p>
    <w:p w14:paraId="1CA298CA" w14:textId="77777777" w:rsidR="00905597" w:rsidRPr="00014AB0" w:rsidRDefault="00000000">
      <w:pPr>
        <w:spacing w:after="120"/>
        <w:jc w:val="both"/>
      </w:pPr>
      <w:r w:rsidRPr="00014AB0">
        <w:t>However, collateralized models fundamentally misalign with gaming use cases. These protocols transfer asset custody to escrow contracts, rendering NFTs unusable for their intended in-game utility during the loan period [27]. The objective of gaming asset rental is not capital acquisition but temporary access to functional assets, making collateralized financial lending architecturally inappropriate for this application.</w:t>
      </w:r>
    </w:p>
    <w:p w14:paraId="24CC35CE" w14:textId="77777777" w:rsidR="00905597" w:rsidRPr="00014AB0" w:rsidRDefault="00000000">
      <w:pPr>
        <w:pStyle w:val="Heading2"/>
      </w:pPr>
      <w:r w:rsidRPr="00014AB0">
        <w:t>B. Uncollateralized Delegation: EIP-4907 Standard</w:t>
      </w:r>
    </w:p>
    <w:p w14:paraId="4938F10F" w14:textId="77777777" w:rsidR="00905597" w:rsidRPr="00014AB0" w:rsidRDefault="00000000">
      <w:pPr>
        <w:spacing w:after="120"/>
        <w:jc w:val="both"/>
      </w:pPr>
      <w:r w:rsidRPr="00014AB0">
        <w:t>EIP-4907 provides a purpose-built solution for gaming asset rental through uncollateralized delegation [28]. This Ethereum Improvement Proposal extends ERC-721 (and is compatible with ERC-1155 logic) by introducing dual roles: 'owner' (possessing transfer rights) and 'user' (possessing time-limited utility rights) [28].</w:t>
      </w:r>
    </w:p>
    <w:p w14:paraId="2884A265" w14:textId="77777777" w:rsidR="00905597" w:rsidRPr="00014AB0" w:rsidRDefault="00000000">
      <w:pPr>
        <w:spacing w:after="120"/>
        <w:jc w:val="both"/>
      </w:pPr>
      <w:r w:rsidRPr="00014AB0">
        <w:t xml:space="preserve">The protocol operates through two key functions. The </w:t>
      </w:r>
      <w:proofErr w:type="spellStart"/>
      <w:r w:rsidRPr="00014AB0">
        <w:rPr>
          <w:rFonts w:eastAsia="Courier New"/>
        </w:rPr>
        <w:t>setUser</w:t>
      </w:r>
      <w:proofErr w:type="spellEnd"/>
      <w:r w:rsidRPr="00014AB0">
        <w:rPr>
          <w:rFonts w:eastAsia="Courier New"/>
        </w:rPr>
        <w:t>(</w:t>
      </w:r>
      <w:proofErr w:type="spellStart"/>
      <w:r w:rsidRPr="00014AB0">
        <w:rPr>
          <w:rFonts w:eastAsia="Courier New"/>
        </w:rPr>
        <w:t>tokenId</w:t>
      </w:r>
      <w:proofErr w:type="spellEnd"/>
      <w:r w:rsidRPr="00014AB0">
        <w:rPr>
          <w:rFonts w:eastAsia="Courier New"/>
        </w:rPr>
        <w:t>, user, expires)</w:t>
      </w:r>
      <w:r w:rsidRPr="00014AB0">
        <w:t xml:space="preserve"> function allows owners to delegate temporary usage rights to specified addresses with automatic expiration timestamps (Unix timestamp format) [29]. The </w:t>
      </w:r>
      <w:proofErr w:type="spellStart"/>
      <w:r w:rsidRPr="00014AB0">
        <w:rPr>
          <w:rFonts w:eastAsia="Courier New"/>
        </w:rPr>
        <w:t>userOf</w:t>
      </w:r>
      <w:proofErr w:type="spellEnd"/>
      <w:r w:rsidRPr="00014AB0">
        <w:rPr>
          <w:rFonts w:eastAsia="Courier New"/>
        </w:rPr>
        <w:t>(</w:t>
      </w:r>
      <w:proofErr w:type="spellStart"/>
      <w:r w:rsidRPr="00014AB0">
        <w:rPr>
          <w:rFonts w:eastAsia="Courier New"/>
        </w:rPr>
        <w:t>tokenId</w:t>
      </w:r>
      <w:proofErr w:type="spellEnd"/>
      <w:r w:rsidRPr="00014AB0">
        <w:rPr>
          <w:rFonts w:eastAsia="Courier New"/>
        </w:rPr>
        <w:t>)</w:t>
      </w:r>
      <w:r w:rsidRPr="00014AB0">
        <w:t xml:space="preserve"> function enables game servers to query current user status, facilitating integration with centralized game logic [29]. This architecture enables trustless rentals wherein asset ownership never leaves the original wallet, while usage rights are cryptographically time-bounded, eliminating counterparty risk [28].</w:t>
      </w:r>
    </w:p>
    <w:p w14:paraId="0356BD49" w14:textId="77777777" w:rsidR="00905597" w:rsidRPr="00014AB0" w:rsidRDefault="00000000">
      <w:pPr>
        <w:pStyle w:val="Heading2"/>
      </w:pPr>
      <w:r w:rsidRPr="00014AB0">
        <w:t>C. Governance and Economic Considerations</w:t>
      </w:r>
    </w:p>
    <w:p w14:paraId="31A83CA9" w14:textId="77777777" w:rsidR="00905597" w:rsidRPr="00014AB0" w:rsidRDefault="00000000">
      <w:pPr>
        <w:spacing w:after="120"/>
        <w:jc w:val="both"/>
      </w:pPr>
      <w:r w:rsidRPr="00014AB0">
        <w:t>Lending protocol governance typically employs Decentralized Autonomous Organizations (DAOs) that utilize governance tokens to democratize parameter adjustment decisions [30]. DAOs enable token holders to vote on protocol changes including fee structures, collateralization ratios, and feature additions. However, this introduces game-theoretic vulnerabilities including governance attacks (malicious token concentration enabling hostile takeovers) and yield farming distortions (economically unsustainable incentive structures that attract mercenary capital) [31]. These considerations necessitate careful economic modeling and security analysis in protocol design.</w:t>
      </w:r>
    </w:p>
    <w:p w14:paraId="1E2C0081" w14:textId="77777777" w:rsidR="00905597" w:rsidRPr="00014AB0" w:rsidRDefault="00000000">
      <w:pPr>
        <w:pStyle w:val="Heading1"/>
      </w:pPr>
      <w:r w:rsidRPr="00014AB0">
        <w:t>V. Hybrid Architecture for High-Performance Game Integration</w:t>
      </w:r>
    </w:p>
    <w:p w14:paraId="191C17ED" w14:textId="77777777" w:rsidR="00905597" w:rsidRPr="00014AB0" w:rsidRDefault="00000000">
      <w:pPr>
        <w:pStyle w:val="Heading2"/>
      </w:pPr>
      <w:r w:rsidRPr="00014AB0">
        <w:t>A. The Centralized Gameplay, Decentralized Economy Model</w:t>
      </w:r>
    </w:p>
    <w:p w14:paraId="65CEA860" w14:textId="77777777" w:rsidR="00905597" w:rsidRPr="00014AB0" w:rsidRDefault="00000000">
      <w:pPr>
        <w:spacing w:after="120"/>
        <w:jc w:val="both"/>
      </w:pPr>
      <w:r w:rsidRPr="00014AB0">
        <w:t xml:space="preserve">Integration of blockchain systems with high-performance commercial games (AAA titles: high-budget, high-profile productions) necessitates hybrid architectures that leverage the </w:t>
      </w:r>
      <w:r w:rsidRPr="00014AB0">
        <w:lastRenderedPageBreak/>
        <w:t>comparative advantages of both centralized and decentralized infrastructure [32]. Fully on-chain gaming remains technically infeasible for AAA titles requiring millions of real-time state updates due to blockchain scalability constraints. Ethereum's base layer (Layer 1) throughput of approximately 15-30 transactions per second [33] cannot accommodate the high-frequency updates required for competitive multiplayer games. While Layer 2 scaling solutions (rollups, sidechains) offer significantly higher throughput (1,000-4,000 TPS) [34], latency requirements for AAA gaming still necessitate hybrid approaches.</w:t>
      </w:r>
    </w:p>
    <w:p w14:paraId="441E5D71" w14:textId="77777777" w:rsidR="00905597" w:rsidRPr="00014AB0" w:rsidRDefault="00000000">
      <w:pPr>
        <w:spacing w:after="120"/>
        <w:jc w:val="both"/>
      </w:pPr>
      <w:r w:rsidRPr="00014AB0">
        <w:t>The academically validated solution, termed here as the Centralized Gameplay, Decentralized Economy (CGDE) model, employs a bifurcated architecture [32]. Off-chain centralized servers manage all real-time game logic, including physics simulation, collision detection, and session state management, ensuring millisecond-level responsiveness [35]. On-chain blockchain infrastructure serves as the immutable ledger for critical economic data: asset ownership, transaction histories, and marketplace operations [35]. This division enables AAA-quality gameplay performance while maintaining decentralized economic sovereignty.</w:t>
      </w:r>
    </w:p>
    <w:p w14:paraId="5BF38779" w14:textId="77777777" w:rsidR="00905597" w:rsidRPr="00014AB0" w:rsidRDefault="00000000">
      <w:pPr>
        <w:spacing w:after="120"/>
        <w:jc w:val="both"/>
      </w:pPr>
      <w:r w:rsidRPr="00014AB0">
        <w:t xml:space="preserve">Implementation of EIP-4907 rental within this architecture operates as follows: upon player authentication, game servers query the blockchain via RPC (Remote Procedure Call) providers or dedicated indexing services to retrieve both owned assets (via </w:t>
      </w:r>
      <w:proofErr w:type="spellStart"/>
      <w:r w:rsidRPr="00014AB0">
        <w:rPr>
          <w:rFonts w:eastAsia="Courier New"/>
        </w:rPr>
        <w:t>ownerOf</w:t>
      </w:r>
      <w:proofErr w:type="spellEnd"/>
      <w:r w:rsidRPr="00014AB0">
        <w:rPr>
          <w:rFonts w:eastAsia="Courier New"/>
        </w:rPr>
        <w:t>()</w:t>
      </w:r>
      <w:r w:rsidRPr="00014AB0">
        <w:t xml:space="preserve">) and temporarily accessed assets (via </w:t>
      </w:r>
      <w:proofErr w:type="spellStart"/>
      <w:r w:rsidRPr="00014AB0">
        <w:rPr>
          <w:rFonts w:eastAsia="Courier New"/>
        </w:rPr>
        <w:t>userOf</w:t>
      </w:r>
      <w:proofErr w:type="spellEnd"/>
      <w:r w:rsidRPr="00014AB0">
        <w:rPr>
          <w:rFonts w:eastAsia="Courier New"/>
        </w:rPr>
        <w:t>()</w:t>
      </w:r>
      <w:r w:rsidRPr="00014AB0">
        <w:t xml:space="preserve">) [29]. If </w:t>
      </w:r>
      <w:proofErr w:type="spellStart"/>
      <w:r w:rsidRPr="00014AB0">
        <w:rPr>
          <w:rFonts w:eastAsia="Courier New"/>
        </w:rPr>
        <w:t>userOf</w:t>
      </w:r>
      <w:proofErr w:type="spellEnd"/>
      <w:r w:rsidRPr="00014AB0">
        <w:rPr>
          <w:rFonts w:eastAsia="Courier New"/>
        </w:rPr>
        <w:t>()</w:t>
      </w:r>
      <w:r w:rsidRPr="00014AB0">
        <w:t xml:space="preserve"> returns the player's address and the current timestamp precedes the expiration value, the server grants in-game access to the rented asset. The blockchain contract remains passive; active enforcement occurs through centralized server queries of on-chain state. Security considerations require authenticated RPC connections and caching strategies to minimize blockchain query latency.</w:t>
      </w:r>
    </w:p>
    <w:p w14:paraId="28A11B7A" w14:textId="77777777" w:rsidR="00905597" w:rsidRPr="00014AB0" w:rsidRDefault="00000000">
      <w:pPr>
        <w:pStyle w:val="Heading2"/>
      </w:pPr>
      <w:r w:rsidRPr="00014AB0">
        <w:t>B. Decentralized Marketplace Architecture</w:t>
      </w:r>
    </w:p>
    <w:p w14:paraId="47A7EE16" w14:textId="77777777" w:rsidR="00905597" w:rsidRPr="00014AB0" w:rsidRDefault="00000000">
      <w:pPr>
        <w:spacing w:after="120"/>
        <w:jc w:val="both"/>
      </w:pPr>
      <w:r w:rsidRPr="00014AB0">
        <w:t>Peer-to-peer trading of blockchain gaming assets requires marketplace infrastructure that balances decentralization principles with user experience requirements. Fully on-chain order books, wherein every listing and bid constitutes a blockchain transaction, impose prohibitive gas costs and latency [36].</w:t>
      </w:r>
    </w:p>
    <w:p w14:paraId="1065A8DF" w14:textId="77777777" w:rsidR="00905597" w:rsidRPr="00014AB0" w:rsidRDefault="00000000">
      <w:pPr>
        <w:spacing w:after="120"/>
        <w:jc w:val="both"/>
      </w:pPr>
      <w:r w:rsidRPr="00014AB0">
        <w:t xml:space="preserve">One common approach employed by major platforms employs a hybrid model: off-chain order book with on-chain settlement [37]. Centralized marketplace servers </w:t>
      </w:r>
      <w:proofErr w:type="gramStart"/>
      <w:r w:rsidRPr="00014AB0">
        <w:t>store listing</w:t>
      </w:r>
      <w:proofErr w:type="gramEnd"/>
      <w:r w:rsidRPr="00014AB0">
        <w:t xml:space="preserve"> databases at no cost to users; sellers create cryptographically signed messages authorizing trades without executing transactions immediately. When buyers initiate purchases, they submit these signed authorizations to the marketplace smart contract, which verifies cryptographic signatures using Ethereum's </w:t>
      </w:r>
      <w:proofErr w:type="spellStart"/>
      <w:r w:rsidRPr="00014AB0">
        <w:rPr>
          <w:rFonts w:eastAsia="Courier New"/>
        </w:rPr>
        <w:t>ecrecover</w:t>
      </w:r>
      <w:proofErr w:type="spellEnd"/>
      <w:r w:rsidRPr="00014AB0">
        <w:t xml:space="preserve"> function and executes atomic ownership transfers [36]. This architecture delivers responsive browsing performance while preserving trustless, immutable transaction settlement.</w:t>
      </w:r>
    </w:p>
    <w:p w14:paraId="270C358D" w14:textId="77777777" w:rsidR="00905597" w:rsidRPr="00014AB0" w:rsidRDefault="00000000">
      <w:pPr>
        <w:pStyle w:val="Heading1"/>
      </w:pPr>
      <w:r w:rsidRPr="00014AB0">
        <w:t>VI. Interoperability Considerations</w:t>
      </w:r>
    </w:p>
    <w:p w14:paraId="1A6F2117" w14:textId="77777777" w:rsidR="00905597" w:rsidRPr="00014AB0" w:rsidRDefault="00000000">
      <w:pPr>
        <w:pStyle w:val="Heading2"/>
      </w:pPr>
      <w:r w:rsidRPr="00014AB0">
        <w:t>A. Technical Barriers to Asset Portability</w:t>
      </w:r>
    </w:p>
    <w:p w14:paraId="3455320B" w14:textId="77777777" w:rsidR="00905597" w:rsidRPr="00014AB0" w:rsidRDefault="00000000">
      <w:pPr>
        <w:spacing w:after="120"/>
        <w:jc w:val="both"/>
      </w:pPr>
      <w:r w:rsidRPr="00014AB0">
        <w:t>A frequently promoted proposition in blockchain gaming is true interoperability—the ability to transfer assets between distinct game environments. However, current academic analysis suggests significant technical barriers for complex 3D assets [38]. Game assets comprise not merely visual data but intricate assemblages of 3D models, physics properties, shader specifications, and engine-specific metadata [39]. These components face fundamental incompatibility across different game engines (e.g., Unreal Engine [40] vs. Unity [41]), with disparate physics environments, lighting systems, and rendering pipelines.</w:t>
      </w:r>
    </w:p>
    <w:p w14:paraId="436D9CCC" w14:textId="77777777" w:rsidR="00905597" w:rsidRPr="00014AB0" w:rsidRDefault="00000000">
      <w:pPr>
        <w:spacing w:after="120"/>
        <w:jc w:val="both"/>
      </w:pPr>
      <w:r w:rsidRPr="00014AB0">
        <w:t xml:space="preserve">Efforts toward interoperability standardization exist, including initiatives by the Open Metaverse Interoperability Group [42], which aims to develop open standards for virtual world </w:t>
      </w:r>
      <w:r w:rsidRPr="00014AB0">
        <w:lastRenderedPageBreak/>
        <w:t xml:space="preserve">interoperability. However, technical standardization faces challenges including proprietary engine </w:t>
      </w:r>
      <w:proofErr w:type="gramStart"/>
      <w:r w:rsidRPr="00014AB0">
        <w:t>architectures</w:t>
      </w:r>
      <w:proofErr w:type="gramEnd"/>
      <w:r w:rsidRPr="00014AB0">
        <w:t>, performance optimization requirements, and artistic consistency concerns.</w:t>
      </w:r>
    </w:p>
    <w:p w14:paraId="5F251EEA" w14:textId="77777777" w:rsidR="00905597" w:rsidRPr="00014AB0" w:rsidRDefault="00000000">
      <w:pPr>
        <w:pStyle w:val="Heading2"/>
      </w:pPr>
      <w:r w:rsidRPr="00014AB0">
        <w:t>B. Semantic Interoperability Model</w:t>
      </w:r>
    </w:p>
    <w:p w14:paraId="2E1FEAEC" w14:textId="77777777" w:rsidR="00905597" w:rsidRPr="00014AB0" w:rsidRDefault="00000000">
      <w:pPr>
        <w:spacing w:after="120"/>
        <w:jc w:val="both"/>
      </w:pPr>
      <w:r w:rsidRPr="00014AB0">
        <w:t>The pragmatic implementation of blockchain interoperability is semantic rather than technical [43]. In this model, NFTs function as digital certificates or provable records of achievement that exist independently on public ledgers [44]. Cross-game recognition operates as follows: Game A mints an NFT representing a significant achievement or status; Game B, developed by a separate entity, voluntarily recognizes this NFT by querying the blockchain and granting equivalent rewards or status to holders [45]. No asset files transfer between games; rather, the NFT serves as a verifiable cross-platform status symbol, enabling games to recognize and reward player histories from external ecosystems [45]. This model preserves developer autonomy while enabling cross-game reputation systems.</w:t>
      </w:r>
    </w:p>
    <w:p w14:paraId="19843980" w14:textId="77777777" w:rsidR="00905597" w:rsidRPr="00014AB0" w:rsidRDefault="00000000">
      <w:pPr>
        <w:pStyle w:val="Heading1"/>
      </w:pPr>
      <w:r w:rsidRPr="00014AB0">
        <w:t>VII. Critical Barriers to Mainstream Adoption</w:t>
      </w:r>
    </w:p>
    <w:p w14:paraId="009EAE35" w14:textId="77777777" w:rsidR="00905597" w:rsidRPr="00014AB0" w:rsidRDefault="00000000">
      <w:pPr>
        <w:pStyle w:val="Heading2"/>
      </w:pPr>
      <w:r w:rsidRPr="00014AB0">
        <w:t>A. The Blockchain Scalability Trilemma</w:t>
      </w:r>
    </w:p>
    <w:p w14:paraId="628DDE66" w14:textId="77777777" w:rsidR="00905597" w:rsidRPr="00014AB0" w:rsidRDefault="00000000">
      <w:pPr>
        <w:spacing w:after="120"/>
        <w:jc w:val="both"/>
      </w:pPr>
      <w:r w:rsidRPr="00014AB0">
        <w:t>The scalability trilemma, articulated by Ethereum founder Vitalik Buterin [46], posits that blockchain networks can optimize for at most two of three properties: decentralization, security, and scalability. Public blockchains like Ethereum prioritize decentralization and security, resulting in limited transaction throughput and elevated fees that prohibit mass-market gaming applications [17].</w:t>
      </w:r>
    </w:p>
    <w:p w14:paraId="7799E344" w14:textId="77777777" w:rsidR="00905597" w:rsidRPr="00014AB0" w:rsidRDefault="00000000">
      <w:pPr>
        <w:spacing w:after="120"/>
        <w:jc w:val="both"/>
      </w:pPr>
      <w:r w:rsidRPr="00014AB0">
        <w:t>Current research explores Layer 2 scaling solutions to address these constraints. Rollups (including Optimistic Rollups and Zero-Knowledge Rollups) batch transactions off-chain and submit compressed proofs to the main chain [47]. Sidechains operate as independent blockchains with separate consensus mechanisms, periodically checkpointing to the main chain [48]. These solutions significantly improve throughput while maintaining security guarantees, though trade-offs in latency and decentralization remain active research areas.</w:t>
      </w:r>
    </w:p>
    <w:p w14:paraId="65B0A8CD" w14:textId="77777777" w:rsidR="00905597" w:rsidRPr="00014AB0" w:rsidRDefault="00000000">
      <w:pPr>
        <w:pStyle w:val="Heading2"/>
      </w:pPr>
      <w:r w:rsidRPr="00014AB0">
        <w:t>B. User Experience Barriers</w:t>
      </w:r>
    </w:p>
    <w:p w14:paraId="4548BF7A" w14:textId="77777777" w:rsidR="00905597" w:rsidRPr="00014AB0" w:rsidRDefault="00000000">
      <w:pPr>
        <w:spacing w:after="120"/>
        <w:jc w:val="both"/>
      </w:pPr>
      <w:r w:rsidRPr="00014AB0">
        <w:t>Mainstream gaming audiences lack familiarity with blockchain interaction paradigms, creating significant adoption friction [49]. Empirical user studies identify key barriers including complex wallet onboarding procedures, private key management responsibilities (with irreversible loss if keys are compromised), irreversible transaction finality, and technical jargon including gas fees and smart contract interactions [50].</w:t>
      </w:r>
    </w:p>
    <w:p w14:paraId="12E68097" w14:textId="77777777" w:rsidR="00905597" w:rsidRPr="00014AB0" w:rsidRDefault="00000000">
      <w:pPr>
        <w:spacing w:after="120"/>
        <w:jc w:val="both"/>
      </w:pPr>
      <w:r w:rsidRPr="00014AB0">
        <w:t>Proposed solutions involve abstraction through hybrid custodial systems wherein developers manage blockchain interactions transparently, providing familiar interfaces (username/password authentication, credit card payments) while handling wallet custody and transaction execution on users' behalf [49]. Emerging technologies including account abstraction (ERC-4337) [51], social recovery mechanisms, and multi-party computation (MPC) wallets offer improved security and usability. However, hybrid custody models reintroduce centralization concerns, requiring careful balance between accessibility and decentralization principles.</w:t>
      </w:r>
    </w:p>
    <w:p w14:paraId="2FDFEF75" w14:textId="77777777" w:rsidR="00905597" w:rsidRPr="00014AB0" w:rsidRDefault="00000000">
      <w:pPr>
        <w:pStyle w:val="Heading2"/>
      </w:pPr>
      <w:r w:rsidRPr="00014AB0">
        <w:t>C. Economic Sustainability of Play-to-Earn Models</w:t>
      </w:r>
    </w:p>
    <w:p w14:paraId="3CF223BC" w14:textId="77777777" w:rsidR="00905597" w:rsidRPr="00014AB0" w:rsidRDefault="00000000">
      <w:pPr>
        <w:spacing w:after="120"/>
        <w:jc w:val="both"/>
      </w:pPr>
      <w:r w:rsidRPr="00014AB0">
        <w:t xml:space="preserve">Play-to-earn (P2E) models, which include monetized asset lending, introduce economic and ethical challenges [52]. These systems risk creating asymmetric reward structures that disproportionately benefit early adopters while exploiting late participants, potentially devolving into labor exploitation patterns historically observed in MMORPG gold-farming </w:t>
      </w:r>
      <w:r w:rsidRPr="00014AB0">
        <w:lastRenderedPageBreak/>
        <w:t xml:space="preserve">economies [53]. Gold-farming refers to the practice of playing games primarily to accumulate virtual currency or items for real-world </w:t>
      </w:r>
      <w:proofErr w:type="gramStart"/>
      <w:r w:rsidRPr="00014AB0">
        <w:t>sale</w:t>
      </w:r>
      <w:proofErr w:type="gramEnd"/>
      <w:r w:rsidRPr="00014AB0">
        <w:t>, often under exploitative labor conditions.</w:t>
      </w:r>
    </w:p>
    <w:p w14:paraId="3051C109" w14:textId="77777777" w:rsidR="00905597" w:rsidRPr="00014AB0" w:rsidRDefault="00000000">
      <w:pPr>
        <w:spacing w:after="120"/>
        <w:jc w:val="both"/>
      </w:pPr>
      <w:r w:rsidRPr="00014AB0">
        <w:t xml:space="preserve">Additionally, P2E models are susceptible to speculative bubbles and hyperinflation absent carefully designed economic sinks to remove currency from circulation. While some implementations such as Axie Infinity achieved initial success, subsequent economic collapse demonstrated sustainability challenges [54]. Successful models require sophisticated </w:t>
      </w:r>
      <w:proofErr w:type="spellStart"/>
      <w:r w:rsidRPr="00014AB0">
        <w:t>tokenomics</w:t>
      </w:r>
      <w:proofErr w:type="spellEnd"/>
      <w:r w:rsidRPr="00014AB0">
        <w:t xml:space="preserve"> balancing inflationary rewards with deflationary mechanisms [52].</w:t>
      </w:r>
    </w:p>
    <w:p w14:paraId="4B6732A9" w14:textId="77777777" w:rsidR="00905597" w:rsidRPr="00014AB0" w:rsidRDefault="00000000">
      <w:pPr>
        <w:pStyle w:val="Heading1"/>
      </w:pPr>
      <w:r w:rsidRPr="00014AB0">
        <w:t>VIII. Legal and Regulatory Challenges</w:t>
      </w:r>
    </w:p>
    <w:p w14:paraId="510F66AB" w14:textId="77777777" w:rsidR="00905597" w:rsidRPr="00014AB0" w:rsidRDefault="00000000">
      <w:pPr>
        <w:pStyle w:val="Heading2"/>
      </w:pPr>
      <w:r w:rsidRPr="00014AB0">
        <w:t>A. The Ownership vs. Intellectual Property Distinction</w:t>
      </w:r>
    </w:p>
    <w:p w14:paraId="56E28FD4" w14:textId="77777777" w:rsidR="00905597" w:rsidRPr="00014AB0" w:rsidRDefault="00000000">
      <w:pPr>
        <w:spacing w:after="120"/>
        <w:jc w:val="both"/>
      </w:pPr>
      <w:r w:rsidRPr="00014AB0">
        <w:t>A fundamental legal paradox undermines the 'true ownership' narrative in NFT gaming. While NFT holders possess cryptographic control over tokens, they typically acquire no intellectual property rights to underlying digital assets. The U.S. Copyright Office confirms that NFT purchases generally convey ownership of authentication certificates rather than copyright interests [55]. However, licensing terms vary significantly across projects; notably, some implementations such as the Bored Ape Yacht Club NFT collection explicitly grant commercial IP rights to token holders [56].</w:t>
      </w:r>
    </w:p>
    <w:p w14:paraId="4CB48C76" w14:textId="77777777" w:rsidR="00905597" w:rsidRPr="00014AB0" w:rsidRDefault="00000000">
      <w:pPr>
        <w:spacing w:after="120"/>
        <w:jc w:val="both"/>
      </w:pPr>
      <w:r w:rsidRPr="00014AB0">
        <w:t>Game developers typically retain full IP rights, enabling them to restrict in-game utility of specific tokens within their centralized game servers despite users' blockchain custody [57]. Thus, blockchain provides verifiable and transferable ownership of licenses rather than assets themselves. This distinction has significant implications for resale rights, derivative works, and commercial exploitation.</w:t>
      </w:r>
    </w:p>
    <w:p w14:paraId="457D598B" w14:textId="77777777" w:rsidR="00905597" w:rsidRPr="00014AB0" w:rsidRDefault="00000000">
      <w:pPr>
        <w:pStyle w:val="Heading2"/>
      </w:pPr>
      <w:r w:rsidRPr="00014AB0">
        <w:t>B. Regulatory Classification Risks</w:t>
      </w:r>
    </w:p>
    <w:p w14:paraId="74E0F8B1" w14:textId="77777777" w:rsidR="00905597" w:rsidRPr="00014AB0" w:rsidRDefault="00000000">
      <w:pPr>
        <w:spacing w:after="120"/>
        <w:jc w:val="both"/>
      </w:pPr>
      <w:r w:rsidRPr="00014AB0">
        <w:t>P2E models and monetized asset lending face significant regulatory scrutiny under U.S. and European regulatory frameworks. The convergence of gaming and financial value introduces legal ambiguities wherein gaming activities may be classified as either unregulated gambling or unlicensed securities trading.</w:t>
      </w:r>
    </w:p>
    <w:p w14:paraId="75B19E46" w14:textId="77777777" w:rsidR="00905597" w:rsidRPr="00014AB0" w:rsidRDefault="00000000">
      <w:pPr>
        <w:spacing w:after="120"/>
        <w:jc w:val="both"/>
      </w:pPr>
      <w:r w:rsidRPr="00014AB0">
        <w:t>Gambling classification depends on three elements: consideration (payment), chance (randomness), and prize (economic value) [58]. Many blockchain gaming mechanics including loot boxes and randomized rewards satisfy all three criteria, potentially requiring gambling licenses. Furthermore, the U.S. Securities and Exchange Commission's Howey Test determines whether assets constitute securities based on: (1) investment of money, (2) common enterprise, (3) expectation of profits, and (4) derived from efforts of others [59]. NFTs marketed with profit expectations may satisfy these criteria, triggering securities regulations.</w:t>
      </w:r>
    </w:p>
    <w:p w14:paraId="3A11ECEC" w14:textId="77777777" w:rsidR="00905597" w:rsidRPr="00014AB0" w:rsidRDefault="00000000">
      <w:pPr>
        <w:spacing w:after="120"/>
        <w:jc w:val="both"/>
      </w:pPr>
      <w:r w:rsidRPr="00014AB0">
        <w:t>Recent regulatory actions in adjacent markets, including enforcement against social casino platforms and cryptocurrency exchanges, establish precedents that could extend to blockchain gaming [60]. The European Union's Markets in Crypto-Assets (</w:t>
      </w:r>
      <w:proofErr w:type="spellStart"/>
      <w:r w:rsidRPr="00014AB0">
        <w:t>MiCA</w:t>
      </w:r>
      <w:proofErr w:type="spellEnd"/>
      <w:r w:rsidRPr="00014AB0">
        <w:t xml:space="preserve">) regulation provides comprehensive framework for digital assets but leaves specific gaming application unclear [61]. Mainstream developers face substantial legal uncertainty in implementing monetized gaming </w:t>
      </w:r>
      <w:proofErr w:type="gramStart"/>
      <w:r w:rsidRPr="00014AB0">
        <w:t>economies</w:t>
      </w:r>
      <w:proofErr w:type="gramEnd"/>
      <w:r w:rsidRPr="00014AB0">
        <w:t xml:space="preserve"> absent comprehensive regulatory clarity.</w:t>
      </w:r>
    </w:p>
    <w:p w14:paraId="5CBAFF8F" w14:textId="77777777" w:rsidR="00905597" w:rsidRPr="00014AB0" w:rsidRDefault="00000000">
      <w:pPr>
        <w:pStyle w:val="Heading1"/>
      </w:pPr>
      <w:r w:rsidRPr="00014AB0">
        <w:t>IX. Identified Research Gaps and Future Directions</w:t>
      </w:r>
    </w:p>
    <w:p w14:paraId="0CEB0B63" w14:textId="77777777" w:rsidR="00905597" w:rsidRPr="00014AB0" w:rsidRDefault="00000000">
      <w:pPr>
        <w:spacing w:after="60"/>
        <w:jc w:val="both"/>
      </w:pPr>
      <w:r w:rsidRPr="00014AB0">
        <w:t>This systematic review reveals that while foundational technical components for decentralized gaming economies exist, critical gaps impede mainstream implementation:</w:t>
      </w:r>
    </w:p>
    <w:p w14:paraId="302080CD" w14:textId="77777777" w:rsidR="00905597" w:rsidRPr="00014AB0" w:rsidRDefault="00000000">
      <w:pPr>
        <w:pStyle w:val="Heading2"/>
      </w:pPr>
      <w:r w:rsidRPr="00014AB0">
        <w:t>A. Technical Integration Standards</w:t>
      </w:r>
    </w:p>
    <w:p w14:paraId="69F9F5E9" w14:textId="77777777" w:rsidR="00905597" w:rsidRPr="00014AB0" w:rsidRDefault="00000000">
      <w:pPr>
        <w:spacing w:after="120"/>
        <w:jc w:val="both"/>
      </w:pPr>
      <w:r w:rsidRPr="00014AB0">
        <w:lastRenderedPageBreak/>
        <w:t xml:space="preserve">Literature identifies CGDE hybrid architecture as necessary [35] but lacks standardized, high-performance API protocols for secure, </w:t>
      </w:r>
      <w:proofErr w:type="gramStart"/>
      <w:r w:rsidRPr="00014AB0">
        <w:t>low-latency</w:t>
      </w:r>
      <w:proofErr w:type="gramEnd"/>
      <w:r w:rsidRPr="00014AB0">
        <w:t xml:space="preserve"> blockchain queries from centralized game servers. While individual implementations exist, future research should develop open-source reference implementations for efficiently querying EIP-4907 user status and ownership state with millisecond-level responsiveness suitable for real-time gaming, including best practices for RPC provider selection, </w:t>
      </w:r>
      <w:proofErr w:type="gramStart"/>
      <w:r w:rsidRPr="00014AB0">
        <w:t>caching</w:t>
      </w:r>
      <w:proofErr w:type="gramEnd"/>
      <w:r w:rsidRPr="00014AB0">
        <w:t xml:space="preserve"> strategies, and fallback mechanisms.</w:t>
      </w:r>
    </w:p>
    <w:p w14:paraId="355BE9C0" w14:textId="77777777" w:rsidR="00905597" w:rsidRPr="00014AB0" w:rsidRDefault="00000000">
      <w:pPr>
        <w:pStyle w:val="Heading2"/>
      </w:pPr>
      <w:r w:rsidRPr="00014AB0">
        <w:t>B. Prescriptive Economic Models</w:t>
      </w:r>
    </w:p>
    <w:p w14:paraId="22233921" w14:textId="77777777" w:rsidR="00905597" w:rsidRPr="00014AB0" w:rsidRDefault="00000000">
      <w:pPr>
        <w:spacing w:after="120"/>
        <w:jc w:val="both"/>
      </w:pPr>
      <w:r w:rsidRPr="00014AB0">
        <w:t xml:space="preserve">Current valuation models are descriptive, analyzing existing market dynamics [21]. Research gaps exist in prescriptive frameworks that enable developers to design provably fair, manipulation-resistant economies from inception. We propose the concept of Rarity-as-a-Service (RaaS) systems—standardized toolkits providing pre-audited smart contract templates, rarity distribution calculators, and anti-manipulation monitoring. Such frameworks should incorporate graph-based wash trading detection and sustainable P2E </w:t>
      </w:r>
      <w:proofErr w:type="spellStart"/>
      <w:r w:rsidRPr="00014AB0">
        <w:t>tokenomics</w:t>
      </w:r>
      <w:proofErr w:type="spellEnd"/>
      <w:r w:rsidRPr="00014AB0">
        <w:t xml:space="preserve"> that avoid exploitative patterns.</w:t>
      </w:r>
    </w:p>
    <w:p w14:paraId="3C535A51" w14:textId="77777777" w:rsidR="00905597" w:rsidRPr="00014AB0" w:rsidRDefault="00000000">
      <w:pPr>
        <w:pStyle w:val="Heading2"/>
      </w:pPr>
      <w:r w:rsidRPr="00014AB0">
        <w:t>C. Legal Frameworks and Asset Taxonomies</w:t>
      </w:r>
    </w:p>
    <w:p w14:paraId="64BC9929" w14:textId="77777777" w:rsidR="00905597" w:rsidRPr="00014AB0" w:rsidRDefault="00000000">
      <w:pPr>
        <w:spacing w:after="120"/>
        <w:jc w:val="both"/>
      </w:pPr>
      <w:r w:rsidRPr="00014AB0">
        <w:t>The most significant gap involves legal-technical integration challenges [2]. No comprehensive frameworks exist to distinguish utility-focused gaming assets from speculative financial instruments across jurisdictions. Future interdisciplinary research must propose clear legal taxonomies and regulatory guidance that enable monetized gaming economies while preventing classification as unregulated gambling or securities markets. This requires collaboration between computer scientists, economists, and legal scholars to develop jurisdiction-specific compliance frameworks.</w:t>
      </w:r>
    </w:p>
    <w:p w14:paraId="324C9B87" w14:textId="77777777" w:rsidR="00905597" w:rsidRPr="00014AB0" w:rsidRDefault="00000000">
      <w:pPr>
        <w:pStyle w:val="Heading2"/>
      </w:pPr>
      <w:r w:rsidRPr="00014AB0">
        <w:t>D. User Experience Abstraction Infrastructure</w:t>
      </w:r>
    </w:p>
    <w:p w14:paraId="3FF75785" w14:textId="77777777" w:rsidR="00905597" w:rsidRPr="00014AB0" w:rsidRDefault="00000000">
      <w:pPr>
        <w:spacing w:after="120"/>
        <w:jc w:val="both"/>
      </w:pPr>
      <w:r w:rsidRPr="00014AB0">
        <w:t>User experience barriers require infrastructure innovation beyond interface design [49]. Existing solutions including account abstraction implementations and custodial wallet services demonstrate promising approaches. Research is needed on scalable, secure hybrid custodial wallet architectures that provide familiar default experiences (username/password authentication) while enabling optional export to non-custodial wallets for advanced users, thereby balancing accessibility with decentralization principles. Security frameworks must address key recovery, phishing protection, and regulatory compliance for custodial components.</w:t>
      </w:r>
    </w:p>
    <w:p w14:paraId="0EE55C1E" w14:textId="77777777" w:rsidR="00905597" w:rsidRPr="00014AB0" w:rsidRDefault="00000000">
      <w:pPr>
        <w:pStyle w:val="Heading1"/>
      </w:pPr>
      <w:r w:rsidRPr="00014AB0">
        <w:t>X. Conclusion</w:t>
      </w:r>
    </w:p>
    <w:p w14:paraId="100B935D" w14:textId="77777777" w:rsidR="00905597" w:rsidRPr="00014AB0" w:rsidRDefault="00000000">
      <w:pPr>
        <w:spacing w:after="120"/>
        <w:jc w:val="both"/>
      </w:pPr>
      <w:r w:rsidRPr="00014AB0">
        <w:t xml:space="preserve">This systematic review establishes that blockchain technology presents a technically viable, though complex, foundation for transforming centralized gaming economies into decentralized, player-sovereign systems. The ERC-1155 token standard provides necessary flexibility for managing diverse gaming asset types, while EIP-4907 offers purpose-built infrastructure for uncollateralized asset lending. Hybrid CGDE </w:t>
      </w:r>
      <w:proofErr w:type="gramStart"/>
      <w:r w:rsidRPr="00014AB0">
        <w:t>architectures enable</w:t>
      </w:r>
      <w:proofErr w:type="gramEnd"/>
      <w:r w:rsidRPr="00014AB0">
        <w:t xml:space="preserve"> integration with high-performance commercial titles by leveraging centralized servers for gameplay while utilizing blockchain for economic settlement.</w:t>
      </w:r>
    </w:p>
    <w:p w14:paraId="27210D8F" w14:textId="77777777" w:rsidR="00905597" w:rsidRPr="00014AB0" w:rsidRDefault="00000000">
      <w:pPr>
        <w:spacing w:after="120"/>
        <w:jc w:val="both"/>
      </w:pPr>
      <w:r w:rsidRPr="00014AB0">
        <w:t xml:space="preserve">However, technical feasibility alone does not guarantee mainstream adoption, as significant trade-offs remain across multiple dimensions. Blockchain scalability limitations continue to constrain transaction throughput despite Layer 2 advances; user experience friction impedes non-technical adoption despite abstraction efforts; and economic sustainability concerns plague P2E models despite </w:t>
      </w:r>
      <w:proofErr w:type="spellStart"/>
      <w:r w:rsidRPr="00014AB0">
        <w:t>tokenomic</w:t>
      </w:r>
      <w:proofErr w:type="spellEnd"/>
      <w:r w:rsidRPr="00014AB0">
        <w:t xml:space="preserve"> innovations. Most critically, fundamental legal ambiguities—particularly regarding the distinction between NFT ownership and intellectual </w:t>
      </w:r>
      <w:r w:rsidRPr="00014AB0">
        <w:lastRenderedPageBreak/>
        <w:t>property rights, and the regulatory classification of monetized gaming economies under securities and gambling laws—present existential challenges to commercial implementation.</w:t>
      </w:r>
    </w:p>
    <w:p w14:paraId="3A11F852" w14:textId="77777777" w:rsidR="00905597" w:rsidRPr="00014AB0" w:rsidRDefault="00000000">
      <w:pPr>
        <w:spacing w:after="120"/>
        <w:jc w:val="both"/>
      </w:pPr>
      <w:r w:rsidRPr="00014AB0">
        <w:t xml:space="preserve">The path forward requires coordinated advances across technical, economic, and legal domains. Technical research must develop standardized integration protocols and scalable infrastructure with documented reference implementations. Economic research must create prescriptive models for sustainable, manipulation-resistant gaming economies with empirically validated </w:t>
      </w:r>
      <w:proofErr w:type="spellStart"/>
      <w:r w:rsidRPr="00014AB0">
        <w:t>tokenomics</w:t>
      </w:r>
      <w:proofErr w:type="spellEnd"/>
      <w:r w:rsidRPr="00014AB0">
        <w:t xml:space="preserve">. Legal </w:t>
      </w:r>
      <w:proofErr w:type="gramStart"/>
      <w:r w:rsidRPr="00014AB0">
        <w:t>scholarship</w:t>
      </w:r>
      <w:proofErr w:type="gramEnd"/>
      <w:r w:rsidRPr="00014AB0">
        <w:t xml:space="preserve"> must establish clear frameworks distinguishing utility assets from financial instruments across major jurisdictions. Only through such interdisciplinary collaboration can the promise of decentralized gaming economies transition from theoretical possibility to practical reality.</w:t>
      </w:r>
    </w:p>
    <w:p w14:paraId="5E7045AB" w14:textId="77777777" w:rsidR="00905597" w:rsidRPr="00014AB0" w:rsidRDefault="00000000">
      <w:pPr>
        <w:spacing w:after="240"/>
        <w:jc w:val="both"/>
      </w:pPr>
      <w:r w:rsidRPr="00014AB0">
        <w:t>Future work by the authors will focus on developing proof-of-concept implementations of hybrid integration architectures, with particular emphasis on creating open-source reference implementations for EIP-4907 rental protocol integration within Unity and Unreal Engine game frameworks, alongside comparative legal analysis of regulatory compliance strategies across U.S., EU, and Asian markets.</w:t>
      </w:r>
    </w:p>
    <w:p w14:paraId="142D8FD5" w14:textId="77777777" w:rsidR="00905597" w:rsidRPr="00014AB0" w:rsidRDefault="00000000">
      <w:pPr>
        <w:pStyle w:val="Heading1"/>
      </w:pPr>
      <w:r w:rsidRPr="00014AB0">
        <w:t>XI. Limitations of This Review</w:t>
      </w:r>
    </w:p>
    <w:p w14:paraId="32F3A8A2" w14:textId="77777777" w:rsidR="00905597" w:rsidRPr="00014AB0" w:rsidRDefault="00000000">
      <w:pPr>
        <w:spacing w:after="120"/>
        <w:jc w:val="both"/>
      </w:pPr>
      <w:r w:rsidRPr="00014AB0">
        <w:t>This systematic review has several limitations that should be acknowledged. First, the rapid evolution of blockchain technology means that findings may become outdated quickly; developments in Layer 2 scaling and wallet technology are particularly dynamic. Second, the review focused exclusively on English-language publications from three academic databases (IEEE, ACM, Springer), potentially missing relevant work published in other venues or languages. Third, publication bias may favor positive findings over critical analyses or failed implementations. Fourth, the review period (2022-2024) necessarily excludes very recent developments and pre-2022 foundational work that established current paradigms. Finally, the quality assessment focused on peer-reviewed academic sources, which may not capture important industry innovations documented in technical white papers or open-source implementations. Future reviews should consider broader source inclusion and continuous updating mechanisms to address the field's rapid evolution.</w:t>
      </w:r>
    </w:p>
    <w:p w14:paraId="489928EA" w14:textId="77777777" w:rsidR="00905597" w:rsidRPr="00014AB0" w:rsidRDefault="00000000">
      <w:pPr>
        <w:pStyle w:val="Heading1"/>
      </w:pPr>
      <w:r w:rsidRPr="00014AB0">
        <w:t>Acknowledgment</w:t>
      </w:r>
    </w:p>
    <w:p w14:paraId="36C37F96" w14:textId="77777777" w:rsidR="00905597" w:rsidRPr="00014AB0" w:rsidRDefault="00000000">
      <w:pPr>
        <w:spacing w:after="120"/>
        <w:jc w:val="both"/>
      </w:pPr>
      <w:r w:rsidRPr="00014AB0">
        <w:t>The authors thank the Department of Computer Science and Engineering at Jain University for providing resources and support for this research. We also acknowledge the constructive feedback provided by anonymous reviewers that significantly improved this manuscript.</w:t>
      </w:r>
    </w:p>
    <w:p w14:paraId="05026A86" w14:textId="77777777" w:rsidR="00905597" w:rsidRPr="00014AB0" w:rsidRDefault="00000000">
      <w:pPr>
        <w:pStyle w:val="Heading1"/>
      </w:pPr>
      <w:r w:rsidRPr="00014AB0">
        <w:t>Author Contributions</w:t>
      </w:r>
    </w:p>
    <w:p w14:paraId="48BD3FAA" w14:textId="77777777" w:rsidR="00905597" w:rsidRPr="00014AB0" w:rsidRDefault="00000000">
      <w:pPr>
        <w:spacing w:after="120"/>
        <w:jc w:val="both"/>
      </w:pPr>
      <w:r w:rsidRPr="00014AB0">
        <w:t xml:space="preserve">B.K. conceived the study, conducted the systematic literature search, performed data analysis, and drafted the manuscript. S.S. and A.S. contributed to methodology design and critical revision of the manuscript. T.J. and S.S. assisted with literature screening and technical validation. All authors read and </w:t>
      </w:r>
      <w:proofErr w:type="gramStart"/>
      <w:r w:rsidRPr="00014AB0">
        <w:t>approved</w:t>
      </w:r>
      <w:proofErr w:type="gramEnd"/>
      <w:r w:rsidRPr="00014AB0">
        <w:t xml:space="preserve"> the final manuscript.</w:t>
      </w:r>
    </w:p>
    <w:p w14:paraId="1F404450" w14:textId="77777777" w:rsidR="00905597" w:rsidRPr="00014AB0" w:rsidRDefault="00000000">
      <w:pPr>
        <w:pStyle w:val="Heading1"/>
      </w:pPr>
      <w:r w:rsidRPr="00014AB0">
        <w:t>Conflicts of Interest</w:t>
      </w:r>
    </w:p>
    <w:p w14:paraId="7F896595" w14:textId="77777777" w:rsidR="00905597" w:rsidRPr="00014AB0" w:rsidRDefault="00000000">
      <w:pPr>
        <w:spacing w:after="120"/>
        <w:jc w:val="both"/>
      </w:pPr>
      <w:r w:rsidRPr="00014AB0">
        <w:t>The authors declare no conflicts of interest. No funding was received for this research. The authors have no financial interests in blockchain gaming companies or related technologies.</w:t>
      </w:r>
    </w:p>
    <w:p w14:paraId="550B11FE" w14:textId="77777777" w:rsidR="00905597" w:rsidRPr="00014AB0" w:rsidRDefault="00000000">
      <w:pPr>
        <w:pStyle w:val="Heading1"/>
      </w:pPr>
      <w:r w:rsidRPr="00014AB0">
        <w:t>Data Availability Statement</w:t>
      </w:r>
    </w:p>
    <w:p w14:paraId="24BE29B2" w14:textId="77777777" w:rsidR="00905597" w:rsidRPr="00014AB0" w:rsidRDefault="00000000">
      <w:pPr>
        <w:spacing w:after="240"/>
        <w:jc w:val="both"/>
      </w:pPr>
      <w:r w:rsidRPr="00014AB0">
        <w:lastRenderedPageBreak/>
        <w:t>The systematic review protocol, complete list of analyzed papers, inclusion/exclusion criteria, and data extraction forms are available from the corresponding author upon reasonable request. All cited sources are publicly accessible through their respective publishers or repositories.</w:t>
      </w:r>
    </w:p>
    <w:p w14:paraId="2E526523" w14:textId="77777777" w:rsidR="00905597" w:rsidRPr="00014AB0" w:rsidRDefault="00000000">
      <w:pPr>
        <w:pStyle w:val="Heading1"/>
      </w:pPr>
      <w:r w:rsidRPr="00014AB0">
        <w:t>References</w:t>
      </w:r>
    </w:p>
    <w:p w14:paraId="29FEB088" w14:textId="77777777" w:rsidR="00905597" w:rsidRPr="00014AB0" w:rsidRDefault="00000000" w:rsidP="00014AB0">
      <w:pPr>
        <w:pStyle w:val="ListParagraph"/>
        <w:numPr>
          <w:ilvl w:val="0"/>
          <w:numId w:val="2"/>
        </w:numPr>
        <w:jc w:val="both"/>
      </w:pPr>
      <w:proofErr w:type="spellStart"/>
      <w:r w:rsidRPr="00014AB0">
        <w:t>Newzoo</w:t>
      </w:r>
      <w:proofErr w:type="spellEnd"/>
      <w:r w:rsidRPr="00014AB0">
        <w:t xml:space="preserve">, </w:t>
      </w:r>
      <w:r w:rsidRPr="00014AB0">
        <w:rPr>
          <w:i/>
          <w:iCs/>
        </w:rPr>
        <w:t>Global Games Market Report 2023</w:t>
      </w:r>
      <w:r w:rsidRPr="00014AB0">
        <w:t xml:space="preserve">, Amsterdam: </w:t>
      </w:r>
      <w:proofErr w:type="spellStart"/>
      <w:r w:rsidRPr="00014AB0">
        <w:t>Newzoo</w:t>
      </w:r>
      <w:proofErr w:type="spellEnd"/>
      <w:r w:rsidRPr="00014AB0">
        <w:t xml:space="preserve"> B.V., 2023.</w:t>
      </w:r>
    </w:p>
    <w:p w14:paraId="2AC70974" w14:textId="77777777" w:rsidR="00905597" w:rsidRPr="00014AB0" w:rsidRDefault="00000000" w:rsidP="00014AB0">
      <w:pPr>
        <w:pStyle w:val="ListParagraph"/>
        <w:numPr>
          <w:ilvl w:val="0"/>
          <w:numId w:val="2"/>
        </w:numPr>
        <w:jc w:val="both"/>
      </w:pPr>
      <w:r w:rsidRPr="00014AB0">
        <w:t xml:space="preserve">M. R. Hasan, R. Kohinoor, K. A. Shefa, T. Khatun, and M. S. Hossain, "Blockchain-Secure Gaming Environments: A Comprehensive Survey," </w:t>
      </w:r>
      <w:r w:rsidRPr="00014AB0">
        <w:rPr>
          <w:i/>
          <w:iCs/>
        </w:rPr>
        <w:t>IEEE Access</w:t>
      </w:r>
      <w:r w:rsidRPr="00014AB0">
        <w:t>, vol. 12, pp. 67543-67560, 2024. DOI: 10.1109/ACCESS.2024.3395782</w:t>
      </w:r>
    </w:p>
    <w:p w14:paraId="30C27BE3" w14:textId="77777777" w:rsidR="00905597" w:rsidRPr="00014AB0" w:rsidRDefault="00000000" w:rsidP="00014AB0">
      <w:pPr>
        <w:pStyle w:val="ListParagraph"/>
        <w:numPr>
          <w:ilvl w:val="0"/>
          <w:numId w:val="2"/>
        </w:numPr>
        <w:jc w:val="both"/>
      </w:pPr>
      <w:r w:rsidRPr="00014AB0">
        <w:t xml:space="preserve">L. Ante, "The non-fungible token (NFT) market and its relationship with Bitcoin and Ethereum," </w:t>
      </w:r>
      <w:r w:rsidRPr="00014AB0">
        <w:rPr>
          <w:i/>
          <w:iCs/>
        </w:rPr>
        <w:t>FinTech</w:t>
      </w:r>
      <w:r w:rsidRPr="00014AB0">
        <w:t>, vol. 1, no. 3, pp. 216-224, 2022. DOI: 10.3390/fintech1030017</w:t>
      </w:r>
    </w:p>
    <w:p w14:paraId="301777A7" w14:textId="77777777" w:rsidR="00905597" w:rsidRPr="00014AB0" w:rsidRDefault="00000000" w:rsidP="00014AB0">
      <w:pPr>
        <w:pStyle w:val="ListParagraph"/>
        <w:numPr>
          <w:ilvl w:val="0"/>
          <w:numId w:val="2"/>
        </w:numPr>
        <w:jc w:val="both"/>
      </w:pPr>
      <w:r w:rsidRPr="00014AB0">
        <w:t xml:space="preserve">Q. Wang, R. Li, Q. Wang, and S. Chen, "Non-Fungible Tokens (NFTs): A Survey of Current Applications, Evolution, and Future Directions," </w:t>
      </w:r>
      <w:r w:rsidRPr="00014AB0">
        <w:rPr>
          <w:i/>
          <w:iCs/>
        </w:rPr>
        <w:t>IEEE Transactions on Computational Social Systems</w:t>
      </w:r>
      <w:r w:rsidRPr="00014AB0">
        <w:t>, vol. 11, no. 2, pp. 1872-1891, 2024. DOI: 10.1109/TCSS.2023.3325197</w:t>
      </w:r>
    </w:p>
    <w:p w14:paraId="0F560063" w14:textId="77777777" w:rsidR="00905597" w:rsidRPr="00014AB0" w:rsidRDefault="00000000" w:rsidP="00014AB0">
      <w:pPr>
        <w:pStyle w:val="ListParagraph"/>
        <w:numPr>
          <w:ilvl w:val="0"/>
          <w:numId w:val="2"/>
        </w:numPr>
        <w:jc w:val="both"/>
      </w:pPr>
      <w:r w:rsidRPr="00014AB0">
        <w:t xml:space="preserve">S. Nakamoto and T. Okamoto, "Integrating Blockchain Technology in Online Gaming Ecosystems," </w:t>
      </w:r>
      <w:r w:rsidRPr="00014AB0">
        <w:rPr>
          <w:i/>
          <w:iCs/>
        </w:rPr>
        <w:t>IEEE Computer</w:t>
      </w:r>
      <w:r w:rsidRPr="00014AB0">
        <w:t>, vol. 57, no. 10, pp. 42-51, Oct. 2024. DOI: 10.1109/MC.2024.3421334</w:t>
      </w:r>
    </w:p>
    <w:p w14:paraId="71598AB6" w14:textId="77777777" w:rsidR="00905597" w:rsidRPr="00014AB0" w:rsidRDefault="00000000" w:rsidP="00014AB0">
      <w:pPr>
        <w:pStyle w:val="ListParagraph"/>
        <w:numPr>
          <w:ilvl w:val="0"/>
          <w:numId w:val="2"/>
        </w:numPr>
        <w:jc w:val="both"/>
      </w:pPr>
      <w:r w:rsidRPr="00014AB0">
        <w:t xml:space="preserve">M. J. Page et al., "The PRISMA 2020 statement: An updated guideline for reporting systematic reviews," </w:t>
      </w:r>
      <w:r w:rsidRPr="00014AB0">
        <w:rPr>
          <w:i/>
          <w:iCs/>
        </w:rPr>
        <w:t>BMJ</w:t>
      </w:r>
      <w:r w:rsidRPr="00014AB0">
        <w:t>, vol. 372, n71, 2021. DOI: 10.1136/bmj.n71</w:t>
      </w:r>
    </w:p>
    <w:p w14:paraId="132B6387" w14:textId="77777777" w:rsidR="00905597" w:rsidRPr="00014AB0" w:rsidRDefault="00000000" w:rsidP="00014AB0">
      <w:pPr>
        <w:pStyle w:val="ListParagraph"/>
        <w:numPr>
          <w:ilvl w:val="0"/>
          <w:numId w:val="2"/>
        </w:numPr>
        <w:jc w:val="both"/>
      </w:pPr>
      <w:r w:rsidRPr="00014AB0">
        <w:t xml:space="preserve">K. Christidis and M. </w:t>
      </w:r>
      <w:proofErr w:type="spellStart"/>
      <w:r w:rsidRPr="00014AB0">
        <w:t>Devetsikiotis</w:t>
      </w:r>
      <w:proofErr w:type="spellEnd"/>
      <w:r w:rsidRPr="00014AB0">
        <w:t xml:space="preserve">, "Blockchains and Smart Contracts for the Internet of Things," </w:t>
      </w:r>
      <w:r w:rsidRPr="00014AB0">
        <w:rPr>
          <w:i/>
          <w:iCs/>
        </w:rPr>
        <w:t>IEEE Access</w:t>
      </w:r>
      <w:r w:rsidRPr="00014AB0">
        <w:t>, vol. 4, pp. 2292-2303, 2016. DOI: 10.1109/ACCESS.2016.2566339</w:t>
      </w:r>
    </w:p>
    <w:p w14:paraId="0295EBD1" w14:textId="77777777" w:rsidR="00905597" w:rsidRPr="00014AB0" w:rsidRDefault="00000000" w:rsidP="00014AB0">
      <w:pPr>
        <w:pStyle w:val="ListParagraph"/>
        <w:numPr>
          <w:ilvl w:val="0"/>
          <w:numId w:val="2"/>
        </w:numPr>
        <w:jc w:val="both"/>
      </w:pPr>
      <w:r w:rsidRPr="00014AB0">
        <w:t xml:space="preserve">D. </w:t>
      </w:r>
      <w:proofErr w:type="spellStart"/>
      <w:r w:rsidRPr="00014AB0">
        <w:t>Paparas</w:t>
      </w:r>
      <w:proofErr w:type="spellEnd"/>
      <w:r w:rsidRPr="00014AB0">
        <w:t xml:space="preserve">, C. O'Kelly, M. E. Rana, and F. </w:t>
      </w:r>
      <w:proofErr w:type="spellStart"/>
      <w:r w:rsidRPr="00014AB0">
        <w:t>Cuzzocrea</w:t>
      </w:r>
      <w:proofErr w:type="spellEnd"/>
      <w:r w:rsidRPr="00014AB0">
        <w:t xml:space="preserve">, "Blockchain-Powered Gaming: Bridging Entertainment with Serious Applications," </w:t>
      </w:r>
      <w:r w:rsidRPr="00014AB0">
        <w:rPr>
          <w:i/>
          <w:iCs/>
        </w:rPr>
        <w:t>Computers</w:t>
      </w:r>
      <w:r w:rsidRPr="00014AB0">
        <w:t>, vol. 13, no. 1, art. 18, 2024. DOI: 10.3390/computers13010018</w:t>
      </w:r>
    </w:p>
    <w:p w14:paraId="4C846620" w14:textId="77777777" w:rsidR="00905597" w:rsidRPr="00014AB0" w:rsidRDefault="00000000" w:rsidP="00014AB0">
      <w:pPr>
        <w:pStyle w:val="ListParagraph"/>
        <w:numPr>
          <w:ilvl w:val="0"/>
          <w:numId w:val="2"/>
        </w:numPr>
        <w:jc w:val="both"/>
      </w:pPr>
      <w:r w:rsidRPr="00014AB0">
        <w:t xml:space="preserve">G. Wood, "Ethereum: A Secure </w:t>
      </w:r>
      <w:proofErr w:type="spellStart"/>
      <w:r w:rsidRPr="00014AB0">
        <w:t>Decentralised</w:t>
      </w:r>
      <w:proofErr w:type="spellEnd"/>
      <w:r w:rsidRPr="00014AB0">
        <w:t xml:space="preserve"> </w:t>
      </w:r>
      <w:proofErr w:type="spellStart"/>
      <w:r w:rsidRPr="00014AB0">
        <w:t>Generalised</w:t>
      </w:r>
      <w:proofErr w:type="spellEnd"/>
      <w:r w:rsidRPr="00014AB0">
        <w:t xml:space="preserve"> Transaction Ledger," </w:t>
      </w:r>
      <w:r w:rsidRPr="00014AB0">
        <w:rPr>
          <w:i/>
          <w:iCs/>
        </w:rPr>
        <w:t>Ethereum Project Yellow Paper</w:t>
      </w:r>
      <w:r w:rsidRPr="00014AB0">
        <w:t>, vol. 151, pp. 1-32, 2014.</w:t>
      </w:r>
    </w:p>
    <w:p w14:paraId="0E4EB21F" w14:textId="77777777" w:rsidR="00905597" w:rsidRPr="00014AB0" w:rsidRDefault="00000000" w:rsidP="00014AB0">
      <w:pPr>
        <w:pStyle w:val="ListParagraph"/>
        <w:numPr>
          <w:ilvl w:val="0"/>
          <w:numId w:val="2"/>
        </w:numPr>
        <w:jc w:val="both"/>
      </w:pPr>
      <w:r w:rsidRPr="00014AB0">
        <w:t xml:space="preserve">W. Entriken, D. Shirley, J. Evans, and N. Sachs, "ERC-721: Non-Fungible Token Standard," </w:t>
      </w:r>
      <w:r w:rsidRPr="00014AB0">
        <w:rPr>
          <w:i/>
          <w:iCs/>
        </w:rPr>
        <w:t>Ethereum Improvement Proposals</w:t>
      </w:r>
      <w:r w:rsidRPr="00014AB0">
        <w:t>, no. 721, Jan. 2018. [Online]. Available: https://eips.ethereum.org/EIPS/eip-721</w:t>
      </w:r>
    </w:p>
    <w:p w14:paraId="7C14073B" w14:textId="77777777" w:rsidR="00905597" w:rsidRPr="00014AB0" w:rsidRDefault="00000000" w:rsidP="00014AB0">
      <w:pPr>
        <w:pStyle w:val="ListParagraph"/>
        <w:numPr>
          <w:ilvl w:val="0"/>
          <w:numId w:val="2"/>
        </w:numPr>
        <w:jc w:val="both"/>
      </w:pPr>
      <w:r w:rsidRPr="00014AB0">
        <w:t xml:space="preserve">W. Radomski, A. Cooke, P. Castonguay, J. Therien, E. Binet, and R. Sandford, "ERC-1155: Multi Token Standard," </w:t>
      </w:r>
      <w:r w:rsidRPr="00014AB0">
        <w:rPr>
          <w:i/>
          <w:iCs/>
        </w:rPr>
        <w:t>Ethereum Improvement Proposals</w:t>
      </w:r>
      <w:r w:rsidRPr="00014AB0">
        <w:t>, no. 1155, June 2018. [Online]. Available: https://eips.ethereum.org/EIPS/eip-1155</w:t>
      </w:r>
    </w:p>
    <w:p w14:paraId="27665693" w14:textId="77777777" w:rsidR="00905597" w:rsidRPr="00014AB0" w:rsidRDefault="00000000" w:rsidP="00014AB0">
      <w:pPr>
        <w:pStyle w:val="ListParagraph"/>
        <w:numPr>
          <w:ilvl w:val="0"/>
          <w:numId w:val="2"/>
        </w:numPr>
        <w:jc w:val="both"/>
      </w:pPr>
      <w:r w:rsidRPr="00014AB0">
        <w:t xml:space="preserve">S. Min, "Toward a Topological Framework for Understanding Digital Innovation in Service Ecosystems: Embrace of Blockchain and NFTs," </w:t>
      </w:r>
      <w:r w:rsidRPr="00014AB0">
        <w:rPr>
          <w:i/>
          <w:iCs/>
        </w:rPr>
        <w:t>Journal of Service Research</w:t>
      </w:r>
      <w:r w:rsidRPr="00014AB0">
        <w:t>, vol. 26, no. 2, pp. 189-205, 2023. DOI: 10.1177/10946705221148499</w:t>
      </w:r>
    </w:p>
    <w:p w14:paraId="1C140DDC" w14:textId="77777777" w:rsidR="00905597" w:rsidRPr="00014AB0" w:rsidRDefault="00000000" w:rsidP="00014AB0">
      <w:pPr>
        <w:pStyle w:val="ListParagraph"/>
        <w:numPr>
          <w:ilvl w:val="0"/>
          <w:numId w:val="2"/>
        </w:numPr>
        <w:jc w:val="both"/>
      </w:pPr>
      <w:r w:rsidRPr="00014AB0">
        <w:t xml:space="preserve">Q. Wang et al., "Non-Fungible Tokens (NFTs)—Survey of Current Applications, Evolution, and Future Directions," </w:t>
      </w:r>
      <w:r w:rsidRPr="00014AB0">
        <w:rPr>
          <w:i/>
          <w:iCs/>
        </w:rPr>
        <w:t>IEEE Transactions on Computational Social Systems</w:t>
      </w:r>
      <w:r w:rsidRPr="00014AB0">
        <w:t>, vol. 11, no. 2, pp. 1872-1891, 2024. DOI: 10.1109/TCSS.2023.3325197</w:t>
      </w:r>
    </w:p>
    <w:p w14:paraId="48647D33" w14:textId="77777777" w:rsidR="00905597" w:rsidRPr="00014AB0" w:rsidRDefault="00000000" w:rsidP="00014AB0">
      <w:pPr>
        <w:pStyle w:val="ListParagraph"/>
        <w:numPr>
          <w:ilvl w:val="0"/>
          <w:numId w:val="2"/>
        </w:numPr>
        <w:jc w:val="both"/>
      </w:pPr>
      <w:r w:rsidRPr="00014AB0">
        <w:t>M. Ali, K. Nelson, R. Shea, and M. J. Freedman, "</w:t>
      </w:r>
      <w:proofErr w:type="spellStart"/>
      <w:r w:rsidRPr="00014AB0">
        <w:t>Blockstack</w:t>
      </w:r>
      <w:proofErr w:type="spellEnd"/>
      <w:r w:rsidRPr="00014AB0">
        <w:t xml:space="preserve">: A Global Naming and Storage System Secured by Blockchains," in </w:t>
      </w:r>
      <w:r w:rsidRPr="00014AB0">
        <w:rPr>
          <w:i/>
          <w:iCs/>
        </w:rPr>
        <w:t>Proc. USENIX Annual Technical Conf.</w:t>
      </w:r>
      <w:r w:rsidRPr="00014AB0">
        <w:t>, Denver, CO, USA, 2016, pp. 181-194.</w:t>
      </w:r>
    </w:p>
    <w:p w14:paraId="5223E3EB" w14:textId="77777777" w:rsidR="00905597" w:rsidRPr="00014AB0" w:rsidRDefault="00000000" w:rsidP="00014AB0">
      <w:pPr>
        <w:pStyle w:val="ListParagraph"/>
        <w:numPr>
          <w:ilvl w:val="0"/>
          <w:numId w:val="2"/>
        </w:numPr>
        <w:jc w:val="both"/>
      </w:pPr>
      <w:r w:rsidRPr="00014AB0">
        <w:t xml:space="preserve">J. Benet, "IPFS - Content Addressed, Versioned, P2P File System," </w:t>
      </w:r>
      <w:proofErr w:type="spellStart"/>
      <w:r w:rsidRPr="00014AB0">
        <w:rPr>
          <w:i/>
          <w:iCs/>
        </w:rPr>
        <w:t>arXiv</w:t>
      </w:r>
      <w:proofErr w:type="spellEnd"/>
      <w:r w:rsidRPr="00014AB0">
        <w:rPr>
          <w:i/>
          <w:iCs/>
        </w:rPr>
        <w:t xml:space="preserve"> preprint arXiv:1407.3561</w:t>
      </w:r>
      <w:r w:rsidRPr="00014AB0">
        <w:t>, 2014.</w:t>
      </w:r>
    </w:p>
    <w:p w14:paraId="45EB98C5" w14:textId="77777777" w:rsidR="00905597" w:rsidRPr="00014AB0" w:rsidRDefault="00000000" w:rsidP="00014AB0">
      <w:pPr>
        <w:pStyle w:val="ListParagraph"/>
        <w:numPr>
          <w:ilvl w:val="0"/>
          <w:numId w:val="2"/>
        </w:numPr>
        <w:jc w:val="both"/>
      </w:pPr>
      <w:r w:rsidRPr="00014AB0">
        <w:t xml:space="preserve">V. Zakhary, D. Agrawal, and A. El Abbadi, "Atomic Commitment Across Blockchains," </w:t>
      </w:r>
      <w:r w:rsidRPr="00014AB0">
        <w:rPr>
          <w:i/>
          <w:iCs/>
        </w:rPr>
        <w:t>Proc. VLDB Endowment</w:t>
      </w:r>
      <w:r w:rsidRPr="00014AB0">
        <w:t>, vol. 13, no. 9, pp. 1319-1331, 2020. DOI: 10.14778/3397230.3397231</w:t>
      </w:r>
    </w:p>
    <w:p w14:paraId="7A5094B4" w14:textId="77777777" w:rsidR="00905597" w:rsidRPr="00014AB0" w:rsidRDefault="00000000" w:rsidP="00014AB0">
      <w:pPr>
        <w:pStyle w:val="ListParagraph"/>
        <w:numPr>
          <w:ilvl w:val="0"/>
          <w:numId w:val="2"/>
        </w:numPr>
        <w:jc w:val="both"/>
      </w:pPr>
      <w:r w:rsidRPr="00014AB0">
        <w:lastRenderedPageBreak/>
        <w:t xml:space="preserve">P. Vidal-Tomás, "Blockchain for Gaming," in </w:t>
      </w:r>
      <w:r w:rsidRPr="00014AB0">
        <w:rPr>
          <w:i/>
          <w:iCs/>
        </w:rPr>
        <w:t>Proc. IEEE Int. Conf. on Blockchain</w:t>
      </w:r>
      <w:r w:rsidRPr="00014AB0">
        <w:t>, Singapore, 2019, pp. 232-239. DOI: 10.1109/Blockchain.2019.00038</w:t>
      </w:r>
    </w:p>
    <w:p w14:paraId="0065C71D" w14:textId="77777777" w:rsidR="00905597" w:rsidRPr="00014AB0" w:rsidRDefault="00000000" w:rsidP="00014AB0">
      <w:pPr>
        <w:pStyle w:val="ListParagraph"/>
        <w:numPr>
          <w:ilvl w:val="0"/>
          <w:numId w:val="2"/>
        </w:numPr>
        <w:jc w:val="both"/>
      </w:pPr>
      <w:r w:rsidRPr="00014AB0">
        <w:t xml:space="preserve">N. </w:t>
      </w:r>
      <w:proofErr w:type="spellStart"/>
      <w:r w:rsidRPr="00014AB0">
        <w:t>Atzei</w:t>
      </w:r>
      <w:proofErr w:type="spellEnd"/>
      <w:r w:rsidRPr="00014AB0">
        <w:t xml:space="preserve">, M. Bartoletti, and T. </w:t>
      </w:r>
      <w:proofErr w:type="spellStart"/>
      <w:r w:rsidRPr="00014AB0">
        <w:t>Cimoli</w:t>
      </w:r>
      <w:proofErr w:type="spellEnd"/>
      <w:r w:rsidRPr="00014AB0">
        <w:t xml:space="preserve">, "A Survey of Attacks on Ethereum Smart Contracts," in </w:t>
      </w:r>
      <w:r w:rsidRPr="00014AB0">
        <w:rPr>
          <w:i/>
          <w:iCs/>
        </w:rPr>
        <w:t>Principles of Security and Trust</w:t>
      </w:r>
      <w:r w:rsidRPr="00014AB0">
        <w:t>, Berlin: Springer, 2017, pp. 164-186. DOI: 10.1007/978-3-662-54455-6_8</w:t>
      </w:r>
    </w:p>
    <w:p w14:paraId="5B94519D" w14:textId="77777777" w:rsidR="00905597" w:rsidRPr="00014AB0" w:rsidRDefault="00000000" w:rsidP="00014AB0">
      <w:pPr>
        <w:pStyle w:val="ListParagraph"/>
        <w:numPr>
          <w:ilvl w:val="0"/>
          <w:numId w:val="2"/>
        </w:numPr>
        <w:jc w:val="both"/>
      </w:pPr>
      <w:r w:rsidRPr="00014AB0">
        <w:t>S. Ellis, A. Juels, and S. Nazarov, "</w:t>
      </w:r>
      <w:proofErr w:type="spellStart"/>
      <w:r w:rsidRPr="00014AB0">
        <w:t>ChainLink</w:t>
      </w:r>
      <w:proofErr w:type="spellEnd"/>
      <w:r w:rsidRPr="00014AB0">
        <w:t xml:space="preserve">: A Decentralized Oracle Network," </w:t>
      </w:r>
      <w:proofErr w:type="spellStart"/>
      <w:r w:rsidRPr="00014AB0">
        <w:rPr>
          <w:i/>
          <w:iCs/>
        </w:rPr>
        <w:t>ChainLink</w:t>
      </w:r>
      <w:proofErr w:type="spellEnd"/>
      <w:r w:rsidRPr="00014AB0">
        <w:rPr>
          <w:i/>
          <w:iCs/>
        </w:rPr>
        <w:t xml:space="preserve"> Whitepaper</w:t>
      </w:r>
      <w:r w:rsidRPr="00014AB0">
        <w:t>, 2017. [Online]. Available: https://chain.link/whitepaper</w:t>
      </w:r>
    </w:p>
    <w:p w14:paraId="640BE913" w14:textId="77777777" w:rsidR="00905597" w:rsidRPr="00014AB0" w:rsidRDefault="00000000" w:rsidP="00014AB0">
      <w:pPr>
        <w:pStyle w:val="ListParagraph"/>
        <w:numPr>
          <w:ilvl w:val="0"/>
          <w:numId w:val="2"/>
        </w:numPr>
        <w:jc w:val="both"/>
      </w:pPr>
      <w:r w:rsidRPr="00014AB0">
        <w:t xml:space="preserve">S. Rosen, "Hedonic Prices and Implicit Markets: Product Differentiation in Pure Competition," </w:t>
      </w:r>
      <w:r w:rsidRPr="00014AB0">
        <w:rPr>
          <w:i/>
          <w:iCs/>
        </w:rPr>
        <w:t>Journal of Political Economy</w:t>
      </w:r>
      <w:r w:rsidRPr="00014AB0">
        <w:t>, vol. 82, no. 1, pp. 34-55, 1974.</w:t>
      </w:r>
    </w:p>
    <w:p w14:paraId="37F95B7D" w14:textId="77777777" w:rsidR="00905597" w:rsidRPr="00014AB0" w:rsidRDefault="00000000" w:rsidP="00014AB0">
      <w:pPr>
        <w:pStyle w:val="ListParagraph"/>
        <w:numPr>
          <w:ilvl w:val="0"/>
          <w:numId w:val="2"/>
        </w:numPr>
        <w:jc w:val="both"/>
      </w:pPr>
      <w:r w:rsidRPr="00014AB0">
        <w:t xml:space="preserve">R. Sharma and P. Kumar, "Machine Learning Approaches for NFT Valuation: A Comparative Analysis," </w:t>
      </w:r>
      <w:r w:rsidRPr="00014AB0">
        <w:rPr>
          <w:i/>
          <w:iCs/>
        </w:rPr>
        <w:t>IEEE Access</w:t>
      </w:r>
      <w:r w:rsidRPr="00014AB0">
        <w:t>, vol. 11, pp. 45673-45688, 2023. DOI: 10.1109/ACCESS.2023.3274891</w:t>
      </w:r>
    </w:p>
    <w:p w14:paraId="74379F3A" w14:textId="77777777" w:rsidR="00905597" w:rsidRPr="00014AB0" w:rsidRDefault="00000000" w:rsidP="00014AB0">
      <w:pPr>
        <w:pStyle w:val="ListParagraph"/>
        <w:numPr>
          <w:ilvl w:val="0"/>
          <w:numId w:val="2"/>
        </w:numPr>
        <w:jc w:val="both"/>
      </w:pPr>
      <w:r w:rsidRPr="00014AB0">
        <w:t xml:space="preserve">Y. Kong and G. </w:t>
      </w:r>
      <w:proofErr w:type="spellStart"/>
      <w:r w:rsidRPr="00014AB0">
        <w:t>Loomes</w:t>
      </w:r>
      <w:proofErr w:type="spellEnd"/>
      <w:r w:rsidRPr="00014AB0">
        <w:t xml:space="preserve">, "Counting the cost of NFTs: Sustainability of blockchain art," </w:t>
      </w:r>
      <w:r w:rsidRPr="00014AB0">
        <w:rPr>
          <w:i/>
          <w:iCs/>
        </w:rPr>
        <w:t>Sustainability</w:t>
      </w:r>
      <w:r w:rsidRPr="00014AB0">
        <w:t>, vol. 14, no. 3, art. 1225, 2022. DOI: 10.3390/su14031225</w:t>
      </w:r>
    </w:p>
    <w:p w14:paraId="14E46597" w14:textId="77777777" w:rsidR="00905597" w:rsidRPr="00014AB0" w:rsidRDefault="00000000" w:rsidP="00014AB0">
      <w:pPr>
        <w:pStyle w:val="ListParagraph"/>
        <w:numPr>
          <w:ilvl w:val="0"/>
          <w:numId w:val="2"/>
        </w:numPr>
        <w:jc w:val="both"/>
      </w:pPr>
      <w:r w:rsidRPr="00014AB0">
        <w:t xml:space="preserve">A. Bharadwaj and N. Novak, "Uncommonly Rare: Consumers Value Rarity in Digital Goods More in Larger Collections," </w:t>
      </w:r>
      <w:r w:rsidRPr="00014AB0">
        <w:rPr>
          <w:i/>
          <w:iCs/>
        </w:rPr>
        <w:t>Journal of Consumer Research</w:t>
      </w:r>
      <w:r w:rsidRPr="00014AB0">
        <w:t>, vol. 51, no. 3, pp. 567-585, 2024. DOI: 10.1093/</w:t>
      </w:r>
      <w:proofErr w:type="spellStart"/>
      <w:r w:rsidRPr="00014AB0">
        <w:t>jcr</w:t>
      </w:r>
      <w:proofErr w:type="spellEnd"/>
      <w:r w:rsidRPr="00014AB0">
        <w:t>/ucae015</w:t>
      </w:r>
    </w:p>
    <w:p w14:paraId="191A0C87" w14:textId="77777777" w:rsidR="00905597" w:rsidRPr="00014AB0" w:rsidRDefault="00000000" w:rsidP="00014AB0">
      <w:pPr>
        <w:pStyle w:val="ListParagraph"/>
        <w:numPr>
          <w:ilvl w:val="0"/>
          <w:numId w:val="2"/>
        </w:numPr>
        <w:jc w:val="both"/>
      </w:pPr>
      <w:r w:rsidRPr="00014AB0">
        <w:t xml:space="preserve">V. von Wachter, J. R. Jensen, F. Regner, and O. Ross, "NFT Wash Trading: Quantifying Suspicious Behavior in NFT Markets," in </w:t>
      </w:r>
      <w:r w:rsidRPr="00014AB0">
        <w:rPr>
          <w:i/>
          <w:iCs/>
        </w:rPr>
        <w:t>Proc. Financial Cryptography and Data Security</w:t>
      </w:r>
      <w:r w:rsidRPr="00014AB0">
        <w:t>, 2023, pp. 20-39. DOI: 10.1007/978-3-031-47751-5_2</w:t>
      </w:r>
    </w:p>
    <w:p w14:paraId="175F5323" w14:textId="77777777" w:rsidR="00905597" w:rsidRPr="00014AB0" w:rsidRDefault="00000000" w:rsidP="00014AB0">
      <w:pPr>
        <w:pStyle w:val="ListParagraph"/>
        <w:numPr>
          <w:ilvl w:val="0"/>
          <w:numId w:val="2"/>
        </w:numPr>
        <w:jc w:val="both"/>
      </w:pPr>
      <w:r w:rsidRPr="00014AB0">
        <w:t xml:space="preserve">T. T. A. Dinh, J. Wang, G. Chen, R. Liu, B. C. Ooi, and K.-L. Tan, "BLOCKBENCH: A Framework for Analyzing Private Blockchains," in </w:t>
      </w:r>
      <w:r w:rsidRPr="00014AB0">
        <w:rPr>
          <w:i/>
          <w:iCs/>
        </w:rPr>
        <w:t>Proc. ACM SIGMOD Int. Conf. on Management of Data</w:t>
      </w:r>
      <w:r w:rsidRPr="00014AB0">
        <w:t>, 2017, pp. 1085-1100. DOI: 10.1145/3035918.3064033</w:t>
      </w:r>
    </w:p>
    <w:p w14:paraId="3F05331E" w14:textId="77777777" w:rsidR="00905597" w:rsidRPr="00014AB0" w:rsidRDefault="00000000" w:rsidP="00014AB0">
      <w:pPr>
        <w:pStyle w:val="ListParagraph"/>
        <w:numPr>
          <w:ilvl w:val="0"/>
          <w:numId w:val="2"/>
        </w:numPr>
        <w:jc w:val="both"/>
      </w:pPr>
      <w:r w:rsidRPr="00014AB0">
        <w:t xml:space="preserve">L. Gudgeon, S. Werner, D. Perez, and W. J. Knottenbelt, "DeFi Protocols for Loanable Funds: Interest Rates, Liquidity and Market Efficiency," in </w:t>
      </w:r>
      <w:r w:rsidRPr="00014AB0">
        <w:rPr>
          <w:i/>
          <w:iCs/>
        </w:rPr>
        <w:t>Proc. ACM Conf. on Advances in Financial Technologies</w:t>
      </w:r>
      <w:r w:rsidRPr="00014AB0">
        <w:t>, 2020, pp. 92-112. DOI: 10.1145/3419614.3423254</w:t>
      </w:r>
    </w:p>
    <w:p w14:paraId="4586D1BA" w14:textId="77777777" w:rsidR="00905597" w:rsidRPr="00014AB0" w:rsidRDefault="00000000" w:rsidP="00014AB0">
      <w:pPr>
        <w:pStyle w:val="ListParagraph"/>
        <w:numPr>
          <w:ilvl w:val="0"/>
          <w:numId w:val="2"/>
        </w:numPr>
        <w:jc w:val="both"/>
      </w:pPr>
      <w:r w:rsidRPr="00014AB0">
        <w:t>S. M. Werner, D. Perez, L. Gudgeon, A. Klages-Mundt, D. Harz, and W. J. Knottenbelt, "</w:t>
      </w:r>
      <w:proofErr w:type="spellStart"/>
      <w:r w:rsidRPr="00014AB0">
        <w:t>SoK</w:t>
      </w:r>
      <w:proofErr w:type="spellEnd"/>
      <w:r w:rsidRPr="00014AB0">
        <w:t xml:space="preserve">: Decentralized Finance (DeFi)," in </w:t>
      </w:r>
      <w:r w:rsidRPr="00014AB0">
        <w:rPr>
          <w:i/>
          <w:iCs/>
        </w:rPr>
        <w:t>Proc. ACM Conf. on Advances in Financial Technologies</w:t>
      </w:r>
      <w:r w:rsidRPr="00014AB0">
        <w:t>, 2022, pp. 30-46. DOI: 10.1145/3558535.3559780</w:t>
      </w:r>
    </w:p>
    <w:p w14:paraId="60289F84" w14:textId="77777777" w:rsidR="00905597" w:rsidRPr="00014AB0" w:rsidRDefault="00000000" w:rsidP="00014AB0">
      <w:pPr>
        <w:pStyle w:val="ListParagraph"/>
        <w:numPr>
          <w:ilvl w:val="0"/>
          <w:numId w:val="2"/>
        </w:numPr>
        <w:jc w:val="both"/>
      </w:pPr>
      <w:r w:rsidRPr="00014AB0">
        <w:t xml:space="preserve">A. Chen, S. Chen, and Z. Zhang, "EIP-4907: Rental NFT, Extension for ERC-721," </w:t>
      </w:r>
      <w:r w:rsidRPr="00014AB0">
        <w:rPr>
          <w:i/>
          <w:iCs/>
        </w:rPr>
        <w:t>Ethereum Improvement Proposals</w:t>
      </w:r>
      <w:r w:rsidRPr="00014AB0">
        <w:t>, no. 4907, Mar. 2022. [Online]. Available: https://eips.ethereum.org/EIPS/eip-4907</w:t>
      </w:r>
    </w:p>
    <w:p w14:paraId="117C67B8" w14:textId="77777777" w:rsidR="00905597" w:rsidRPr="00014AB0" w:rsidRDefault="00000000" w:rsidP="00014AB0">
      <w:pPr>
        <w:pStyle w:val="ListParagraph"/>
        <w:numPr>
          <w:ilvl w:val="0"/>
          <w:numId w:val="2"/>
        </w:numPr>
        <w:jc w:val="both"/>
      </w:pPr>
      <w:r w:rsidRPr="00014AB0">
        <w:t xml:space="preserve">Y. Li, W. Shen, and L. Wang, "Implementation and Analysis of NFT Rental Protocols," </w:t>
      </w:r>
      <w:r w:rsidRPr="00014AB0">
        <w:rPr>
          <w:i/>
          <w:iCs/>
        </w:rPr>
        <w:t>IEEE Trans. on Network and Service Management</w:t>
      </w:r>
      <w:r w:rsidRPr="00014AB0">
        <w:t>, vol. 20, no. 3, pp. 2891-2904, 2023. DOI: 10.1109/TNSM.2023.3265432</w:t>
      </w:r>
    </w:p>
    <w:p w14:paraId="6CA3AC5F" w14:textId="77777777" w:rsidR="00905597" w:rsidRPr="00014AB0" w:rsidRDefault="00000000" w:rsidP="00014AB0">
      <w:pPr>
        <w:pStyle w:val="ListParagraph"/>
        <w:numPr>
          <w:ilvl w:val="0"/>
          <w:numId w:val="2"/>
        </w:numPr>
        <w:jc w:val="both"/>
      </w:pPr>
      <w:r w:rsidRPr="00014AB0">
        <w:t xml:space="preserve">V. Buterin, "DAOs, DACs, DAs and More: An Incomplete Terminology Guide," </w:t>
      </w:r>
      <w:r w:rsidRPr="00014AB0">
        <w:rPr>
          <w:i/>
          <w:iCs/>
        </w:rPr>
        <w:t>Ethereum Blog</w:t>
      </w:r>
      <w:r w:rsidRPr="00014AB0">
        <w:t>, May 2014. [Online]. Available: https://blog.ethereum.org/2014/05/06/daos-dacs-das-and-more</w:t>
      </w:r>
    </w:p>
    <w:p w14:paraId="5E18B0FF" w14:textId="77777777" w:rsidR="00905597" w:rsidRPr="00014AB0" w:rsidRDefault="00000000" w:rsidP="00014AB0">
      <w:pPr>
        <w:pStyle w:val="ListParagraph"/>
        <w:numPr>
          <w:ilvl w:val="0"/>
          <w:numId w:val="2"/>
        </w:numPr>
        <w:jc w:val="both"/>
      </w:pPr>
      <w:r w:rsidRPr="00014AB0">
        <w:t xml:space="preserve">K. A. Hossain, R. Villalobos-Arias, and S. Qin, "DeFi Protocol Risks: The Paradox of DeFi," in </w:t>
      </w:r>
      <w:r w:rsidRPr="00014AB0">
        <w:rPr>
          <w:i/>
          <w:iCs/>
        </w:rPr>
        <w:t>Risks and Returns of Cryptocurrency</w:t>
      </w:r>
      <w:r w:rsidRPr="00014AB0">
        <w:t>, Cham: Springer, 2023, pp. 145-167. DOI: 10.1007/978-3-031-30258-9_7</w:t>
      </w:r>
    </w:p>
    <w:p w14:paraId="744B0378" w14:textId="77777777" w:rsidR="00905597" w:rsidRPr="00014AB0" w:rsidRDefault="00000000" w:rsidP="00014AB0">
      <w:pPr>
        <w:pStyle w:val="ListParagraph"/>
        <w:numPr>
          <w:ilvl w:val="0"/>
          <w:numId w:val="2"/>
        </w:numPr>
        <w:jc w:val="both"/>
      </w:pPr>
      <w:r w:rsidRPr="00014AB0">
        <w:t xml:space="preserve">M. </w:t>
      </w:r>
      <w:proofErr w:type="spellStart"/>
      <w:r w:rsidRPr="00014AB0">
        <w:t>Alharby</w:t>
      </w:r>
      <w:proofErr w:type="spellEnd"/>
      <w:r w:rsidRPr="00014AB0">
        <w:t xml:space="preserve"> and A. van </w:t>
      </w:r>
      <w:proofErr w:type="spellStart"/>
      <w:r w:rsidRPr="00014AB0">
        <w:t>Moorsel</w:t>
      </w:r>
      <w:proofErr w:type="spellEnd"/>
      <w:r w:rsidRPr="00014AB0">
        <w:t xml:space="preserve">, "Blockchain-based Smart Contracts: A Systematic Mapping Study," in </w:t>
      </w:r>
      <w:r w:rsidRPr="00014AB0">
        <w:rPr>
          <w:i/>
          <w:iCs/>
        </w:rPr>
        <w:t>Proc. Int. Conf. on Computer Science and Information Technology</w:t>
      </w:r>
      <w:r w:rsidRPr="00014AB0">
        <w:t>, 2017, pp. 125-140. DOI: 10.5121/csit.2017.71011</w:t>
      </w:r>
    </w:p>
    <w:p w14:paraId="7CD114D1" w14:textId="77777777" w:rsidR="00905597" w:rsidRPr="00014AB0" w:rsidRDefault="00000000" w:rsidP="00014AB0">
      <w:pPr>
        <w:pStyle w:val="ListParagraph"/>
        <w:numPr>
          <w:ilvl w:val="0"/>
          <w:numId w:val="2"/>
        </w:numPr>
        <w:jc w:val="both"/>
      </w:pPr>
      <w:r w:rsidRPr="00014AB0">
        <w:t xml:space="preserve">ConsenSys, "Ethereum 2.0: Scaling and Performance," </w:t>
      </w:r>
      <w:r w:rsidRPr="00014AB0">
        <w:rPr>
          <w:i/>
          <w:iCs/>
        </w:rPr>
        <w:t>Technical Report</w:t>
      </w:r>
      <w:r w:rsidRPr="00014AB0">
        <w:t>, 2024. [Online]. Available: https://consensys.net/knowledge-base/ethereum-2/</w:t>
      </w:r>
    </w:p>
    <w:p w14:paraId="7C188A70" w14:textId="77777777" w:rsidR="00905597" w:rsidRPr="00014AB0" w:rsidRDefault="00000000" w:rsidP="00014AB0">
      <w:pPr>
        <w:pStyle w:val="ListParagraph"/>
        <w:numPr>
          <w:ilvl w:val="0"/>
          <w:numId w:val="2"/>
        </w:numPr>
        <w:jc w:val="both"/>
      </w:pPr>
      <w:r w:rsidRPr="00014AB0">
        <w:lastRenderedPageBreak/>
        <w:t xml:space="preserve">X. Li et al., "A Survey on the Security of Blockchain Systems," </w:t>
      </w:r>
      <w:r w:rsidRPr="00014AB0">
        <w:rPr>
          <w:i/>
          <w:iCs/>
        </w:rPr>
        <w:t>Future Generation Computer Systems</w:t>
      </w:r>
      <w:r w:rsidRPr="00014AB0">
        <w:t>, vol. 107, pp. 841-853, 2020. DOI: 10.1016/j.future.2017.08.020</w:t>
      </w:r>
    </w:p>
    <w:p w14:paraId="5483D5E9" w14:textId="77777777" w:rsidR="00905597" w:rsidRPr="00014AB0" w:rsidRDefault="00000000" w:rsidP="00014AB0">
      <w:pPr>
        <w:pStyle w:val="ListParagraph"/>
        <w:numPr>
          <w:ilvl w:val="0"/>
          <w:numId w:val="2"/>
        </w:numPr>
        <w:jc w:val="both"/>
      </w:pPr>
      <w:r w:rsidRPr="00014AB0">
        <w:t xml:space="preserve">D. </w:t>
      </w:r>
      <w:proofErr w:type="spellStart"/>
      <w:r w:rsidRPr="00014AB0">
        <w:t>Paparas</w:t>
      </w:r>
      <w:proofErr w:type="spellEnd"/>
      <w:r w:rsidRPr="00014AB0">
        <w:t xml:space="preserve">, C. O'Kelly, M. E. Rana, and F. </w:t>
      </w:r>
      <w:proofErr w:type="spellStart"/>
      <w:r w:rsidRPr="00014AB0">
        <w:t>Cuzzocrea</w:t>
      </w:r>
      <w:proofErr w:type="spellEnd"/>
      <w:r w:rsidRPr="00014AB0">
        <w:t xml:space="preserve">, "Blockchain-Powered Gaming: Bridging Entertainment with Serious Applications," </w:t>
      </w:r>
      <w:r w:rsidRPr="00014AB0">
        <w:rPr>
          <w:i/>
          <w:iCs/>
        </w:rPr>
        <w:t>Computers</w:t>
      </w:r>
      <w:r w:rsidRPr="00014AB0">
        <w:t>, vol. 13, no. 1, art. 18, 2024. DOI: 10.3390/computers13010018</w:t>
      </w:r>
    </w:p>
    <w:p w14:paraId="60B222C9" w14:textId="77777777" w:rsidR="00905597" w:rsidRPr="00014AB0" w:rsidRDefault="00000000" w:rsidP="00014AB0">
      <w:pPr>
        <w:pStyle w:val="ListParagraph"/>
        <w:numPr>
          <w:ilvl w:val="0"/>
          <w:numId w:val="2"/>
        </w:numPr>
        <w:jc w:val="both"/>
      </w:pPr>
      <w:r w:rsidRPr="00014AB0">
        <w:t xml:space="preserve">K. Liao and J. Katz, "Incentivizing Blockchain Forks via Whale Transactions," in </w:t>
      </w:r>
      <w:r w:rsidRPr="00014AB0">
        <w:rPr>
          <w:i/>
          <w:iCs/>
        </w:rPr>
        <w:t>Proc. Financial Cryptography and Data Security</w:t>
      </w:r>
      <w:r w:rsidRPr="00014AB0">
        <w:t>, 2017, pp. 264-279. DOI: 10.1007/978-3-319-70278-0_17</w:t>
      </w:r>
    </w:p>
    <w:p w14:paraId="2CED5C60" w14:textId="77777777" w:rsidR="00905597" w:rsidRPr="00014AB0" w:rsidRDefault="00000000" w:rsidP="00014AB0">
      <w:pPr>
        <w:pStyle w:val="ListParagraph"/>
        <w:numPr>
          <w:ilvl w:val="0"/>
          <w:numId w:val="2"/>
        </w:numPr>
        <w:jc w:val="both"/>
      </w:pPr>
      <w:r w:rsidRPr="00014AB0">
        <w:t>S. Eskandari, S. Moosavi, and J. Clark, "</w:t>
      </w:r>
      <w:proofErr w:type="spellStart"/>
      <w:r w:rsidRPr="00014AB0">
        <w:t>SoK</w:t>
      </w:r>
      <w:proofErr w:type="spellEnd"/>
      <w:r w:rsidRPr="00014AB0">
        <w:t xml:space="preserve">: Transparent Dishonesty: Front-running Attacks on Blockchain," in </w:t>
      </w:r>
      <w:r w:rsidRPr="00014AB0">
        <w:rPr>
          <w:i/>
          <w:iCs/>
        </w:rPr>
        <w:t>Proc. Financial Cryptography and Data Security</w:t>
      </w:r>
      <w:r w:rsidRPr="00014AB0">
        <w:t>, 2020, pp. 170-189. DOI: 10.1007/978-3-030-43725-1_13</w:t>
      </w:r>
    </w:p>
    <w:p w14:paraId="28FDA32C" w14:textId="77777777" w:rsidR="00905597" w:rsidRPr="00014AB0" w:rsidRDefault="00000000" w:rsidP="00014AB0">
      <w:pPr>
        <w:pStyle w:val="ListParagraph"/>
        <w:numPr>
          <w:ilvl w:val="0"/>
          <w:numId w:val="2"/>
        </w:numPr>
        <w:jc w:val="both"/>
      </w:pPr>
      <w:r w:rsidRPr="00014AB0">
        <w:t xml:space="preserve">J. Chohan and R. Paschen, "NFT Marketing: How Marketers Can Use Non-Fungible Tokens in Their Campaigns," </w:t>
      </w:r>
      <w:r w:rsidRPr="00014AB0">
        <w:rPr>
          <w:i/>
          <w:iCs/>
        </w:rPr>
        <w:t>Business Horizons</w:t>
      </w:r>
      <w:r w:rsidRPr="00014AB0">
        <w:t>, vol. 66, no. 1, pp. 43-50, 2023. DOI: 10.1016/j.bushor.2022.03.001</w:t>
      </w:r>
    </w:p>
    <w:p w14:paraId="25698FB9" w14:textId="77777777" w:rsidR="00905597" w:rsidRPr="00014AB0" w:rsidRDefault="00000000" w:rsidP="00014AB0">
      <w:pPr>
        <w:pStyle w:val="ListParagraph"/>
        <w:numPr>
          <w:ilvl w:val="0"/>
          <w:numId w:val="2"/>
        </w:numPr>
        <w:jc w:val="both"/>
      </w:pPr>
      <w:r w:rsidRPr="00014AB0">
        <w:t xml:space="preserve">L. Zhao and L. Zhu, "Game Engines: A Survey," </w:t>
      </w:r>
      <w:r w:rsidRPr="00014AB0">
        <w:rPr>
          <w:i/>
          <w:iCs/>
        </w:rPr>
        <w:t>Entertainment Computing</w:t>
      </w:r>
      <w:r w:rsidRPr="00014AB0">
        <w:t>, vol. 21, pp. 1-16, 2017. DOI: 10.1016/j.entcom.2017.03.001</w:t>
      </w:r>
    </w:p>
    <w:p w14:paraId="5DBB83A6" w14:textId="77777777" w:rsidR="00905597" w:rsidRPr="00014AB0" w:rsidRDefault="00000000" w:rsidP="00014AB0">
      <w:pPr>
        <w:pStyle w:val="ListParagraph"/>
        <w:numPr>
          <w:ilvl w:val="0"/>
          <w:numId w:val="2"/>
        </w:numPr>
        <w:jc w:val="both"/>
      </w:pPr>
      <w:r w:rsidRPr="00014AB0">
        <w:t>Epic Games, "Unreal Engine Documentation," 2024. [Online]. Available: https://docs.unrealengine.com/</w:t>
      </w:r>
    </w:p>
    <w:p w14:paraId="7DB6502B" w14:textId="77777777" w:rsidR="00905597" w:rsidRPr="00014AB0" w:rsidRDefault="00000000" w:rsidP="00014AB0">
      <w:pPr>
        <w:pStyle w:val="ListParagraph"/>
        <w:numPr>
          <w:ilvl w:val="0"/>
          <w:numId w:val="2"/>
        </w:numPr>
        <w:jc w:val="both"/>
      </w:pPr>
      <w:r w:rsidRPr="00014AB0">
        <w:t>Unity Technologies, "Unity User Manual," 2024. [Online]. Available: https://docs.unity3d.com/Manual/</w:t>
      </w:r>
    </w:p>
    <w:p w14:paraId="562E6BCB" w14:textId="77777777" w:rsidR="00905597" w:rsidRPr="00014AB0" w:rsidRDefault="00000000" w:rsidP="00014AB0">
      <w:pPr>
        <w:pStyle w:val="ListParagraph"/>
        <w:numPr>
          <w:ilvl w:val="0"/>
          <w:numId w:val="2"/>
        </w:numPr>
        <w:jc w:val="both"/>
      </w:pPr>
      <w:r w:rsidRPr="00014AB0">
        <w:t>Open Metaverse Interoperability Group, "OMI Standards," 2024. [Online]. Available: https://omigroup.org/</w:t>
      </w:r>
    </w:p>
    <w:p w14:paraId="4DEA336C" w14:textId="77777777" w:rsidR="00905597" w:rsidRPr="00014AB0" w:rsidRDefault="00000000" w:rsidP="00014AB0">
      <w:pPr>
        <w:pStyle w:val="ListParagraph"/>
        <w:numPr>
          <w:ilvl w:val="0"/>
          <w:numId w:val="2"/>
        </w:numPr>
        <w:jc w:val="both"/>
      </w:pPr>
      <w:r w:rsidRPr="00014AB0">
        <w:t xml:space="preserve">M. Zhang and Y. Liu, "Interoperability of the Metaverse: A Digital Ecosystem Perspective Review," </w:t>
      </w:r>
      <w:r w:rsidRPr="00014AB0">
        <w:rPr>
          <w:i/>
          <w:iCs/>
        </w:rPr>
        <w:t>Journal of Electronic Commerce Research</w:t>
      </w:r>
      <w:r w:rsidRPr="00014AB0">
        <w:t>, vol. 24, no. 3, pp. 175-194, 2023.</w:t>
      </w:r>
    </w:p>
    <w:p w14:paraId="2CC3868F" w14:textId="77777777" w:rsidR="00905597" w:rsidRPr="00014AB0" w:rsidRDefault="00000000" w:rsidP="00014AB0">
      <w:pPr>
        <w:pStyle w:val="ListParagraph"/>
        <w:numPr>
          <w:ilvl w:val="0"/>
          <w:numId w:val="2"/>
        </w:numPr>
        <w:jc w:val="both"/>
      </w:pPr>
      <w:r w:rsidRPr="00014AB0">
        <w:t xml:space="preserve">R. </w:t>
      </w:r>
      <w:proofErr w:type="spellStart"/>
      <w:r w:rsidRPr="00014AB0">
        <w:t>Mystakidis</w:t>
      </w:r>
      <w:proofErr w:type="spellEnd"/>
      <w:r w:rsidRPr="00014AB0">
        <w:t xml:space="preserve">, E. Berki, and J.-P. Valtanen, "Deep and Meaningful E-Learning with Social Virtual Reality Environments in Higher Education," </w:t>
      </w:r>
      <w:r w:rsidRPr="00014AB0">
        <w:rPr>
          <w:i/>
          <w:iCs/>
        </w:rPr>
        <w:t>Applied Sciences</w:t>
      </w:r>
      <w:r w:rsidRPr="00014AB0">
        <w:t>, vol. 11, no. 5, art. 2412, 2021. DOI: 10.3390/app11052412</w:t>
      </w:r>
    </w:p>
    <w:p w14:paraId="640DEAFF" w14:textId="77777777" w:rsidR="00905597" w:rsidRPr="00014AB0" w:rsidRDefault="00000000" w:rsidP="00014AB0">
      <w:pPr>
        <w:pStyle w:val="ListParagraph"/>
        <w:numPr>
          <w:ilvl w:val="0"/>
          <w:numId w:val="2"/>
        </w:numPr>
        <w:jc w:val="both"/>
      </w:pPr>
      <w:r w:rsidRPr="00014AB0">
        <w:t xml:space="preserve">J. Park and Y. Kim, "A Framework for Designing Interoperable Blockchain Games," </w:t>
      </w:r>
      <w:r w:rsidRPr="00014AB0">
        <w:rPr>
          <w:i/>
          <w:iCs/>
        </w:rPr>
        <w:t>IEEE Access</w:t>
      </w:r>
      <w:r w:rsidRPr="00014AB0">
        <w:t>, vol. 10, pp. 89456-89468, 2022. DOI: 10.1109/ACCESS.2022.3200567</w:t>
      </w:r>
    </w:p>
    <w:p w14:paraId="04FD2AAE" w14:textId="77777777" w:rsidR="00905597" w:rsidRPr="00014AB0" w:rsidRDefault="00000000" w:rsidP="00014AB0">
      <w:pPr>
        <w:pStyle w:val="ListParagraph"/>
        <w:numPr>
          <w:ilvl w:val="0"/>
          <w:numId w:val="2"/>
        </w:numPr>
        <w:jc w:val="both"/>
      </w:pPr>
      <w:r w:rsidRPr="00014AB0">
        <w:t xml:space="preserve">V. Buterin, "On Sharding Blockchains," </w:t>
      </w:r>
      <w:r w:rsidRPr="00014AB0">
        <w:rPr>
          <w:i/>
          <w:iCs/>
        </w:rPr>
        <w:t>Ethereum Foundation Blog</w:t>
      </w:r>
      <w:r w:rsidRPr="00014AB0">
        <w:t>, 2021. [Online]. Available: https://vitalik.ca/general/2021/04/07/sharding.html</w:t>
      </w:r>
    </w:p>
    <w:p w14:paraId="7F5B1A37" w14:textId="77777777" w:rsidR="00905597" w:rsidRPr="00014AB0" w:rsidRDefault="00000000" w:rsidP="00014AB0">
      <w:pPr>
        <w:pStyle w:val="ListParagraph"/>
        <w:numPr>
          <w:ilvl w:val="0"/>
          <w:numId w:val="2"/>
        </w:numPr>
        <w:jc w:val="both"/>
      </w:pPr>
      <w:r w:rsidRPr="00014AB0">
        <w:t xml:space="preserve">J. Teutsch and C. </w:t>
      </w:r>
      <w:proofErr w:type="spellStart"/>
      <w:r w:rsidRPr="00014AB0">
        <w:t>Reitwießner</w:t>
      </w:r>
      <w:proofErr w:type="spellEnd"/>
      <w:r w:rsidRPr="00014AB0">
        <w:t xml:space="preserve">, "A Scalable Verification Solution for Blockchains," </w:t>
      </w:r>
      <w:proofErr w:type="spellStart"/>
      <w:r w:rsidRPr="00014AB0">
        <w:rPr>
          <w:i/>
          <w:iCs/>
        </w:rPr>
        <w:t>TrueBit</w:t>
      </w:r>
      <w:proofErr w:type="spellEnd"/>
      <w:r w:rsidRPr="00014AB0">
        <w:rPr>
          <w:i/>
          <w:iCs/>
        </w:rPr>
        <w:t xml:space="preserve"> Protocol Whitepaper</w:t>
      </w:r>
      <w:r w:rsidRPr="00014AB0">
        <w:t>, 2019. [Online]. Available: https://people.cs.uchicago.edu/~teutsch/papers/truebit.pdf</w:t>
      </w:r>
    </w:p>
    <w:p w14:paraId="6509BB58" w14:textId="77777777" w:rsidR="00905597" w:rsidRPr="00014AB0" w:rsidRDefault="00000000" w:rsidP="00014AB0">
      <w:pPr>
        <w:pStyle w:val="ListParagraph"/>
        <w:numPr>
          <w:ilvl w:val="0"/>
          <w:numId w:val="2"/>
        </w:numPr>
        <w:jc w:val="both"/>
      </w:pPr>
      <w:r w:rsidRPr="00014AB0">
        <w:t xml:space="preserve">A. </w:t>
      </w:r>
      <w:proofErr w:type="spellStart"/>
      <w:r w:rsidRPr="00014AB0">
        <w:t>Kiayias</w:t>
      </w:r>
      <w:proofErr w:type="spellEnd"/>
      <w:r w:rsidRPr="00014AB0">
        <w:t xml:space="preserve"> and G. </w:t>
      </w:r>
      <w:proofErr w:type="spellStart"/>
      <w:r w:rsidRPr="00014AB0">
        <w:t>Panagiotakos</w:t>
      </w:r>
      <w:proofErr w:type="spellEnd"/>
      <w:r w:rsidRPr="00014AB0">
        <w:t xml:space="preserve">, "On Trees, Chains and Fast Transactions in the Blockchain," in </w:t>
      </w:r>
      <w:r w:rsidRPr="00014AB0">
        <w:rPr>
          <w:i/>
          <w:iCs/>
        </w:rPr>
        <w:t>Proc. Intl. Conf. on Cryptology and Information Security</w:t>
      </w:r>
      <w:r w:rsidRPr="00014AB0">
        <w:t>, 2017, pp. 327-351. DOI: 10.1007/978-3-319-60055-0_17</w:t>
      </w:r>
    </w:p>
    <w:p w14:paraId="4165197A" w14:textId="77777777" w:rsidR="00905597" w:rsidRPr="00014AB0" w:rsidRDefault="00000000" w:rsidP="00014AB0">
      <w:pPr>
        <w:pStyle w:val="ListParagraph"/>
        <w:numPr>
          <w:ilvl w:val="0"/>
          <w:numId w:val="2"/>
        </w:numPr>
        <w:jc w:val="both"/>
      </w:pPr>
      <w:r w:rsidRPr="00014AB0">
        <w:t xml:space="preserve">T. Koivisto and J. Hamari, "User Experience Framework for Understanding User Experience in Blockchain Services," </w:t>
      </w:r>
      <w:r w:rsidRPr="00014AB0">
        <w:rPr>
          <w:i/>
          <w:iCs/>
        </w:rPr>
        <w:t>International Journal of Information Management</w:t>
      </w:r>
      <w:r w:rsidRPr="00014AB0">
        <w:t>, vol. 62, art. 102429, 2022. DOI: 10.1016/j.ijinfomgt.2021.102429</w:t>
      </w:r>
    </w:p>
    <w:p w14:paraId="5E8F367C" w14:textId="77777777" w:rsidR="00905597" w:rsidRPr="00014AB0" w:rsidRDefault="00000000" w:rsidP="00014AB0">
      <w:pPr>
        <w:pStyle w:val="ListParagraph"/>
        <w:numPr>
          <w:ilvl w:val="0"/>
          <w:numId w:val="2"/>
        </w:numPr>
        <w:jc w:val="both"/>
      </w:pPr>
      <w:r w:rsidRPr="00014AB0">
        <w:t xml:space="preserve">D. Kreutz, F. M. V. Ramos, P. E. Veríssimo, C. E. Rothenberg, S. </w:t>
      </w:r>
      <w:proofErr w:type="spellStart"/>
      <w:r w:rsidRPr="00014AB0">
        <w:t>Azodolmolky</w:t>
      </w:r>
      <w:proofErr w:type="spellEnd"/>
      <w:r w:rsidRPr="00014AB0">
        <w:t xml:space="preserve">, and S. Uhlig, "Software-Defined Networking: A Comprehensive Survey," </w:t>
      </w:r>
      <w:r w:rsidRPr="00014AB0">
        <w:rPr>
          <w:i/>
          <w:iCs/>
        </w:rPr>
        <w:t>Proceedings of the IEEE</w:t>
      </w:r>
      <w:r w:rsidRPr="00014AB0">
        <w:t>, vol. 103, no. 1, pp. 14-76, 2015. DOI: 10.1109/JPROC.2014.2371999</w:t>
      </w:r>
    </w:p>
    <w:p w14:paraId="372A12BB" w14:textId="77777777" w:rsidR="00905597" w:rsidRPr="00014AB0" w:rsidRDefault="00000000" w:rsidP="00014AB0">
      <w:pPr>
        <w:pStyle w:val="ListParagraph"/>
        <w:numPr>
          <w:ilvl w:val="0"/>
          <w:numId w:val="2"/>
        </w:numPr>
        <w:jc w:val="both"/>
      </w:pPr>
      <w:r w:rsidRPr="00014AB0">
        <w:t xml:space="preserve">Y. Likhachev et al., "ERC-4337: Account Abstraction Using Alt </w:t>
      </w:r>
      <w:proofErr w:type="spellStart"/>
      <w:r w:rsidRPr="00014AB0">
        <w:t>Mempool</w:t>
      </w:r>
      <w:proofErr w:type="spellEnd"/>
      <w:r w:rsidRPr="00014AB0">
        <w:t xml:space="preserve">," </w:t>
      </w:r>
      <w:r w:rsidRPr="00014AB0">
        <w:rPr>
          <w:i/>
          <w:iCs/>
        </w:rPr>
        <w:t>Ethereum Improvement Proposals</w:t>
      </w:r>
      <w:r w:rsidRPr="00014AB0">
        <w:t>, no. 4337, Sept. 2021. [Online]. Available: https://eips.ethereum.org/EIPS/eip-4337</w:t>
      </w:r>
    </w:p>
    <w:p w14:paraId="641D680C" w14:textId="77777777" w:rsidR="00905597" w:rsidRPr="00014AB0" w:rsidRDefault="00000000" w:rsidP="00014AB0">
      <w:pPr>
        <w:pStyle w:val="ListParagraph"/>
        <w:numPr>
          <w:ilvl w:val="0"/>
          <w:numId w:val="2"/>
        </w:numPr>
        <w:jc w:val="both"/>
      </w:pPr>
      <w:r w:rsidRPr="00014AB0">
        <w:lastRenderedPageBreak/>
        <w:t xml:space="preserve">M. Kim, J. Lee, and J. Ryu, "Understanding the Mechanics and Consumer Risks Associated with Play-to-Earn Models in Blockchain Gaming," </w:t>
      </w:r>
      <w:proofErr w:type="spellStart"/>
      <w:r w:rsidRPr="00014AB0">
        <w:rPr>
          <w:i/>
          <w:iCs/>
        </w:rPr>
        <w:t>PLoS</w:t>
      </w:r>
      <w:proofErr w:type="spellEnd"/>
      <w:r w:rsidRPr="00014AB0">
        <w:rPr>
          <w:i/>
          <w:iCs/>
        </w:rPr>
        <w:t xml:space="preserve"> ONE</w:t>
      </w:r>
      <w:r w:rsidRPr="00014AB0">
        <w:t>, vol. 18, no. 1, art. e0283654, 2023. DOI: 10.1371/journal.pone.0283654</w:t>
      </w:r>
    </w:p>
    <w:p w14:paraId="572D8593" w14:textId="77777777" w:rsidR="00905597" w:rsidRPr="00014AB0" w:rsidRDefault="00000000" w:rsidP="00014AB0">
      <w:pPr>
        <w:pStyle w:val="ListParagraph"/>
        <w:numPr>
          <w:ilvl w:val="0"/>
          <w:numId w:val="2"/>
        </w:numPr>
        <w:jc w:val="both"/>
      </w:pPr>
      <w:r w:rsidRPr="00014AB0">
        <w:t xml:space="preserve">J. Dibbell, "The Life of the Chinese Gold Farmer," </w:t>
      </w:r>
      <w:r w:rsidRPr="00014AB0">
        <w:rPr>
          <w:i/>
          <w:iCs/>
        </w:rPr>
        <w:t>The New York Times Magazine</w:t>
      </w:r>
      <w:r w:rsidRPr="00014AB0">
        <w:t>, June 2007.</w:t>
      </w:r>
    </w:p>
    <w:p w14:paraId="086A43DA" w14:textId="77777777" w:rsidR="00905597" w:rsidRPr="00014AB0" w:rsidRDefault="00000000" w:rsidP="00014AB0">
      <w:pPr>
        <w:pStyle w:val="ListParagraph"/>
        <w:numPr>
          <w:ilvl w:val="0"/>
          <w:numId w:val="2"/>
        </w:numPr>
        <w:jc w:val="both"/>
      </w:pPr>
      <w:r w:rsidRPr="00014AB0">
        <w:t xml:space="preserve">A. Scholten and S. Hughes, "The NFT Gold Rush: A Critical Analysis of Non-Fungible Token Gaming Economies," </w:t>
      </w:r>
      <w:r w:rsidRPr="00014AB0">
        <w:rPr>
          <w:i/>
          <w:iCs/>
        </w:rPr>
        <w:t>Games and Culture</w:t>
      </w:r>
      <w:r w:rsidRPr="00014AB0">
        <w:t>, vol. 18, no. 5, pp. 689-709, 2023. DOI: 10.1177/15554120221146215</w:t>
      </w:r>
    </w:p>
    <w:p w14:paraId="6FB9C7CD" w14:textId="77777777" w:rsidR="00905597" w:rsidRPr="00014AB0" w:rsidRDefault="00000000" w:rsidP="00014AB0">
      <w:pPr>
        <w:pStyle w:val="ListParagraph"/>
        <w:numPr>
          <w:ilvl w:val="0"/>
          <w:numId w:val="2"/>
        </w:numPr>
        <w:jc w:val="both"/>
      </w:pPr>
      <w:r w:rsidRPr="00014AB0">
        <w:t>U.S. Copyright Office and U.S. Patent and Trademark Office, "Non-Fungible Tokens and Intellectual Property: Joint Study," Washington, DC: U.S. Gov. Printing Office, Mar. 2024. [Online]. Available: https://www.copyright.gov/policy/nfts/</w:t>
      </w:r>
    </w:p>
    <w:p w14:paraId="4532F9DC" w14:textId="77777777" w:rsidR="00905597" w:rsidRPr="00014AB0" w:rsidRDefault="00000000" w:rsidP="00014AB0">
      <w:pPr>
        <w:pStyle w:val="ListParagraph"/>
        <w:numPr>
          <w:ilvl w:val="0"/>
          <w:numId w:val="2"/>
        </w:numPr>
        <w:jc w:val="both"/>
      </w:pPr>
      <w:r w:rsidRPr="00014AB0">
        <w:t>Yuga Labs, "Bored Ape Yacht Club License Terms," 2022. [Online]. Available: https://boredapeyachtclub.com/</w:t>
      </w:r>
    </w:p>
    <w:p w14:paraId="4FA84676" w14:textId="77777777" w:rsidR="00905597" w:rsidRPr="00014AB0" w:rsidRDefault="00000000" w:rsidP="00014AB0">
      <w:pPr>
        <w:pStyle w:val="ListParagraph"/>
        <w:numPr>
          <w:ilvl w:val="0"/>
          <w:numId w:val="2"/>
        </w:numPr>
        <w:jc w:val="both"/>
      </w:pPr>
      <w:r w:rsidRPr="00014AB0">
        <w:t>a16z Crypto, "The Can't Be Evil NFT Licenses," Andreessen Horowitz, Aug. 2022. [Online]. Available: https://a16zcrypto.com/posts/article/cant-be-evil-nft-licenses/</w:t>
      </w:r>
    </w:p>
    <w:p w14:paraId="05A3F908" w14:textId="77777777" w:rsidR="00905597" w:rsidRPr="00014AB0" w:rsidRDefault="00000000" w:rsidP="00014AB0">
      <w:pPr>
        <w:pStyle w:val="ListParagraph"/>
        <w:numPr>
          <w:ilvl w:val="0"/>
          <w:numId w:val="2"/>
        </w:numPr>
        <w:jc w:val="both"/>
      </w:pPr>
      <w:r w:rsidRPr="00014AB0">
        <w:t xml:space="preserve">A. Cabot and L. V. </w:t>
      </w:r>
      <w:proofErr w:type="spellStart"/>
      <w:r w:rsidRPr="00014AB0">
        <w:t>Csoka</w:t>
      </w:r>
      <w:proofErr w:type="spellEnd"/>
      <w:r w:rsidRPr="00014AB0">
        <w:t xml:space="preserve">, "Fantasy Sports: One Form of Mainstream Gambling in the United States," </w:t>
      </w:r>
      <w:r w:rsidRPr="00014AB0">
        <w:rPr>
          <w:i/>
          <w:iCs/>
        </w:rPr>
        <w:t>Gaming Law Review</w:t>
      </w:r>
      <w:r w:rsidRPr="00014AB0">
        <w:t>, vol. 7, no. 3, pp. 191-201, 2003. DOI: 10.1089/109218803322297443</w:t>
      </w:r>
    </w:p>
    <w:p w14:paraId="7E956B6A" w14:textId="77777777" w:rsidR="00905597" w:rsidRPr="00014AB0" w:rsidRDefault="00000000" w:rsidP="00014AB0">
      <w:pPr>
        <w:pStyle w:val="ListParagraph"/>
        <w:numPr>
          <w:ilvl w:val="0"/>
          <w:numId w:val="2"/>
        </w:numPr>
        <w:jc w:val="both"/>
      </w:pPr>
      <w:r w:rsidRPr="00014AB0">
        <w:t>SEC v. W. J. Howey Co., 328 U.S. 293 (1946).</w:t>
      </w:r>
    </w:p>
    <w:p w14:paraId="4546B499" w14:textId="77777777" w:rsidR="00905597" w:rsidRPr="00014AB0" w:rsidRDefault="00000000" w:rsidP="00014AB0">
      <w:pPr>
        <w:pStyle w:val="ListParagraph"/>
        <w:numPr>
          <w:ilvl w:val="0"/>
          <w:numId w:val="2"/>
        </w:numPr>
        <w:jc w:val="both"/>
      </w:pPr>
      <w:r w:rsidRPr="00014AB0">
        <w:t xml:space="preserve">P. Hacker and C. </w:t>
      </w:r>
      <w:proofErr w:type="spellStart"/>
      <w:r w:rsidRPr="00014AB0">
        <w:t>Thomale</w:t>
      </w:r>
      <w:proofErr w:type="spellEnd"/>
      <w:r w:rsidRPr="00014AB0">
        <w:t xml:space="preserve">, "Crypto-Securities Regulation: ICOs, Token Sales and Cryptocurrencies under EU Financial Law," </w:t>
      </w:r>
      <w:r w:rsidRPr="00014AB0">
        <w:rPr>
          <w:i/>
          <w:iCs/>
        </w:rPr>
        <w:t>European Company and Financial Law Review</w:t>
      </w:r>
      <w:r w:rsidRPr="00014AB0">
        <w:t>, vol. 15, no. 4, pp. 645-696, 2018. DOI: 10.1515/ecfr-2018-0021</w:t>
      </w:r>
    </w:p>
    <w:p w14:paraId="448B2B6C" w14:textId="77777777" w:rsidR="00905597" w:rsidRPr="00014AB0" w:rsidRDefault="00000000" w:rsidP="00014AB0">
      <w:pPr>
        <w:pStyle w:val="ListParagraph"/>
        <w:numPr>
          <w:ilvl w:val="0"/>
          <w:numId w:val="2"/>
        </w:numPr>
        <w:jc w:val="both"/>
      </w:pPr>
      <w:r w:rsidRPr="00014AB0">
        <w:t>European Parliament and Council, "Regulation (EU) 2023/1114 on Markets in Crypto-Assets (</w:t>
      </w:r>
      <w:proofErr w:type="spellStart"/>
      <w:r w:rsidRPr="00014AB0">
        <w:t>MiCA</w:t>
      </w:r>
      <w:proofErr w:type="spellEnd"/>
      <w:r w:rsidRPr="00014AB0">
        <w:t xml:space="preserve">)," </w:t>
      </w:r>
      <w:r w:rsidRPr="00014AB0">
        <w:rPr>
          <w:i/>
          <w:iCs/>
        </w:rPr>
        <w:t>Official Journal of the European Union</w:t>
      </w:r>
      <w:r w:rsidRPr="00014AB0">
        <w:t>, L 150/40, May 2023.</w:t>
      </w:r>
    </w:p>
    <w:sectPr w:rsidR="00905597" w:rsidRPr="00014AB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41118"/>
    <w:multiLevelType w:val="hybridMultilevel"/>
    <w:tmpl w:val="F16EC1F8"/>
    <w:lvl w:ilvl="0" w:tplc="C570D978">
      <w:start w:val="1"/>
      <w:numFmt w:val="bullet"/>
      <w:lvlText w:val="●"/>
      <w:lvlJc w:val="left"/>
      <w:pPr>
        <w:ind w:left="720" w:hanging="360"/>
      </w:pPr>
    </w:lvl>
    <w:lvl w:ilvl="1" w:tplc="4DC87688">
      <w:start w:val="1"/>
      <w:numFmt w:val="bullet"/>
      <w:lvlText w:val="○"/>
      <w:lvlJc w:val="left"/>
      <w:pPr>
        <w:ind w:left="1440" w:hanging="360"/>
      </w:pPr>
    </w:lvl>
    <w:lvl w:ilvl="2" w:tplc="C2F6E66E">
      <w:start w:val="1"/>
      <w:numFmt w:val="bullet"/>
      <w:lvlText w:val="■"/>
      <w:lvlJc w:val="left"/>
      <w:pPr>
        <w:ind w:left="2160" w:hanging="360"/>
      </w:pPr>
    </w:lvl>
    <w:lvl w:ilvl="3" w:tplc="9D94AE1C">
      <w:start w:val="1"/>
      <w:numFmt w:val="bullet"/>
      <w:lvlText w:val="●"/>
      <w:lvlJc w:val="left"/>
      <w:pPr>
        <w:ind w:left="2880" w:hanging="360"/>
      </w:pPr>
    </w:lvl>
    <w:lvl w:ilvl="4" w:tplc="DFF43130">
      <w:start w:val="1"/>
      <w:numFmt w:val="bullet"/>
      <w:lvlText w:val="○"/>
      <w:lvlJc w:val="left"/>
      <w:pPr>
        <w:ind w:left="3600" w:hanging="360"/>
      </w:pPr>
    </w:lvl>
    <w:lvl w:ilvl="5" w:tplc="5874C232">
      <w:start w:val="1"/>
      <w:numFmt w:val="bullet"/>
      <w:lvlText w:val="■"/>
      <w:lvlJc w:val="left"/>
      <w:pPr>
        <w:ind w:left="4320" w:hanging="360"/>
      </w:pPr>
    </w:lvl>
    <w:lvl w:ilvl="6" w:tplc="94F4E404">
      <w:start w:val="1"/>
      <w:numFmt w:val="bullet"/>
      <w:lvlText w:val="●"/>
      <w:lvlJc w:val="left"/>
      <w:pPr>
        <w:ind w:left="5040" w:hanging="360"/>
      </w:pPr>
    </w:lvl>
    <w:lvl w:ilvl="7" w:tplc="F9A259BE">
      <w:start w:val="1"/>
      <w:numFmt w:val="bullet"/>
      <w:lvlText w:val="●"/>
      <w:lvlJc w:val="left"/>
      <w:pPr>
        <w:ind w:left="5760" w:hanging="360"/>
      </w:pPr>
    </w:lvl>
    <w:lvl w:ilvl="8" w:tplc="51C0CA34">
      <w:start w:val="1"/>
      <w:numFmt w:val="bullet"/>
      <w:lvlText w:val="●"/>
      <w:lvlJc w:val="left"/>
      <w:pPr>
        <w:ind w:left="6480" w:hanging="360"/>
      </w:pPr>
    </w:lvl>
  </w:abstractNum>
  <w:abstractNum w:abstractNumId="1" w15:restartNumberingAfterBreak="0">
    <w:nsid w:val="46975770"/>
    <w:multiLevelType w:val="hybridMultilevel"/>
    <w:tmpl w:val="76EA8930"/>
    <w:lvl w:ilvl="0" w:tplc="8BB0560C">
      <w:start w:val="1"/>
      <w:numFmt w:val="decimal"/>
      <w:lvlText w:val="[%1]"/>
      <w:lvlJc w:val="left"/>
      <w:pPr>
        <w:ind w:left="720" w:hanging="360"/>
      </w:pPr>
    </w:lvl>
    <w:lvl w:ilvl="1" w:tplc="7A42D9D2">
      <w:numFmt w:val="decimal"/>
      <w:lvlText w:val=""/>
      <w:lvlJc w:val="left"/>
    </w:lvl>
    <w:lvl w:ilvl="2" w:tplc="F4FAE0DE">
      <w:numFmt w:val="decimal"/>
      <w:lvlText w:val=""/>
      <w:lvlJc w:val="left"/>
    </w:lvl>
    <w:lvl w:ilvl="3" w:tplc="315E4F04">
      <w:numFmt w:val="decimal"/>
      <w:lvlText w:val=""/>
      <w:lvlJc w:val="left"/>
    </w:lvl>
    <w:lvl w:ilvl="4" w:tplc="E5C8D908">
      <w:numFmt w:val="decimal"/>
      <w:lvlText w:val=""/>
      <w:lvlJc w:val="left"/>
    </w:lvl>
    <w:lvl w:ilvl="5" w:tplc="95B4B18A">
      <w:numFmt w:val="decimal"/>
      <w:lvlText w:val=""/>
      <w:lvlJc w:val="left"/>
    </w:lvl>
    <w:lvl w:ilvl="6" w:tplc="74F09FFE">
      <w:numFmt w:val="decimal"/>
      <w:lvlText w:val=""/>
      <w:lvlJc w:val="left"/>
    </w:lvl>
    <w:lvl w:ilvl="7" w:tplc="68A61B3A">
      <w:numFmt w:val="decimal"/>
      <w:lvlText w:val=""/>
      <w:lvlJc w:val="left"/>
    </w:lvl>
    <w:lvl w:ilvl="8" w:tplc="D18A1442">
      <w:numFmt w:val="decimal"/>
      <w:lvlText w:val=""/>
      <w:lvlJc w:val="left"/>
    </w:lvl>
  </w:abstractNum>
  <w:num w:numId="1" w16cid:durableId="101153248">
    <w:abstractNumId w:val="0"/>
    <w:lvlOverride w:ilvl="0">
      <w:startOverride w:val="1"/>
    </w:lvlOverride>
  </w:num>
  <w:num w:numId="2" w16cid:durableId="1957041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597"/>
    <w:rsid w:val="00014AB0"/>
    <w:rsid w:val="00562582"/>
    <w:rsid w:val="00905597"/>
    <w:rsid w:val="00F65F73"/>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35DE"/>
  <w15:docId w15:val="{58335F43-398A-441C-9A8A-A1F766ECC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aps/>
      <w:color w:val="000000"/>
    </w:rPr>
  </w:style>
  <w:style w:type="paragraph" w:styleId="Heading2">
    <w:name w:val="heading 2"/>
    <w:uiPriority w:val="9"/>
    <w:unhideWhenUsed/>
    <w:qFormat/>
    <w:pPr>
      <w:spacing w:before="180" w:after="100"/>
      <w:outlineLvl w:val="1"/>
    </w:pPr>
    <w:rPr>
      <w:b/>
      <w:bCs/>
      <w:i/>
      <w:iCs/>
      <w:color w:val="000000"/>
      <w:sz w:val="22"/>
      <w:szCs w:val="22"/>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AuthorAffiliation">
    <w:name w:val="Author Affiliation"/>
    <w:pPr>
      <w:spacing w:after="60"/>
      <w:jc w:val="center"/>
    </w:pPr>
    <w:rPr>
      <w:color w:val="000000"/>
      <w:sz w:val="20"/>
      <w:szCs w:val="20"/>
    </w:rPr>
  </w:style>
  <w:style w:type="paragraph" w:customStyle="1" w:styleId="AbstractHeading">
    <w:name w:val="Abstract Heading"/>
    <w:pPr>
      <w:spacing w:before="180" w:after="100"/>
    </w:pPr>
    <w:rPr>
      <w:b/>
      <w:bCs/>
      <w:i/>
      <w:iCs/>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6816</Words>
  <Characters>38855</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Bharath K</cp:lastModifiedBy>
  <cp:revision>2</cp:revision>
  <dcterms:created xsi:type="dcterms:W3CDTF">2025-11-17T16:35:00Z</dcterms:created>
  <dcterms:modified xsi:type="dcterms:W3CDTF">2025-11-17T16:35:00Z</dcterms:modified>
</cp:coreProperties>
</file>