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4359553"/>
        <w:docPartObj>
          <w:docPartGallery w:val="Cover Pages"/>
          <w:docPartUnique/>
        </w:docPartObj>
      </w:sdtPr>
      <w:sdtContent>
        <w:p w:rsidR="00EA4BD9" w:rsidRDefault="00B30F27">
          <w:r>
            <w:t xml:space="preserve">                                                                                                                                                       </w:t>
          </w:r>
          <w:r w:rsidR="00956D80">
            <w:rPr>
              <w:noProof/>
              <w:color w:val="5B9BD5" w:themeColor="accent1"/>
              <w:sz w:val="28"/>
              <w:szCs w:val="28"/>
              <w:lang w:eastAsia="fr-FR"/>
            </w:rPr>
            <w:drawing>
              <wp:inline distT="0" distB="0" distL="0" distR="0" wp14:anchorId="25F493A1" wp14:editId="32D04827">
                <wp:extent cx="925033" cy="92503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w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9450" cy="929450"/>
                        </a:xfrm>
                        <a:prstGeom prst="rect">
                          <a:avLst/>
                        </a:prstGeom>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A4BD9">
            <w:tc>
              <w:tcPr>
                <w:tcW w:w="7672" w:type="dxa"/>
                <w:tcMar>
                  <w:top w:w="216" w:type="dxa"/>
                  <w:left w:w="115" w:type="dxa"/>
                  <w:bottom w:w="216" w:type="dxa"/>
                  <w:right w:w="115" w:type="dxa"/>
                </w:tcMar>
              </w:tcPr>
              <w:p w:rsidR="00EA4BD9" w:rsidRDefault="00956D80" w:rsidP="00EA4BD9">
                <w:pPr>
                  <w:pStyle w:val="NoSpacing"/>
                  <w:rPr>
                    <w:color w:val="2E74B5" w:themeColor="accent1" w:themeShade="BF"/>
                    <w:sz w:val="24"/>
                  </w:rPr>
                </w:pPr>
                <w:r>
                  <w:rPr>
                    <w:noProof/>
                    <w:color w:val="2E74B5" w:themeColor="accent1" w:themeShade="BF"/>
                    <w:sz w:val="24"/>
                    <w:lang w:val="fr-FR" w:eastAsia="fr-FR"/>
                  </w:rPr>
                  <mc:AlternateContent>
                    <mc:Choice Requires="wps">
                      <w:drawing>
                        <wp:anchor distT="0" distB="0" distL="114300" distR="114300" simplePos="0" relativeHeight="251659264" behindDoc="0" locked="0" layoutInCell="1" allowOverlap="1" wp14:anchorId="7B6CD0A3" wp14:editId="188D0091">
                          <wp:simplePos x="0" y="0"/>
                          <wp:positionH relativeFrom="column">
                            <wp:posOffset>-53384</wp:posOffset>
                          </wp:positionH>
                          <wp:positionV relativeFrom="paragraph">
                            <wp:posOffset>281482</wp:posOffset>
                          </wp:positionV>
                          <wp:extent cx="3625702" cy="584791"/>
                          <wp:effectExtent l="0" t="0" r="13335" b="25400"/>
                          <wp:wrapNone/>
                          <wp:docPr id="1" name="Rectangle 1"/>
                          <wp:cNvGraphicFramePr/>
                          <a:graphic xmlns:a="http://schemas.openxmlformats.org/drawingml/2006/main">
                            <a:graphicData uri="http://schemas.microsoft.com/office/word/2010/wordprocessingShape">
                              <wps:wsp>
                                <wps:cNvSpPr/>
                                <wps:spPr>
                                  <a:xfrm>
                                    <a:off x="0" y="0"/>
                                    <a:ext cx="3625702" cy="58479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82F5C" id="Rectangle 1" o:spid="_x0000_s1026" style="position:absolute;margin-left:-4.2pt;margin-top:22.15pt;width:285.5pt;height:4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" filled="f" strokecolor="black [3213]" strokeweight="1.5pt"/>
                      </w:pict>
                    </mc:Fallback>
                  </mc:AlternateContent>
                </w:r>
              </w:p>
            </w:tc>
          </w:tr>
          <w:tr w:rsidR="00EA4BD9">
            <w:tc>
              <w:tcPr>
                <w:tcW w:w="7672" w:type="dxa"/>
              </w:tcPr>
              <w:sdt>
                <w:sdtPr>
                  <w:rPr>
                    <w:rFonts w:ascii="Algerian" w:eastAsiaTheme="majorEastAsia" w:hAnsi="Algerian" w:cstheme="majorBidi"/>
                    <w:color w:val="5B9BD5" w:themeColor="accent1"/>
                    <w:sz w:val="56"/>
                    <w:szCs w:val="56"/>
                  </w:rPr>
                  <w:alias w:val="Title"/>
                  <w:id w:val="13406919"/>
                  <w:placeholder>
                    <w:docPart w:val="F246F5C783B74AE9B742F47BD0D36FC8"/>
                  </w:placeholder>
                  <w:dataBinding w:prefixMappings="xmlns:ns0='http://schemas.openxmlformats.org/package/2006/metadata/core-properties' xmlns:ns1='http://purl.org/dc/elements/1.1/'" w:xpath="/ns0:coreProperties[1]/ns1:title[1]" w:storeItemID="{6C3C8BC8-F283-45AE-878A-BAB7291924A1}"/>
                  <w:text/>
                </w:sdtPr>
                <w:sdtContent>
                  <w:p w:rsidR="00EA4BD9" w:rsidRPr="00956D80" w:rsidRDefault="00EA4BD9" w:rsidP="00EA4BD9">
                    <w:pPr>
                      <w:pStyle w:val="NoSpacing"/>
                      <w:spacing w:line="216" w:lineRule="auto"/>
                      <w:rPr>
                        <w:rFonts w:ascii="Algerian" w:eastAsiaTheme="majorEastAsia" w:hAnsi="Algerian" w:cstheme="majorBidi"/>
                        <w:color w:val="5B9BD5" w:themeColor="accent1"/>
                        <w:sz w:val="56"/>
                        <w:szCs w:val="56"/>
                      </w:rPr>
                    </w:pPr>
                    <w:r w:rsidRPr="00956D80">
                      <w:rPr>
                        <w:rFonts w:ascii="Algerian" w:eastAsiaTheme="majorEastAsia" w:hAnsi="Algerian" w:cstheme="majorBidi"/>
                        <w:color w:val="5B9BD5" w:themeColor="accent1"/>
                        <w:sz w:val="56"/>
                        <w:szCs w:val="56"/>
                      </w:rPr>
                      <w:t xml:space="preserve">Rapport de Stage </w:t>
                    </w:r>
                  </w:p>
                </w:sdtContent>
              </w:sdt>
            </w:tc>
          </w:tr>
          <w:tr w:rsidR="00EA4BD9">
            <w:sdt>
              <w:sdtPr>
                <w:rPr>
                  <w:color w:val="2E74B5" w:themeColor="accent1" w:themeShade="BF"/>
                  <w:sz w:val="24"/>
                  <w:szCs w:val="24"/>
                  <w:lang w:val="fr-FR"/>
                </w:rPr>
                <w:alias w:val="Subtitle"/>
                <w:id w:val="13406923"/>
                <w:placeholder>
                  <w:docPart w:val="87273DDCA8E5433782CCF54C4509BB8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A4BD9" w:rsidRDefault="00EA4BD9" w:rsidP="00EA4BD9">
                    <w:pPr>
                      <w:pStyle w:val="NoSpacing"/>
                      <w:rPr>
                        <w:color w:val="2E74B5" w:themeColor="accent1" w:themeShade="BF"/>
                        <w:sz w:val="24"/>
                      </w:rPr>
                    </w:pPr>
                    <w:r w:rsidRPr="00EA4BD9">
                      <w:rPr>
                        <w:color w:val="2E74B5" w:themeColor="accent1" w:themeShade="BF"/>
                        <w:sz w:val="24"/>
                        <w:szCs w:val="24"/>
                        <w:lang w:val="fr-FR"/>
                      </w:rPr>
                      <w:t>Soutenu le 16 janvier 2023</w:t>
                    </w:r>
                  </w:p>
                </w:tc>
              </w:sdtContent>
            </w:sdt>
          </w:tr>
        </w:tbl>
        <w:tbl>
          <w:tblPr>
            <w:tblpPr w:leftFromText="187" w:rightFromText="187" w:horzAnchor="margin" w:tblpXSpec="center" w:tblpYSpec="bottom"/>
            <w:tblW w:w="4301" w:type="pct"/>
            <w:tblLook w:val="04A0" w:firstRow="1" w:lastRow="0" w:firstColumn="1" w:lastColumn="0" w:noHBand="0" w:noVBand="1"/>
          </w:tblPr>
          <w:tblGrid>
            <w:gridCol w:w="7804"/>
          </w:tblGrid>
          <w:tr w:rsidR="00EA4BD9" w:rsidTr="00956D80">
            <w:trPr>
              <w:trHeight w:val="1017"/>
            </w:trPr>
            <w:tc>
              <w:tcPr>
                <w:tcW w:w="7803" w:type="dxa"/>
                <w:tcMar>
                  <w:top w:w="216" w:type="dxa"/>
                  <w:left w:w="115" w:type="dxa"/>
                  <w:bottom w:w="216" w:type="dxa"/>
                  <w:right w:w="115" w:type="dxa"/>
                </w:tcMar>
              </w:tcPr>
              <w:sdt>
                <w:sdtPr>
                  <w:rPr>
                    <w:color w:val="5B9BD5" w:themeColor="accent1"/>
                    <w:sz w:val="28"/>
                    <w:szCs w:val="28"/>
                  </w:rPr>
                  <w:alias w:val="Author"/>
                  <w:id w:val="13406928"/>
                  <w:placeholder>
                    <w:docPart w:val="E308F31509B147EDBC537EC3EE753556"/>
                  </w:placeholder>
                  <w:dataBinding w:prefixMappings="xmlns:ns0='http://schemas.openxmlformats.org/package/2006/metadata/core-properties' xmlns:ns1='http://purl.org/dc/elements/1.1/'" w:xpath="/ns0:coreProperties[1]/ns1:creator[1]" w:storeItemID="{6C3C8BC8-F283-45AE-878A-BAB7291924A1}"/>
                  <w:text/>
                </w:sdtPr>
                <w:sdtContent>
                  <w:p w:rsidR="00EA4BD9" w:rsidRDefault="00956D80">
                    <w:pPr>
                      <w:pStyle w:val="NoSpacing"/>
                      <w:rPr>
                        <w:color w:val="5B9BD5" w:themeColor="accent1"/>
                        <w:sz w:val="28"/>
                        <w:szCs w:val="28"/>
                      </w:rPr>
                    </w:pPr>
                    <w:r>
                      <w:rPr>
                        <w:color w:val="5B9BD5" w:themeColor="accent1"/>
                        <w:sz w:val="28"/>
                        <w:szCs w:val="28"/>
                        <w:lang w:val="fr-FR"/>
                      </w:rPr>
                      <w:t xml:space="preserve">Jury : Monsieur le président du jury   </w:t>
                    </w:r>
                  </w:p>
                </w:sdtContent>
              </w:sdt>
              <w:p w:rsidR="00956D80" w:rsidRPr="00956D80" w:rsidRDefault="00956D80">
                <w:pPr>
                  <w:pStyle w:val="NoSpacing"/>
                  <w:rPr>
                    <w:color w:val="5B9BD5" w:themeColor="accent1"/>
                    <w:sz w:val="28"/>
                    <w:szCs w:val="28"/>
                    <w:lang w:val="fr-FR"/>
                  </w:rPr>
                </w:pPr>
                <w:r w:rsidRPr="00956D80">
                  <w:rPr>
                    <w:color w:val="5B9BD5" w:themeColor="accent1"/>
                    <w:sz w:val="28"/>
                    <w:szCs w:val="28"/>
                    <w:lang w:val="fr-FR"/>
                  </w:rPr>
                  <w:t xml:space="preserve">          </w:t>
                </w:r>
                <w:r>
                  <w:rPr>
                    <w:color w:val="5B9BD5" w:themeColor="accent1"/>
                    <w:sz w:val="28"/>
                    <w:szCs w:val="28"/>
                    <w:lang w:val="fr-FR"/>
                  </w:rPr>
                  <w:t xml:space="preserve"> </w:t>
                </w:r>
                <w:r w:rsidRPr="00956D80">
                  <w:rPr>
                    <w:color w:val="5B9BD5" w:themeColor="accent1"/>
                    <w:sz w:val="28"/>
                    <w:szCs w:val="28"/>
                    <w:lang w:val="fr-FR"/>
                  </w:rPr>
                  <w:t xml:space="preserve">Monsieur le vice-président </w:t>
                </w:r>
              </w:p>
              <w:p w:rsidR="00956D80" w:rsidRPr="00EA4BD9" w:rsidRDefault="00956D80">
                <w:pPr>
                  <w:pStyle w:val="NoSpacing"/>
                  <w:rPr>
                    <w:color w:val="5B9BD5" w:themeColor="accent1"/>
                    <w:sz w:val="28"/>
                    <w:szCs w:val="28"/>
                    <w:lang w:val="fr-FR"/>
                  </w:rPr>
                </w:pPr>
                <w:r w:rsidRPr="00956D80">
                  <w:rPr>
                    <w:color w:val="5B9BD5" w:themeColor="accent1"/>
                    <w:sz w:val="28"/>
                    <w:szCs w:val="28"/>
                    <w:lang w:val="fr-FR"/>
                  </w:rPr>
                  <w:t xml:space="preserve">          </w:t>
                </w:r>
                <w:r>
                  <w:rPr>
                    <w:color w:val="5B9BD5" w:themeColor="accent1"/>
                    <w:sz w:val="28"/>
                    <w:szCs w:val="28"/>
                    <w:lang w:val="fr-FR"/>
                  </w:rPr>
                  <w:t xml:space="preserve"> </w:t>
                </w:r>
                <w:r w:rsidRPr="00956D80">
                  <w:rPr>
                    <w:color w:val="5B9BD5" w:themeColor="accent1"/>
                    <w:sz w:val="28"/>
                    <w:szCs w:val="28"/>
                    <w:lang w:val="fr-FR"/>
                  </w:rPr>
                  <w:t>Monsieur le vice-</w:t>
                </w:r>
                <w:r>
                  <w:rPr>
                    <w:color w:val="5B9BD5" w:themeColor="accent1"/>
                    <w:sz w:val="28"/>
                    <w:szCs w:val="28"/>
                    <w:lang w:val="fr-FR"/>
                  </w:rPr>
                  <w:t xml:space="preserve">vice </w:t>
                </w:r>
                <w:r w:rsidRPr="00956D80">
                  <w:rPr>
                    <w:color w:val="5B9BD5" w:themeColor="accent1"/>
                    <w:sz w:val="28"/>
                    <w:szCs w:val="28"/>
                    <w:lang w:val="fr-FR"/>
                  </w:rPr>
                  <w:t xml:space="preserve">président  </w:t>
                </w:r>
              </w:p>
              <w:p w:rsidR="00EA4BD9" w:rsidRPr="00EA4BD9" w:rsidRDefault="00EA4BD9" w:rsidP="00956D80">
                <w:pPr>
                  <w:pStyle w:val="NoSpacing"/>
                  <w:rPr>
                    <w:color w:val="5B9BD5" w:themeColor="accent1"/>
                    <w:lang w:val="fr-FR"/>
                  </w:rPr>
                </w:pPr>
              </w:p>
            </w:tc>
          </w:tr>
        </w:tbl>
        <w:p w:rsidR="002E4DBA" w:rsidRDefault="00EA4BD9">
          <w:r>
            <w:br w:type="page"/>
          </w:r>
          <w:r w:rsidR="002E4DBA">
            <w:lastRenderedPageBreak/>
            <w:t xml:space="preserve"> </w:t>
          </w:r>
        </w:p>
        <w:p w:rsidR="00393B0B" w:rsidRDefault="00393B0B"/>
        <w:p w:rsidR="00393B0B" w:rsidRDefault="00393B0B"/>
        <w:p w:rsidR="00393B0B" w:rsidRDefault="00393B0B"/>
        <w:p w:rsidR="00393B0B" w:rsidRDefault="00393B0B"/>
        <w:p w:rsidR="00393B0B" w:rsidRDefault="00393B0B"/>
        <w:p w:rsidR="00393B0B" w:rsidRDefault="00393B0B">
          <w:bookmarkStart w:id="0" w:name="_GoBack"/>
          <w:bookmarkEnd w:id="0"/>
        </w:p>
        <w:p w:rsidR="00393B0B" w:rsidRDefault="00393B0B"/>
        <w:p w:rsidR="00393B0B" w:rsidRDefault="00393B0B"/>
        <w:sdt>
          <w:sdtPr>
            <w:id w:val="-1714335570"/>
            <w:docPartObj>
              <w:docPartGallery w:val="Table of Contents"/>
              <w:docPartUnique/>
            </w:docPartObj>
          </w:sdtPr>
          <w:sdtEndPr>
            <w:rPr>
              <w:rFonts w:ascii="Arial" w:eastAsiaTheme="minorHAnsi" w:hAnsi="Arial" w:cstheme="minorBidi"/>
              <w:b/>
              <w:bCs/>
              <w:noProof/>
              <w:color w:val="auto"/>
              <w:sz w:val="22"/>
              <w:szCs w:val="22"/>
              <w:lang w:val="fr-FR"/>
            </w:rPr>
          </w:sdtEndPr>
          <w:sdtContent>
            <w:p w:rsidR="005548C3" w:rsidRPr="005548C3" w:rsidRDefault="005548C3">
              <w:pPr>
                <w:pStyle w:val="TOCHeading"/>
                <w:rPr>
                  <w:b/>
                  <w:sz w:val="72"/>
                  <w:szCs w:val="72"/>
                  <w:u w:val="single"/>
                </w:rPr>
              </w:pPr>
              <w:r w:rsidRPr="005548C3">
                <w:rPr>
                  <w:b/>
                  <w:sz w:val="72"/>
                  <w:szCs w:val="72"/>
                  <w:u w:val="single"/>
                </w:rPr>
                <w:t>Table of Contents</w:t>
              </w:r>
            </w:p>
            <w:p w:rsidR="005548C3" w:rsidRDefault="005548C3">
              <w:pPr>
                <w:pStyle w:val="TOC1"/>
                <w:tabs>
                  <w:tab w:val="left" w:pos="440"/>
                  <w:tab w:val="right" w:leader="dot" w:pos="9062"/>
                </w:tabs>
                <w:rPr>
                  <w:rFonts w:asciiTheme="minorHAnsi" w:eastAsiaTheme="minorEastAsia" w:hAnsiTheme="minorHAnsi"/>
                  <w:noProof/>
                  <w:lang w:eastAsia="fr-FR"/>
                </w:rPr>
              </w:pPr>
              <w:r>
                <w:fldChar w:fldCharType="begin"/>
              </w:r>
              <w:r>
                <w:instrText xml:space="preserve"> TOC \o "1-6" \h \z \u </w:instrText>
              </w:r>
              <w:r>
                <w:fldChar w:fldCharType="separate"/>
              </w:r>
              <w:hyperlink w:anchor="_Toc124762867" w:history="1">
                <w:r w:rsidRPr="007D1F7B">
                  <w:rPr>
                    <w:rStyle w:val="Hyperlink"/>
                    <w:noProof/>
                  </w:rPr>
                  <w:t>1</w:t>
                </w:r>
                <w:r>
                  <w:rPr>
                    <w:rFonts w:asciiTheme="minorHAnsi" w:eastAsiaTheme="minorEastAsia" w:hAnsiTheme="minorHAnsi"/>
                    <w:noProof/>
                    <w:lang w:eastAsia="fr-FR"/>
                  </w:rPr>
                  <w:tab/>
                </w:r>
                <w:r w:rsidRPr="007D1F7B">
                  <w:rPr>
                    <w:rStyle w:val="Hyperlink"/>
                    <w:noProof/>
                  </w:rPr>
                  <w:t>PRÉAMBULE</w:t>
                </w:r>
                <w:r>
                  <w:rPr>
                    <w:noProof/>
                    <w:webHidden/>
                  </w:rPr>
                  <w:tab/>
                </w:r>
                <w:r>
                  <w:rPr>
                    <w:noProof/>
                    <w:webHidden/>
                  </w:rPr>
                  <w:fldChar w:fldCharType="begin"/>
                </w:r>
                <w:r>
                  <w:rPr>
                    <w:noProof/>
                    <w:webHidden/>
                  </w:rPr>
                  <w:instrText xml:space="preserve"> PAGEREF _Toc124762867 \h </w:instrText>
                </w:r>
                <w:r>
                  <w:rPr>
                    <w:noProof/>
                    <w:webHidden/>
                  </w:rPr>
                </w:r>
                <w:r>
                  <w:rPr>
                    <w:noProof/>
                    <w:webHidden/>
                  </w:rPr>
                  <w:fldChar w:fldCharType="separate"/>
                </w:r>
                <w:r>
                  <w:rPr>
                    <w:noProof/>
                    <w:webHidden/>
                  </w:rPr>
                  <w:t>3</w:t>
                </w:r>
                <w:r>
                  <w:rPr>
                    <w:noProof/>
                    <w:webHidden/>
                  </w:rPr>
                  <w:fldChar w:fldCharType="end"/>
                </w:r>
              </w:hyperlink>
            </w:p>
            <w:p w:rsidR="005548C3" w:rsidRDefault="005548C3">
              <w:pPr>
                <w:pStyle w:val="TOC1"/>
                <w:tabs>
                  <w:tab w:val="left" w:pos="440"/>
                  <w:tab w:val="right" w:leader="dot" w:pos="9062"/>
                </w:tabs>
                <w:rPr>
                  <w:rFonts w:asciiTheme="minorHAnsi" w:eastAsiaTheme="minorEastAsia" w:hAnsiTheme="minorHAnsi"/>
                  <w:noProof/>
                  <w:lang w:eastAsia="fr-FR"/>
                </w:rPr>
              </w:pPr>
              <w:hyperlink w:anchor="_Toc124762868" w:history="1">
                <w:r w:rsidRPr="007D1F7B">
                  <w:rPr>
                    <w:rStyle w:val="Hyperlink"/>
                    <w:noProof/>
                  </w:rPr>
                  <w:t>2</w:t>
                </w:r>
                <w:r>
                  <w:rPr>
                    <w:rFonts w:asciiTheme="minorHAnsi" w:eastAsiaTheme="minorEastAsia" w:hAnsiTheme="minorHAnsi"/>
                    <w:noProof/>
                    <w:lang w:eastAsia="fr-FR"/>
                  </w:rPr>
                  <w:tab/>
                </w:r>
                <w:r w:rsidRPr="007D1F7B">
                  <w:rPr>
                    <w:rStyle w:val="Hyperlink"/>
                    <w:noProof/>
                  </w:rPr>
                  <w:t>SERVICES OFFERTS - INSTRUMENTS TRAITÉS</w:t>
                </w:r>
                <w:r>
                  <w:rPr>
                    <w:noProof/>
                    <w:webHidden/>
                  </w:rPr>
                  <w:tab/>
                </w:r>
                <w:r>
                  <w:rPr>
                    <w:noProof/>
                    <w:webHidden/>
                  </w:rPr>
                  <w:fldChar w:fldCharType="begin"/>
                </w:r>
                <w:r>
                  <w:rPr>
                    <w:noProof/>
                    <w:webHidden/>
                  </w:rPr>
                  <w:instrText xml:space="preserve"> PAGEREF _Toc124762868 \h </w:instrText>
                </w:r>
                <w:r>
                  <w:rPr>
                    <w:noProof/>
                    <w:webHidden/>
                  </w:rPr>
                </w:r>
                <w:r>
                  <w:rPr>
                    <w:noProof/>
                    <w:webHidden/>
                  </w:rPr>
                  <w:fldChar w:fldCharType="separate"/>
                </w:r>
                <w:r>
                  <w:rPr>
                    <w:noProof/>
                    <w:webHidden/>
                  </w:rPr>
                  <w:t>3</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69" w:history="1">
                <w:r w:rsidRPr="007D1F7B">
                  <w:rPr>
                    <w:rStyle w:val="Hyperlink"/>
                    <w:noProof/>
                  </w:rPr>
                  <w:t>2.1</w:t>
                </w:r>
                <w:r>
                  <w:rPr>
                    <w:rFonts w:asciiTheme="minorHAnsi" w:eastAsiaTheme="minorEastAsia" w:hAnsiTheme="minorHAnsi"/>
                    <w:noProof/>
                    <w:lang w:eastAsia="fr-FR"/>
                  </w:rPr>
                  <w:tab/>
                </w:r>
                <w:r w:rsidRPr="007D1F7B">
                  <w:rPr>
                    <w:rStyle w:val="Hyperlink"/>
                    <w:noProof/>
                  </w:rPr>
                  <w:t>Services offerts</w:t>
                </w:r>
                <w:r>
                  <w:rPr>
                    <w:noProof/>
                    <w:webHidden/>
                  </w:rPr>
                  <w:tab/>
                </w:r>
                <w:r>
                  <w:rPr>
                    <w:noProof/>
                    <w:webHidden/>
                  </w:rPr>
                  <w:fldChar w:fldCharType="begin"/>
                </w:r>
                <w:r>
                  <w:rPr>
                    <w:noProof/>
                    <w:webHidden/>
                  </w:rPr>
                  <w:instrText xml:space="preserve"> PAGEREF _Toc124762869 \h </w:instrText>
                </w:r>
                <w:r>
                  <w:rPr>
                    <w:noProof/>
                    <w:webHidden/>
                  </w:rPr>
                </w:r>
                <w:r>
                  <w:rPr>
                    <w:noProof/>
                    <w:webHidden/>
                  </w:rPr>
                  <w:fldChar w:fldCharType="separate"/>
                </w:r>
                <w:r>
                  <w:rPr>
                    <w:noProof/>
                    <w:webHidden/>
                  </w:rPr>
                  <w:t>3</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70" w:history="1">
                <w:r w:rsidRPr="007D1F7B">
                  <w:rPr>
                    <w:rStyle w:val="Hyperlink"/>
                    <w:noProof/>
                  </w:rPr>
                  <w:t>2.2</w:t>
                </w:r>
                <w:r>
                  <w:rPr>
                    <w:rFonts w:asciiTheme="minorHAnsi" w:eastAsiaTheme="minorEastAsia" w:hAnsiTheme="minorHAnsi"/>
                    <w:noProof/>
                    <w:lang w:eastAsia="fr-FR"/>
                  </w:rPr>
                  <w:tab/>
                </w:r>
                <w:r w:rsidRPr="007D1F7B">
                  <w:rPr>
                    <w:rStyle w:val="Hyperlink"/>
                    <w:noProof/>
                  </w:rPr>
                  <w:t>Instruments traités</w:t>
                </w:r>
                <w:r>
                  <w:rPr>
                    <w:noProof/>
                    <w:webHidden/>
                  </w:rPr>
                  <w:tab/>
                </w:r>
                <w:r>
                  <w:rPr>
                    <w:noProof/>
                    <w:webHidden/>
                  </w:rPr>
                  <w:fldChar w:fldCharType="begin"/>
                </w:r>
                <w:r>
                  <w:rPr>
                    <w:noProof/>
                    <w:webHidden/>
                  </w:rPr>
                  <w:instrText xml:space="preserve"> PAGEREF _Toc124762870 \h </w:instrText>
                </w:r>
                <w:r>
                  <w:rPr>
                    <w:noProof/>
                    <w:webHidden/>
                  </w:rPr>
                </w:r>
                <w:r>
                  <w:rPr>
                    <w:noProof/>
                    <w:webHidden/>
                  </w:rPr>
                  <w:fldChar w:fldCharType="separate"/>
                </w:r>
                <w:r>
                  <w:rPr>
                    <w:noProof/>
                    <w:webHidden/>
                  </w:rPr>
                  <w:t>3</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71" w:history="1">
                <w:r w:rsidRPr="007D1F7B">
                  <w:rPr>
                    <w:rStyle w:val="Hyperlink"/>
                    <w:noProof/>
                  </w:rPr>
                  <w:t>2.3</w:t>
                </w:r>
                <w:r>
                  <w:rPr>
                    <w:rFonts w:asciiTheme="minorHAnsi" w:eastAsiaTheme="minorEastAsia" w:hAnsiTheme="minorHAnsi"/>
                    <w:noProof/>
                    <w:lang w:eastAsia="fr-FR"/>
                  </w:rPr>
                  <w:tab/>
                </w:r>
                <w:r w:rsidRPr="007D1F7B">
                  <w:rPr>
                    <w:rStyle w:val="Hyperlink"/>
                    <w:noProof/>
                  </w:rPr>
                  <w:t>Marchés</w:t>
                </w:r>
                <w:r>
                  <w:rPr>
                    <w:noProof/>
                    <w:webHidden/>
                  </w:rPr>
                  <w:tab/>
                </w:r>
                <w:r>
                  <w:rPr>
                    <w:noProof/>
                    <w:webHidden/>
                  </w:rPr>
                  <w:fldChar w:fldCharType="begin"/>
                </w:r>
                <w:r>
                  <w:rPr>
                    <w:noProof/>
                    <w:webHidden/>
                  </w:rPr>
                  <w:instrText xml:space="preserve"> PAGEREF _Toc124762871 \h </w:instrText>
                </w:r>
                <w:r>
                  <w:rPr>
                    <w:noProof/>
                    <w:webHidden/>
                  </w:rPr>
                </w:r>
                <w:r>
                  <w:rPr>
                    <w:noProof/>
                    <w:webHidden/>
                  </w:rPr>
                  <w:fldChar w:fldCharType="separate"/>
                </w:r>
                <w:r>
                  <w:rPr>
                    <w:noProof/>
                    <w:webHidden/>
                  </w:rPr>
                  <w:t>4</w:t>
                </w:r>
                <w:r>
                  <w:rPr>
                    <w:noProof/>
                    <w:webHidden/>
                  </w:rPr>
                  <w:fldChar w:fldCharType="end"/>
                </w:r>
              </w:hyperlink>
            </w:p>
            <w:p w:rsidR="005548C3" w:rsidRDefault="005548C3">
              <w:pPr>
                <w:pStyle w:val="TOC1"/>
                <w:tabs>
                  <w:tab w:val="left" w:pos="440"/>
                  <w:tab w:val="right" w:leader="dot" w:pos="9062"/>
                </w:tabs>
                <w:rPr>
                  <w:rFonts w:asciiTheme="minorHAnsi" w:eastAsiaTheme="minorEastAsia" w:hAnsiTheme="minorHAnsi"/>
                  <w:noProof/>
                  <w:lang w:eastAsia="fr-FR"/>
                </w:rPr>
              </w:pPr>
              <w:hyperlink w:anchor="_Toc124762872" w:history="1">
                <w:r w:rsidRPr="007D1F7B">
                  <w:rPr>
                    <w:rStyle w:val="Hyperlink"/>
                    <w:noProof/>
                  </w:rPr>
                  <w:t>3</w:t>
                </w:r>
                <w:r>
                  <w:rPr>
                    <w:rFonts w:asciiTheme="minorHAnsi" w:eastAsiaTheme="minorEastAsia" w:hAnsiTheme="minorHAnsi"/>
                    <w:noProof/>
                    <w:lang w:eastAsia="fr-FR"/>
                  </w:rPr>
                  <w:tab/>
                </w:r>
                <w:r w:rsidRPr="007D1F7B">
                  <w:rPr>
                    <w:rStyle w:val="Hyperlink"/>
                    <w:noProof/>
                  </w:rPr>
                  <w:t>DÉCLARATIONS ET AVERTISSEMENTS</w:t>
                </w:r>
                <w:r>
                  <w:rPr>
                    <w:noProof/>
                    <w:webHidden/>
                  </w:rPr>
                  <w:tab/>
                </w:r>
                <w:r>
                  <w:rPr>
                    <w:noProof/>
                    <w:webHidden/>
                  </w:rPr>
                  <w:fldChar w:fldCharType="begin"/>
                </w:r>
                <w:r>
                  <w:rPr>
                    <w:noProof/>
                    <w:webHidden/>
                  </w:rPr>
                  <w:instrText xml:space="preserve"> PAGEREF _Toc124762872 \h </w:instrText>
                </w:r>
                <w:r>
                  <w:rPr>
                    <w:noProof/>
                    <w:webHidden/>
                  </w:rPr>
                </w:r>
                <w:r>
                  <w:rPr>
                    <w:noProof/>
                    <w:webHidden/>
                  </w:rPr>
                  <w:fldChar w:fldCharType="separate"/>
                </w:r>
                <w:r>
                  <w:rPr>
                    <w:noProof/>
                    <w:webHidden/>
                  </w:rPr>
                  <w:t>4</w:t>
                </w:r>
                <w:r>
                  <w:rPr>
                    <w:noProof/>
                    <w:webHidden/>
                  </w:rPr>
                  <w:fldChar w:fldCharType="end"/>
                </w:r>
              </w:hyperlink>
            </w:p>
            <w:p w:rsidR="005548C3" w:rsidRDefault="005548C3">
              <w:pPr>
                <w:pStyle w:val="TOC1"/>
                <w:tabs>
                  <w:tab w:val="left" w:pos="440"/>
                  <w:tab w:val="right" w:leader="dot" w:pos="9062"/>
                </w:tabs>
                <w:rPr>
                  <w:rFonts w:asciiTheme="minorHAnsi" w:eastAsiaTheme="minorEastAsia" w:hAnsiTheme="minorHAnsi"/>
                  <w:noProof/>
                  <w:lang w:eastAsia="fr-FR"/>
                </w:rPr>
              </w:pPr>
              <w:hyperlink w:anchor="_Toc124762873" w:history="1">
                <w:r w:rsidRPr="007D1F7B">
                  <w:rPr>
                    <w:rStyle w:val="Hyperlink"/>
                    <w:noProof/>
                  </w:rPr>
                  <w:t>4</w:t>
                </w:r>
                <w:r>
                  <w:rPr>
                    <w:rFonts w:asciiTheme="minorHAnsi" w:eastAsiaTheme="minorEastAsia" w:hAnsiTheme="minorHAnsi"/>
                    <w:noProof/>
                    <w:lang w:eastAsia="fr-FR"/>
                  </w:rPr>
                  <w:tab/>
                </w:r>
                <w:r w:rsidRPr="007D1F7B">
                  <w:rPr>
                    <w:rStyle w:val="Hyperlink"/>
                    <w:noProof/>
                  </w:rPr>
                  <w:t>L'OUVERTURE D'UN COMPTE</w:t>
                </w:r>
                <w:r>
                  <w:rPr>
                    <w:noProof/>
                    <w:webHidden/>
                  </w:rPr>
                  <w:tab/>
                </w:r>
                <w:r>
                  <w:rPr>
                    <w:noProof/>
                    <w:webHidden/>
                  </w:rPr>
                  <w:fldChar w:fldCharType="begin"/>
                </w:r>
                <w:r>
                  <w:rPr>
                    <w:noProof/>
                    <w:webHidden/>
                  </w:rPr>
                  <w:instrText xml:space="preserve"> PAGEREF _Toc124762873 \h </w:instrText>
                </w:r>
                <w:r>
                  <w:rPr>
                    <w:noProof/>
                    <w:webHidden/>
                  </w:rPr>
                </w:r>
                <w:r>
                  <w:rPr>
                    <w:noProof/>
                    <w:webHidden/>
                  </w:rPr>
                  <w:fldChar w:fldCharType="separate"/>
                </w:r>
                <w:r>
                  <w:rPr>
                    <w:noProof/>
                    <w:webHidden/>
                  </w:rPr>
                  <w:t>5</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74" w:history="1">
                <w:r w:rsidRPr="007D1F7B">
                  <w:rPr>
                    <w:rStyle w:val="Hyperlink"/>
                    <w:noProof/>
                  </w:rPr>
                  <w:t>4.1</w:t>
                </w:r>
                <w:r>
                  <w:rPr>
                    <w:rFonts w:asciiTheme="minorHAnsi" w:eastAsiaTheme="minorEastAsia" w:hAnsiTheme="minorHAnsi"/>
                    <w:noProof/>
                    <w:lang w:eastAsia="fr-FR"/>
                  </w:rPr>
                  <w:tab/>
                </w:r>
                <w:r w:rsidRPr="007D1F7B">
                  <w:rPr>
                    <w:rStyle w:val="Hyperlink"/>
                    <w:noProof/>
                  </w:rPr>
                  <w:t>Choix du type de compte</w:t>
                </w:r>
                <w:r>
                  <w:rPr>
                    <w:noProof/>
                    <w:webHidden/>
                  </w:rPr>
                  <w:tab/>
                </w:r>
                <w:r>
                  <w:rPr>
                    <w:noProof/>
                    <w:webHidden/>
                  </w:rPr>
                  <w:fldChar w:fldCharType="begin"/>
                </w:r>
                <w:r>
                  <w:rPr>
                    <w:noProof/>
                    <w:webHidden/>
                  </w:rPr>
                  <w:instrText xml:space="preserve"> PAGEREF _Toc124762874 \h </w:instrText>
                </w:r>
                <w:r>
                  <w:rPr>
                    <w:noProof/>
                    <w:webHidden/>
                  </w:rPr>
                </w:r>
                <w:r>
                  <w:rPr>
                    <w:noProof/>
                    <w:webHidden/>
                  </w:rPr>
                  <w:fldChar w:fldCharType="separate"/>
                </w:r>
                <w:r>
                  <w:rPr>
                    <w:noProof/>
                    <w:webHidden/>
                  </w:rPr>
                  <w:t>5</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75" w:history="1">
                <w:r w:rsidRPr="007D1F7B">
                  <w:rPr>
                    <w:rStyle w:val="Hyperlink"/>
                    <w:noProof/>
                  </w:rPr>
                  <w:t>4.2</w:t>
                </w:r>
                <w:r>
                  <w:rPr>
                    <w:rFonts w:asciiTheme="minorHAnsi" w:eastAsiaTheme="minorEastAsia" w:hAnsiTheme="minorHAnsi"/>
                    <w:noProof/>
                    <w:lang w:eastAsia="fr-FR"/>
                  </w:rPr>
                  <w:tab/>
                </w:r>
                <w:r w:rsidRPr="007D1F7B">
                  <w:rPr>
                    <w:rStyle w:val="Hyperlink"/>
                    <w:noProof/>
                  </w:rPr>
                  <w:t>La procédure d'ouverture de compte</w:t>
                </w:r>
                <w:r>
                  <w:rPr>
                    <w:noProof/>
                    <w:webHidden/>
                  </w:rPr>
                  <w:tab/>
                </w:r>
                <w:r>
                  <w:rPr>
                    <w:noProof/>
                    <w:webHidden/>
                  </w:rPr>
                  <w:fldChar w:fldCharType="begin"/>
                </w:r>
                <w:r>
                  <w:rPr>
                    <w:noProof/>
                    <w:webHidden/>
                  </w:rPr>
                  <w:instrText xml:space="preserve"> PAGEREF _Toc124762875 \h </w:instrText>
                </w:r>
                <w:r>
                  <w:rPr>
                    <w:noProof/>
                    <w:webHidden/>
                  </w:rPr>
                </w:r>
                <w:r>
                  <w:rPr>
                    <w:noProof/>
                    <w:webHidden/>
                  </w:rPr>
                  <w:fldChar w:fldCharType="separate"/>
                </w:r>
                <w:r>
                  <w:rPr>
                    <w:noProof/>
                    <w:webHidden/>
                  </w:rPr>
                  <w:t>5</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76" w:history="1">
                <w:r w:rsidRPr="007D1F7B">
                  <w:rPr>
                    <w:rStyle w:val="Hyperlink"/>
                    <w:noProof/>
                  </w:rPr>
                  <w:t>4.3</w:t>
                </w:r>
                <w:r>
                  <w:rPr>
                    <w:rFonts w:asciiTheme="minorHAnsi" w:eastAsiaTheme="minorEastAsia" w:hAnsiTheme="minorHAnsi"/>
                    <w:noProof/>
                    <w:lang w:eastAsia="fr-FR"/>
                  </w:rPr>
                  <w:tab/>
                </w:r>
                <w:r w:rsidRPr="007D1F7B">
                  <w:rPr>
                    <w:rStyle w:val="Hyperlink"/>
                    <w:noProof/>
                  </w:rPr>
                  <w:t>Situation du Client</w:t>
                </w:r>
                <w:r>
                  <w:rPr>
                    <w:noProof/>
                    <w:webHidden/>
                  </w:rPr>
                  <w:tab/>
                </w:r>
                <w:r>
                  <w:rPr>
                    <w:noProof/>
                    <w:webHidden/>
                  </w:rPr>
                  <w:fldChar w:fldCharType="begin"/>
                </w:r>
                <w:r>
                  <w:rPr>
                    <w:noProof/>
                    <w:webHidden/>
                  </w:rPr>
                  <w:instrText xml:space="preserve"> PAGEREF _Toc124762876 \h </w:instrText>
                </w:r>
                <w:r>
                  <w:rPr>
                    <w:noProof/>
                    <w:webHidden/>
                  </w:rPr>
                </w:r>
                <w:r>
                  <w:rPr>
                    <w:noProof/>
                    <w:webHidden/>
                  </w:rPr>
                  <w:fldChar w:fldCharType="separate"/>
                </w:r>
                <w:r>
                  <w:rPr>
                    <w:noProof/>
                    <w:webHidden/>
                  </w:rPr>
                  <w:t>6</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77" w:history="1">
                <w:r w:rsidRPr="007D1F7B">
                  <w:rPr>
                    <w:rStyle w:val="Hyperlink"/>
                    <w:noProof/>
                  </w:rPr>
                  <w:t>4.4</w:t>
                </w:r>
                <w:r>
                  <w:rPr>
                    <w:rFonts w:asciiTheme="minorHAnsi" w:eastAsiaTheme="minorEastAsia" w:hAnsiTheme="minorHAnsi"/>
                    <w:noProof/>
                    <w:lang w:eastAsia="fr-FR"/>
                  </w:rPr>
                  <w:tab/>
                </w:r>
                <w:r w:rsidRPr="007D1F7B">
                  <w:rPr>
                    <w:rStyle w:val="Hyperlink"/>
                    <w:noProof/>
                  </w:rPr>
                  <w:t>Compte joint</w:t>
                </w:r>
                <w:r>
                  <w:rPr>
                    <w:noProof/>
                    <w:webHidden/>
                  </w:rPr>
                  <w:tab/>
                </w:r>
                <w:r>
                  <w:rPr>
                    <w:noProof/>
                    <w:webHidden/>
                  </w:rPr>
                  <w:fldChar w:fldCharType="begin"/>
                </w:r>
                <w:r>
                  <w:rPr>
                    <w:noProof/>
                    <w:webHidden/>
                  </w:rPr>
                  <w:instrText xml:space="preserve"> PAGEREF _Toc124762877 \h </w:instrText>
                </w:r>
                <w:r>
                  <w:rPr>
                    <w:noProof/>
                    <w:webHidden/>
                  </w:rPr>
                </w:r>
                <w:r>
                  <w:rPr>
                    <w:noProof/>
                    <w:webHidden/>
                  </w:rPr>
                  <w:fldChar w:fldCharType="separate"/>
                </w:r>
                <w:r>
                  <w:rPr>
                    <w:noProof/>
                    <w:webHidden/>
                  </w:rPr>
                  <w:t>7</w:t>
                </w:r>
                <w:r>
                  <w:rPr>
                    <w:noProof/>
                    <w:webHidden/>
                  </w:rPr>
                  <w:fldChar w:fldCharType="end"/>
                </w:r>
              </w:hyperlink>
            </w:p>
            <w:p w:rsidR="005548C3" w:rsidRDefault="005548C3">
              <w:pPr>
                <w:pStyle w:val="TOC1"/>
                <w:tabs>
                  <w:tab w:val="left" w:pos="440"/>
                  <w:tab w:val="right" w:leader="dot" w:pos="9062"/>
                </w:tabs>
                <w:rPr>
                  <w:rFonts w:asciiTheme="minorHAnsi" w:eastAsiaTheme="minorEastAsia" w:hAnsiTheme="minorHAnsi"/>
                  <w:noProof/>
                  <w:lang w:eastAsia="fr-FR"/>
                </w:rPr>
              </w:pPr>
              <w:hyperlink w:anchor="_Toc124762878" w:history="1">
                <w:r w:rsidRPr="007D1F7B">
                  <w:rPr>
                    <w:rStyle w:val="Hyperlink"/>
                    <w:noProof/>
                  </w:rPr>
                  <w:t>5</w:t>
                </w:r>
                <w:r>
                  <w:rPr>
                    <w:rFonts w:asciiTheme="minorHAnsi" w:eastAsiaTheme="minorEastAsia" w:hAnsiTheme="minorHAnsi"/>
                    <w:noProof/>
                    <w:lang w:eastAsia="fr-FR"/>
                  </w:rPr>
                  <w:tab/>
                </w:r>
                <w:r w:rsidRPr="007D1F7B">
                  <w:rPr>
                    <w:rStyle w:val="Hyperlink"/>
                    <w:noProof/>
                  </w:rPr>
                  <w:t>LA TENUE DE COMPTE</w:t>
                </w:r>
                <w:r>
                  <w:rPr>
                    <w:noProof/>
                    <w:webHidden/>
                  </w:rPr>
                  <w:tab/>
                </w:r>
                <w:r>
                  <w:rPr>
                    <w:noProof/>
                    <w:webHidden/>
                  </w:rPr>
                  <w:fldChar w:fldCharType="begin"/>
                </w:r>
                <w:r>
                  <w:rPr>
                    <w:noProof/>
                    <w:webHidden/>
                  </w:rPr>
                  <w:instrText xml:space="preserve"> PAGEREF _Toc124762878 \h </w:instrText>
                </w:r>
                <w:r>
                  <w:rPr>
                    <w:noProof/>
                    <w:webHidden/>
                  </w:rPr>
                </w:r>
                <w:r>
                  <w:rPr>
                    <w:noProof/>
                    <w:webHidden/>
                  </w:rPr>
                  <w:fldChar w:fldCharType="separate"/>
                </w:r>
                <w:r>
                  <w:rPr>
                    <w:noProof/>
                    <w:webHidden/>
                  </w:rPr>
                  <w:t>7</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79" w:history="1">
                <w:r w:rsidRPr="007D1F7B">
                  <w:rPr>
                    <w:rStyle w:val="Hyperlink"/>
                    <w:noProof/>
                  </w:rPr>
                  <w:t>5.1</w:t>
                </w:r>
                <w:r>
                  <w:rPr>
                    <w:rFonts w:asciiTheme="minorHAnsi" w:eastAsiaTheme="minorEastAsia" w:hAnsiTheme="minorHAnsi"/>
                    <w:noProof/>
                    <w:lang w:eastAsia="fr-FR"/>
                  </w:rPr>
                  <w:tab/>
                </w:r>
                <w:r w:rsidRPr="007D1F7B">
                  <w:rPr>
                    <w:rStyle w:val="Hyperlink"/>
                    <w:noProof/>
                  </w:rPr>
                  <w:t>Fonctionnement du compte</w:t>
                </w:r>
                <w:r>
                  <w:rPr>
                    <w:noProof/>
                    <w:webHidden/>
                  </w:rPr>
                  <w:tab/>
                </w:r>
                <w:r>
                  <w:rPr>
                    <w:noProof/>
                    <w:webHidden/>
                  </w:rPr>
                  <w:fldChar w:fldCharType="begin"/>
                </w:r>
                <w:r>
                  <w:rPr>
                    <w:noProof/>
                    <w:webHidden/>
                  </w:rPr>
                  <w:instrText xml:space="preserve"> PAGEREF _Toc124762879 \h </w:instrText>
                </w:r>
                <w:r>
                  <w:rPr>
                    <w:noProof/>
                    <w:webHidden/>
                  </w:rPr>
                </w:r>
                <w:r>
                  <w:rPr>
                    <w:noProof/>
                    <w:webHidden/>
                  </w:rPr>
                  <w:fldChar w:fldCharType="separate"/>
                </w:r>
                <w:r>
                  <w:rPr>
                    <w:noProof/>
                    <w:webHidden/>
                  </w:rPr>
                  <w:t>7</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80" w:history="1">
                <w:r w:rsidRPr="007D1F7B">
                  <w:rPr>
                    <w:rStyle w:val="Hyperlink"/>
                    <w:noProof/>
                  </w:rPr>
                  <w:t>5.2</w:t>
                </w:r>
                <w:r>
                  <w:rPr>
                    <w:rFonts w:asciiTheme="minorHAnsi" w:eastAsiaTheme="minorEastAsia" w:hAnsiTheme="minorHAnsi"/>
                    <w:noProof/>
                    <w:lang w:eastAsia="fr-FR"/>
                  </w:rPr>
                  <w:tab/>
                </w:r>
                <w:r w:rsidRPr="007D1F7B">
                  <w:rPr>
                    <w:rStyle w:val="Hyperlink"/>
                    <w:noProof/>
                  </w:rPr>
                  <w:t>L'alimentation du compte</w:t>
                </w:r>
                <w:r>
                  <w:rPr>
                    <w:noProof/>
                    <w:webHidden/>
                  </w:rPr>
                  <w:tab/>
                </w:r>
                <w:r>
                  <w:rPr>
                    <w:noProof/>
                    <w:webHidden/>
                  </w:rPr>
                  <w:fldChar w:fldCharType="begin"/>
                </w:r>
                <w:r>
                  <w:rPr>
                    <w:noProof/>
                    <w:webHidden/>
                  </w:rPr>
                  <w:instrText xml:space="preserve"> PAGEREF _Toc124762880 \h </w:instrText>
                </w:r>
                <w:r>
                  <w:rPr>
                    <w:noProof/>
                    <w:webHidden/>
                  </w:rPr>
                </w:r>
                <w:r>
                  <w:rPr>
                    <w:noProof/>
                    <w:webHidden/>
                  </w:rPr>
                  <w:fldChar w:fldCharType="separate"/>
                </w:r>
                <w:r>
                  <w:rPr>
                    <w:noProof/>
                    <w:webHidden/>
                  </w:rPr>
                  <w:t>7</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81" w:history="1">
                <w:r w:rsidRPr="007D1F7B">
                  <w:rPr>
                    <w:rStyle w:val="Hyperlink"/>
                    <w:noProof/>
                  </w:rPr>
                  <w:t>5.3</w:t>
                </w:r>
                <w:r>
                  <w:rPr>
                    <w:rFonts w:asciiTheme="minorHAnsi" w:eastAsiaTheme="minorEastAsia" w:hAnsiTheme="minorHAnsi"/>
                    <w:noProof/>
                    <w:lang w:eastAsia="fr-FR"/>
                  </w:rPr>
                  <w:tab/>
                </w:r>
                <w:r w:rsidRPr="007D1F7B">
                  <w:rPr>
                    <w:rStyle w:val="Hyperlink"/>
                    <w:noProof/>
                  </w:rPr>
                  <w:t>L'information du Client</w:t>
                </w:r>
                <w:r>
                  <w:rPr>
                    <w:noProof/>
                    <w:webHidden/>
                  </w:rPr>
                  <w:tab/>
                </w:r>
                <w:r>
                  <w:rPr>
                    <w:noProof/>
                    <w:webHidden/>
                  </w:rPr>
                  <w:fldChar w:fldCharType="begin"/>
                </w:r>
                <w:r>
                  <w:rPr>
                    <w:noProof/>
                    <w:webHidden/>
                  </w:rPr>
                  <w:instrText xml:space="preserve"> PAGEREF _Toc124762881 \h </w:instrText>
                </w:r>
                <w:r>
                  <w:rPr>
                    <w:noProof/>
                    <w:webHidden/>
                  </w:rPr>
                </w:r>
                <w:r>
                  <w:rPr>
                    <w:noProof/>
                    <w:webHidden/>
                  </w:rPr>
                  <w:fldChar w:fldCharType="separate"/>
                </w:r>
                <w:r>
                  <w:rPr>
                    <w:noProof/>
                    <w:webHidden/>
                  </w:rPr>
                  <w:t>8</w:t>
                </w:r>
                <w:r>
                  <w:rPr>
                    <w:noProof/>
                    <w:webHidden/>
                  </w:rPr>
                  <w:fldChar w:fldCharType="end"/>
                </w:r>
              </w:hyperlink>
            </w:p>
            <w:p w:rsidR="005548C3" w:rsidRDefault="005548C3">
              <w:pPr>
                <w:pStyle w:val="TOC1"/>
                <w:tabs>
                  <w:tab w:val="left" w:pos="440"/>
                  <w:tab w:val="right" w:leader="dot" w:pos="9062"/>
                </w:tabs>
                <w:rPr>
                  <w:rFonts w:asciiTheme="minorHAnsi" w:eastAsiaTheme="minorEastAsia" w:hAnsiTheme="minorHAnsi"/>
                  <w:noProof/>
                  <w:lang w:eastAsia="fr-FR"/>
                </w:rPr>
              </w:pPr>
              <w:hyperlink w:anchor="_Toc124762882" w:history="1">
                <w:r w:rsidRPr="007D1F7B">
                  <w:rPr>
                    <w:rStyle w:val="Hyperlink"/>
                    <w:noProof/>
                  </w:rPr>
                  <w:t>6</w:t>
                </w:r>
                <w:r>
                  <w:rPr>
                    <w:rFonts w:asciiTheme="minorHAnsi" w:eastAsiaTheme="minorEastAsia" w:hAnsiTheme="minorHAnsi"/>
                    <w:noProof/>
                    <w:lang w:eastAsia="fr-FR"/>
                  </w:rPr>
                  <w:tab/>
                </w:r>
                <w:r w:rsidRPr="007D1F7B">
                  <w:rPr>
                    <w:rStyle w:val="Hyperlink"/>
                    <w:noProof/>
                  </w:rPr>
                  <w:t>L'ACCÈS AUX MARCHÉS</w:t>
                </w:r>
                <w:r>
                  <w:rPr>
                    <w:noProof/>
                    <w:webHidden/>
                  </w:rPr>
                  <w:tab/>
                </w:r>
                <w:r>
                  <w:rPr>
                    <w:noProof/>
                    <w:webHidden/>
                  </w:rPr>
                  <w:fldChar w:fldCharType="begin"/>
                </w:r>
                <w:r>
                  <w:rPr>
                    <w:noProof/>
                    <w:webHidden/>
                  </w:rPr>
                  <w:instrText xml:space="preserve"> PAGEREF _Toc124762882 \h </w:instrText>
                </w:r>
                <w:r>
                  <w:rPr>
                    <w:noProof/>
                    <w:webHidden/>
                  </w:rPr>
                </w:r>
                <w:r>
                  <w:rPr>
                    <w:noProof/>
                    <w:webHidden/>
                  </w:rPr>
                  <w:fldChar w:fldCharType="separate"/>
                </w:r>
                <w:r>
                  <w:rPr>
                    <w:noProof/>
                    <w:webHidden/>
                  </w:rPr>
                  <w:t>8</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83" w:history="1">
                <w:r w:rsidRPr="007D1F7B">
                  <w:rPr>
                    <w:rStyle w:val="Hyperlink"/>
                    <w:noProof/>
                  </w:rPr>
                  <w:t>6.1</w:t>
                </w:r>
                <w:r>
                  <w:rPr>
                    <w:rFonts w:asciiTheme="minorHAnsi" w:eastAsiaTheme="minorEastAsia" w:hAnsiTheme="minorHAnsi"/>
                    <w:noProof/>
                    <w:lang w:eastAsia="fr-FR"/>
                  </w:rPr>
                  <w:tab/>
                </w:r>
                <w:r w:rsidRPr="007D1F7B">
                  <w:rPr>
                    <w:rStyle w:val="Hyperlink"/>
                    <w:noProof/>
                  </w:rPr>
                  <w:t>Sécurité - code confidentiel</w:t>
                </w:r>
                <w:r>
                  <w:rPr>
                    <w:noProof/>
                    <w:webHidden/>
                  </w:rPr>
                  <w:tab/>
                </w:r>
                <w:r>
                  <w:rPr>
                    <w:noProof/>
                    <w:webHidden/>
                  </w:rPr>
                  <w:fldChar w:fldCharType="begin"/>
                </w:r>
                <w:r>
                  <w:rPr>
                    <w:noProof/>
                    <w:webHidden/>
                  </w:rPr>
                  <w:instrText xml:space="preserve"> PAGEREF _Toc124762883 \h </w:instrText>
                </w:r>
                <w:r>
                  <w:rPr>
                    <w:noProof/>
                    <w:webHidden/>
                  </w:rPr>
                </w:r>
                <w:r>
                  <w:rPr>
                    <w:noProof/>
                    <w:webHidden/>
                  </w:rPr>
                  <w:fldChar w:fldCharType="separate"/>
                </w:r>
                <w:r>
                  <w:rPr>
                    <w:noProof/>
                    <w:webHidden/>
                  </w:rPr>
                  <w:t>8</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84" w:history="1">
                <w:r w:rsidRPr="007D1F7B">
                  <w:rPr>
                    <w:rStyle w:val="Hyperlink"/>
                    <w:noProof/>
                  </w:rPr>
                  <w:t>6.2</w:t>
                </w:r>
                <w:r>
                  <w:rPr>
                    <w:rFonts w:asciiTheme="minorHAnsi" w:eastAsiaTheme="minorEastAsia" w:hAnsiTheme="minorHAnsi"/>
                    <w:noProof/>
                    <w:lang w:eastAsia="fr-FR"/>
                  </w:rPr>
                  <w:tab/>
                </w:r>
                <w:r w:rsidRPr="007D1F7B">
                  <w:rPr>
                    <w:rStyle w:val="Hyperlink"/>
                    <w:noProof/>
                  </w:rPr>
                  <w:t>Caractéristiques des ordres</w:t>
                </w:r>
                <w:r>
                  <w:rPr>
                    <w:noProof/>
                    <w:webHidden/>
                  </w:rPr>
                  <w:tab/>
                </w:r>
                <w:r>
                  <w:rPr>
                    <w:noProof/>
                    <w:webHidden/>
                  </w:rPr>
                  <w:fldChar w:fldCharType="begin"/>
                </w:r>
                <w:r>
                  <w:rPr>
                    <w:noProof/>
                    <w:webHidden/>
                  </w:rPr>
                  <w:instrText xml:space="preserve"> PAGEREF _Toc124762884 \h </w:instrText>
                </w:r>
                <w:r>
                  <w:rPr>
                    <w:noProof/>
                    <w:webHidden/>
                  </w:rPr>
                </w:r>
                <w:r>
                  <w:rPr>
                    <w:noProof/>
                    <w:webHidden/>
                  </w:rPr>
                  <w:fldChar w:fldCharType="separate"/>
                </w:r>
                <w:r>
                  <w:rPr>
                    <w:noProof/>
                    <w:webHidden/>
                  </w:rPr>
                  <w:t>9</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85" w:history="1">
                <w:r w:rsidRPr="007D1F7B">
                  <w:rPr>
                    <w:rStyle w:val="Hyperlink"/>
                    <w:noProof/>
                  </w:rPr>
                  <w:t>6.3</w:t>
                </w:r>
                <w:r>
                  <w:rPr>
                    <w:rFonts w:asciiTheme="minorHAnsi" w:eastAsiaTheme="minorEastAsia" w:hAnsiTheme="minorHAnsi"/>
                    <w:noProof/>
                    <w:lang w:eastAsia="fr-FR"/>
                  </w:rPr>
                  <w:tab/>
                </w:r>
                <w:r w:rsidRPr="007D1F7B">
                  <w:rPr>
                    <w:rStyle w:val="Hyperlink"/>
                    <w:noProof/>
                  </w:rPr>
                  <w:t>Mode de transmission des ordres</w:t>
                </w:r>
                <w:r>
                  <w:rPr>
                    <w:noProof/>
                    <w:webHidden/>
                  </w:rPr>
                  <w:tab/>
                </w:r>
                <w:r>
                  <w:rPr>
                    <w:noProof/>
                    <w:webHidden/>
                  </w:rPr>
                  <w:fldChar w:fldCharType="begin"/>
                </w:r>
                <w:r>
                  <w:rPr>
                    <w:noProof/>
                    <w:webHidden/>
                  </w:rPr>
                  <w:instrText xml:space="preserve"> PAGEREF _Toc124762885 \h </w:instrText>
                </w:r>
                <w:r>
                  <w:rPr>
                    <w:noProof/>
                    <w:webHidden/>
                  </w:rPr>
                </w:r>
                <w:r>
                  <w:rPr>
                    <w:noProof/>
                    <w:webHidden/>
                  </w:rPr>
                  <w:fldChar w:fldCharType="separate"/>
                </w:r>
                <w:r>
                  <w:rPr>
                    <w:noProof/>
                    <w:webHidden/>
                  </w:rPr>
                  <w:t>9</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86" w:history="1">
                <w:r w:rsidRPr="007D1F7B">
                  <w:rPr>
                    <w:rStyle w:val="Hyperlink"/>
                    <w:noProof/>
                  </w:rPr>
                  <w:t>6.4</w:t>
                </w:r>
                <w:r>
                  <w:rPr>
                    <w:rFonts w:asciiTheme="minorHAnsi" w:eastAsiaTheme="minorEastAsia" w:hAnsiTheme="minorHAnsi"/>
                    <w:noProof/>
                    <w:lang w:eastAsia="fr-FR"/>
                  </w:rPr>
                  <w:tab/>
                </w:r>
                <w:r w:rsidRPr="007D1F7B">
                  <w:rPr>
                    <w:rStyle w:val="Hyperlink"/>
                    <w:noProof/>
                  </w:rPr>
                  <w:t>Annulation par le Client de l'ordre</w:t>
                </w:r>
                <w:r>
                  <w:rPr>
                    <w:noProof/>
                    <w:webHidden/>
                  </w:rPr>
                  <w:tab/>
                </w:r>
                <w:r>
                  <w:rPr>
                    <w:noProof/>
                    <w:webHidden/>
                  </w:rPr>
                  <w:fldChar w:fldCharType="begin"/>
                </w:r>
                <w:r>
                  <w:rPr>
                    <w:noProof/>
                    <w:webHidden/>
                  </w:rPr>
                  <w:instrText xml:space="preserve"> PAGEREF _Toc124762886 \h </w:instrText>
                </w:r>
                <w:r>
                  <w:rPr>
                    <w:noProof/>
                    <w:webHidden/>
                  </w:rPr>
                </w:r>
                <w:r>
                  <w:rPr>
                    <w:noProof/>
                    <w:webHidden/>
                  </w:rPr>
                  <w:fldChar w:fldCharType="separate"/>
                </w:r>
                <w:r>
                  <w:rPr>
                    <w:noProof/>
                    <w:webHidden/>
                  </w:rPr>
                  <w:t>10</w:t>
                </w:r>
                <w:r>
                  <w:rPr>
                    <w:noProof/>
                    <w:webHidden/>
                  </w:rPr>
                  <w:fldChar w:fldCharType="end"/>
                </w:r>
              </w:hyperlink>
            </w:p>
            <w:p w:rsidR="005548C3" w:rsidRDefault="005548C3">
              <w:pPr>
                <w:pStyle w:val="TOC1"/>
                <w:tabs>
                  <w:tab w:val="left" w:pos="440"/>
                  <w:tab w:val="right" w:leader="dot" w:pos="9062"/>
                </w:tabs>
                <w:rPr>
                  <w:rFonts w:asciiTheme="minorHAnsi" w:eastAsiaTheme="minorEastAsia" w:hAnsiTheme="minorHAnsi"/>
                  <w:noProof/>
                  <w:lang w:eastAsia="fr-FR"/>
                </w:rPr>
              </w:pPr>
              <w:hyperlink w:anchor="_Toc124762887" w:history="1">
                <w:r w:rsidRPr="007D1F7B">
                  <w:rPr>
                    <w:rStyle w:val="Hyperlink"/>
                    <w:noProof/>
                  </w:rPr>
                  <w:t>7</w:t>
                </w:r>
                <w:r>
                  <w:rPr>
                    <w:rFonts w:asciiTheme="minorHAnsi" w:eastAsiaTheme="minorEastAsia" w:hAnsiTheme="minorHAnsi"/>
                    <w:noProof/>
                    <w:lang w:eastAsia="fr-FR"/>
                  </w:rPr>
                  <w:tab/>
                </w:r>
                <w:r w:rsidRPr="007D1F7B">
                  <w:rPr>
                    <w:rStyle w:val="Hyperlink"/>
                    <w:noProof/>
                  </w:rPr>
                  <w:t>LA COUVERTURE DES ORDRES</w:t>
                </w:r>
                <w:r>
                  <w:rPr>
                    <w:noProof/>
                    <w:webHidden/>
                  </w:rPr>
                  <w:tab/>
                </w:r>
                <w:r>
                  <w:rPr>
                    <w:noProof/>
                    <w:webHidden/>
                  </w:rPr>
                  <w:fldChar w:fldCharType="begin"/>
                </w:r>
                <w:r>
                  <w:rPr>
                    <w:noProof/>
                    <w:webHidden/>
                  </w:rPr>
                  <w:instrText xml:space="preserve"> PAGEREF _Toc124762887 \h </w:instrText>
                </w:r>
                <w:r>
                  <w:rPr>
                    <w:noProof/>
                    <w:webHidden/>
                  </w:rPr>
                </w:r>
                <w:r>
                  <w:rPr>
                    <w:noProof/>
                    <w:webHidden/>
                  </w:rPr>
                  <w:fldChar w:fldCharType="separate"/>
                </w:r>
                <w:r>
                  <w:rPr>
                    <w:noProof/>
                    <w:webHidden/>
                  </w:rPr>
                  <w:t>10</w:t>
                </w:r>
                <w:r>
                  <w:rPr>
                    <w:noProof/>
                    <w:webHidden/>
                  </w:rPr>
                  <w:fldChar w:fldCharType="end"/>
                </w:r>
              </w:hyperlink>
            </w:p>
            <w:p w:rsidR="005548C3" w:rsidRDefault="005548C3">
              <w:pPr>
                <w:pStyle w:val="TOC1"/>
                <w:tabs>
                  <w:tab w:val="left" w:pos="440"/>
                  <w:tab w:val="right" w:leader="dot" w:pos="9062"/>
                </w:tabs>
                <w:rPr>
                  <w:rFonts w:asciiTheme="minorHAnsi" w:eastAsiaTheme="minorEastAsia" w:hAnsiTheme="minorHAnsi"/>
                  <w:noProof/>
                  <w:lang w:eastAsia="fr-FR"/>
                </w:rPr>
              </w:pPr>
              <w:hyperlink w:anchor="_Toc124762888" w:history="1">
                <w:r w:rsidRPr="007D1F7B">
                  <w:rPr>
                    <w:rStyle w:val="Hyperlink"/>
                    <w:noProof/>
                  </w:rPr>
                  <w:t>8</w:t>
                </w:r>
                <w:r>
                  <w:rPr>
                    <w:rFonts w:asciiTheme="minorHAnsi" w:eastAsiaTheme="minorEastAsia" w:hAnsiTheme="minorHAnsi"/>
                    <w:noProof/>
                    <w:lang w:eastAsia="fr-FR"/>
                  </w:rPr>
                  <w:tab/>
                </w:r>
                <w:r w:rsidRPr="007D1F7B">
                  <w:rPr>
                    <w:rStyle w:val="Hyperlink"/>
                    <w:noProof/>
                  </w:rPr>
                  <w:t>COMPTE(S) DÉBITEUR(S)</w:t>
                </w:r>
                <w:r>
                  <w:rPr>
                    <w:noProof/>
                    <w:webHidden/>
                  </w:rPr>
                  <w:tab/>
                </w:r>
                <w:r>
                  <w:rPr>
                    <w:noProof/>
                    <w:webHidden/>
                  </w:rPr>
                  <w:fldChar w:fldCharType="begin"/>
                </w:r>
                <w:r>
                  <w:rPr>
                    <w:noProof/>
                    <w:webHidden/>
                  </w:rPr>
                  <w:instrText xml:space="preserve"> PAGEREF _Toc124762888 \h </w:instrText>
                </w:r>
                <w:r>
                  <w:rPr>
                    <w:noProof/>
                    <w:webHidden/>
                  </w:rPr>
                </w:r>
                <w:r>
                  <w:rPr>
                    <w:noProof/>
                    <w:webHidden/>
                  </w:rPr>
                  <w:fldChar w:fldCharType="separate"/>
                </w:r>
                <w:r>
                  <w:rPr>
                    <w:noProof/>
                    <w:webHidden/>
                  </w:rPr>
                  <w:t>10</w:t>
                </w:r>
                <w:r>
                  <w:rPr>
                    <w:noProof/>
                    <w:webHidden/>
                  </w:rPr>
                  <w:fldChar w:fldCharType="end"/>
                </w:r>
              </w:hyperlink>
            </w:p>
            <w:p w:rsidR="005548C3" w:rsidRDefault="005548C3">
              <w:pPr>
                <w:pStyle w:val="TOC1"/>
                <w:tabs>
                  <w:tab w:val="left" w:pos="440"/>
                  <w:tab w:val="right" w:leader="dot" w:pos="9062"/>
                </w:tabs>
                <w:rPr>
                  <w:rFonts w:asciiTheme="minorHAnsi" w:eastAsiaTheme="minorEastAsia" w:hAnsiTheme="minorHAnsi"/>
                  <w:noProof/>
                  <w:lang w:eastAsia="fr-FR"/>
                </w:rPr>
              </w:pPr>
              <w:hyperlink w:anchor="_Toc124762889" w:history="1">
                <w:r w:rsidRPr="007D1F7B">
                  <w:rPr>
                    <w:rStyle w:val="Hyperlink"/>
                    <w:noProof/>
                  </w:rPr>
                  <w:t>9</w:t>
                </w:r>
                <w:r>
                  <w:rPr>
                    <w:rFonts w:asciiTheme="minorHAnsi" w:eastAsiaTheme="minorEastAsia" w:hAnsiTheme="minorHAnsi"/>
                    <w:noProof/>
                    <w:lang w:eastAsia="fr-FR"/>
                  </w:rPr>
                  <w:tab/>
                </w:r>
                <w:r w:rsidRPr="007D1F7B">
                  <w:rPr>
                    <w:rStyle w:val="Hyperlink"/>
                    <w:noProof/>
                  </w:rPr>
                  <w:t>DURÉE - RÉSILIATION - RÉSILIATION DE PLEIN DROIT</w:t>
                </w:r>
                <w:r>
                  <w:rPr>
                    <w:noProof/>
                    <w:webHidden/>
                  </w:rPr>
                  <w:tab/>
                </w:r>
                <w:r>
                  <w:rPr>
                    <w:noProof/>
                    <w:webHidden/>
                  </w:rPr>
                  <w:fldChar w:fldCharType="begin"/>
                </w:r>
                <w:r>
                  <w:rPr>
                    <w:noProof/>
                    <w:webHidden/>
                  </w:rPr>
                  <w:instrText xml:space="preserve"> PAGEREF _Toc124762889 \h </w:instrText>
                </w:r>
                <w:r>
                  <w:rPr>
                    <w:noProof/>
                    <w:webHidden/>
                  </w:rPr>
                </w:r>
                <w:r>
                  <w:rPr>
                    <w:noProof/>
                    <w:webHidden/>
                  </w:rPr>
                  <w:fldChar w:fldCharType="separate"/>
                </w:r>
                <w:r>
                  <w:rPr>
                    <w:noProof/>
                    <w:webHidden/>
                  </w:rPr>
                  <w:t>11</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90" w:history="1">
                <w:r w:rsidRPr="007D1F7B">
                  <w:rPr>
                    <w:rStyle w:val="Hyperlink"/>
                    <w:noProof/>
                  </w:rPr>
                  <w:t>9.1</w:t>
                </w:r>
                <w:r>
                  <w:rPr>
                    <w:rFonts w:asciiTheme="minorHAnsi" w:eastAsiaTheme="minorEastAsia" w:hAnsiTheme="minorHAnsi"/>
                    <w:noProof/>
                    <w:lang w:eastAsia="fr-FR"/>
                  </w:rPr>
                  <w:tab/>
                </w:r>
                <w:r w:rsidRPr="007D1F7B">
                  <w:rPr>
                    <w:rStyle w:val="Hyperlink"/>
                    <w:noProof/>
                  </w:rPr>
                  <w:t>Durée</w:t>
                </w:r>
                <w:r>
                  <w:rPr>
                    <w:noProof/>
                    <w:webHidden/>
                  </w:rPr>
                  <w:tab/>
                </w:r>
                <w:r>
                  <w:rPr>
                    <w:noProof/>
                    <w:webHidden/>
                  </w:rPr>
                  <w:fldChar w:fldCharType="begin"/>
                </w:r>
                <w:r>
                  <w:rPr>
                    <w:noProof/>
                    <w:webHidden/>
                  </w:rPr>
                  <w:instrText xml:space="preserve"> PAGEREF _Toc124762890 \h </w:instrText>
                </w:r>
                <w:r>
                  <w:rPr>
                    <w:noProof/>
                    <w:webHidden/>
                  </w:rPr>
                </w:r>
                <w:r>
                  <w:rPr>
                    <w:noProof/>
                    <w:webHidden/>
                  </w:rPr>
                  <w:fldChar w:fldCharType="separate"/>
                </w:r>
                <w:r>
                  <w:rPr>
                    <w:noProof/>
                    <w:webHidden/>
                  </w:rPr>
                  <w:t>11</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91" w:history="1">
                <w:r w:rsidRPr="007D1F7B">
                  <w:rPr>
                    <w:rStyle w:val="Hyperlink"/>
                    <w:noProof/>
                  </w:rPr>
                  <w:t>9.2</w:t>
                </w:r>
                <w:r>
                  <w:rPr>
                    <w:rFonts w:asciiTheme="minorHAnsi" w:eastAsiaTheme="minorEastAsia" w:hAnsiTheme="minorHAnsi"/>
                    <w:noProof/>
                    <w:lang w:eastAsia="fr-FR"/>
                  </w:rPr>
                  <w:tab/>
                </w:r>
                <w:r w:rsidRPr="007D1F7B">
                  <w:rPr>
                    <w:rStyle w:val="Hyperlink"/>
                    <w:noProof/>
                  </w:rPr>
                  <w:t>Résiliation</w:t>
                </w:r>
                <w:r>
                  <w:rPr>
                    <w:noProof/>
                    <w:webHidden/>
                  </w:rPr>
                  <w:tab/>
                </w:r>
                <w:r>
                  <w:rPr>
                    <w:noProof/>
                    <w:webHidden/>
                  </w:rPr>
                  <w:fldChar w:fldCharType="begin"/>
                </w:r>
                <w:r>
                  <w:rPr>
                    <w:noProof/>
                    <w:webHidden/>
                  </w:rPr>
                  <w:instrText xml:space="preserve"> PAGEREF _Toc124762891 \h </w:instrText>
                </w:r>
                <w:r>
                  <w:rPr>
                    <w:noProof/>
                    <w:webHidden/>
                  </w:rPr>
                </w:r>
                <w:r>
                  <w:rPr>
                    <w:noProof/>
                    <w:webHidden/>
                  </w:rPr>
                  <w:fldChar w:fldCharType="separate"/>
                </w:r>
                <w:r>
                  <w:rPr>
                    <w:noProof/>
                    <w:webHidden/>
                  </w:rPr>
                  <w:t>11</w:t>
                </w:r>
                <w:r>
                  <w:rPr>
                    <w:noProof/>
                    <w:webHidden/>
                  </w:rPr>
                  <w:fldChar w:fldCharType="end"/>
                </w:r>
              </w:hyperlink>
            </w:p>
            <w:p w:rsidR="005548C3" w:rsidRDefault="005548C3">
              <w:pPr>
                <w:pStyle w:val="TOC2"/>
                <w:tabs>
                  <w:tab w:val="left" w:pos="880"/>
                  <w:tab w:val="right" w:leader="dot" w:pos="9062"/>
                </w:tabs>
                <w:rPr>
                  <w:rFonts w:asciiTheme="minorHAnsi" w:eastAsiaTheme="minorEastAsia" w:hAnsiTheme="minorHAnsi"/>
                  <w:noProof/>
                  <w:lang w:eastAsia="fr-FR"/>
                </w:rPr>
              </w:pPr>
              <w:hyperlink w:anchor="_Toc124762892" w:history="1">
                <w:r w:rsidRPr="007D1F7B">
                  <w:rPr>
                    <w:rStyle w:val="Hyperlink"/>
                    <w:noProof/>
                  </w:rPr>
                  <w:t>9.3</w:t>
                </w:r>
                <w:r>
                  <w:rPr>
                    <w:rFonts w:asciiTheme="minorHAnsi" w:eastAsiaTheme="minorEastAsia" w:hAnsiTheme="minorHAnsi"/>
                    <w:noProof/>
                    <w:lang w:eastAsia="fr-FR"/>
                  </w:rPr>
                  <w:tab/>
                </w:r>
                <w:r w:rsidRPr="007D1F7B">
                  <w:rPr>
                    <w:rStyle w:val="Hyperlink"/>
                    <w:noProof/>
                  </w:rPr>
                  <w:t>Résiliation de plein droit</w:t>
                </w:r>
                <w:r>
                  <w:rPr>
                    <w:noProof/>
                    <w:webHidden/>
                  </w:rPr>
                  <w:tab/>
                </w:r>
                <w:r>
                  <w:rPr>
                    <w:noProof/>
                    <w:webHidden/>
                  </w:rPr>
                  <w:fldChar w:fldCharType="begin"/>
                </w:r>
                <w:r>
                  <w:rPr>
                    <w:noProof/>
                    <w:webHidden/>
                  </w:rPr>
                  <w:instrText xml:space="preserve"> PAGEREF _Toc124762892 \h </w:instrText>
                </w:r>
                <w:r>
                  <w:rPr>
                    <w:noProof/>
                    <w:webHidden/>
                  </w:rPr>
                </w:r>
                <w:r>
                  <w:rPr>
                    <w:noProof/>
                    <w:webHidden/>
                  </w:rPr>
                  <w:fldChar w:fldCharType="separate"/>
                </w:r>
                <w:r>
                  <w:rPr>
                    <w:noProof/>
                    <w:webHidden/>
                  </w:rPr>
                  <w:t>11</w:t>
                </w:r>
                <w:r>
                  <w:rPr>
                    <w:noProof/>
                    <w:webHidden/>
                  </w:rPr>
                  <w:fldChar w:fldCharType="end"/>
                </w:r>
              </w:hyperlink>
            </w:p>
            <w:p w:rsidR="005548C3" w:rsidRDefault="005548C3">
              <w:r>
                <w:fldChar w:fldCharType="end"/>
              </w:r>
            </w:p>
          </w:sdtContent>
        </w:sdt>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393B0B" w:rsidRDefault="00393B0B"/>
        <w:p w:rsidR="00AF7312" w:rsidRDefault="00EA4BD9"/>
      </w:sdtContent>
    </w:sdt>
    <w:p w:rsidR="00AF7312" w:rsidRDefault="00AF7312" w:rsidP="00B621DF">
      <w:r>
        <w:t>Entre le Client, le ou les titulaire(s) donneurs d’ordres, (ci-après dénommé "le Client").</w:t>
      </w:r>
    </w:p>
    <w:p w:rsidR="00AF7312" w:rsidRDefault="00AF7312" w:rsidP="00B621DF">
      <w:r>
        <w:t>D'une part</w:t>
      </w:r>
    </w:p>
    <w:p w:rsidR="00AF7312" w:rsidRDefault="00AF7312" w:rsidP="00B621DF"/>
    <w:p w:rsidR="00AF7312" w:rsidRDefault="00AF7312" w:rsidP="00B621DF">
      <w:r>
        <w:t>Et :</w:t>
      </w:r>
    </w:p>
    <w:p w:rsidR="00AF7312" w:rsidRDefault="00AF7312" w:rsidP="00B621DF"/>
    <w:p w:rsidR="00AF7312" w:rsidRDefault="00AF7312" w:rsidP="00B621DF">
      <w:r>
        <w:t xml:space="preserve">La société ALTER Investissement, Banque prestataire de services d'Investissement S.A. à conseil d'administration au capital de 51 034 075 euros, agréée par le Comité des Etablissements de Crédit et des Entreprises d'Investissement, dont le </w:t>
      </w:r>
      <w:r w:rsidR="00B621DF">
        <w:t>siège</w:t>
      </w:r>
      <w:r>
        <w:t xml:space="preserve"> est 25, rue Marcel Sembat 92659 Boulogne Billancourt Cedex, inscrite au R.C.S. de Nanterre sous le </w:t>
      </w:r>
      <w:r>
        <w:lastRenderedPageBreak/>
        <w:t>numéro B 414 561 894 et représentée par son Président Directeur Général, (ci-après dénommée "l'Intermédiaire" ou "ALTER Investissement").</w:t>
      </w:r>
    </w:p>
    <w:p w:rsidR="00AF7312" w:rsidRDefault="00AF7312" w:rsidP="00B621DF">
      <w:r>
        <w:t>D'autre part,</w:t>
      </w:r>
    </w:p>
    <w:p w:rsidR="00AF7312" w:rsidRDefault="00AF7312" w:rsidP="00B621DF"/>
    <w:p w:rsidR="00AF7312" w:rsidRDefault="00AF7312" w:rsidP="00B621DF">
      <w:r>
        <w:t>Il a été convenu ce qui suit :</w:t>
      </w:r>
    </w:p>
    <w:p w:rsidR="00AF7312" w:rsidRDefault="00AF7312" w:rsidP="009A6BA1">
      <w:pPr>
        <w:pStyle w:val="Style1"/>
        <w:numPr>
          <w:ilvl w:val="0"/>
          <w:numId w:val="0"/>
        </w:numPr>
        <w:ind w:left="432" w:hanging="432"/>
      </w:pPr>
    </w:p>
    <w:p w:rsidR="00AF7312" w:rsidRDefault="00AF7312" w:rsidP="009A6BA1">
      <w:pPr>
        <w:pStyle w:val="Heading1"/>
      </w:pPr>
      <w:bookmarkStart w:id="1" w:name="_Toc124762867"/>
      <w:r w:rsidRPr="009A6BA1">
        <w:t>PRÉAMBULE</w:t>
      </w:r>
      <w:bookmarkEnd w:id="1"/>
    </w:p>
    <w:p w:rsidR="00B621DF" w:rsidRPr="00B621DF" w:rsidRDefault="00B621DF" w:rsidP="00B621DF"/>
    <w:p w:rsidR="00A2697A" w:rsidRPr="00A2697A" w:rsidRDefault="00A2697A" w:rsidP="00A2697A"/>
    <w:p w:rsidR="00AF7312" w:rsidRDefault="00AF7312">
      <w:r>
        <w:t xml:space="preserve">La présente Charte a pour objet de définir les règles régissant la convention relative au fonctionnement du compte titres conclue entre le Client et ALTER Investissement. Cette convention comprend : la présente Charte, la (les) demande(s) d'ouverture de compte(s), le barème des tarifs, les règles de couverture. </w:t>
      </w:r>
    </w:p>
    <w:p w:rsidR="00AF7312" w:rsidRDefault="00AF7312">
      <w:r>
        <w:t xml:space="preserve">La Charte a été élaborée conformément aux dispositions législatives et réglementaires en vigueur, et notamment celles prévues par le Règlement Général du Conseil des Marchés Financiers (ci-après dénommé " le CMF") et la Décision Générale du CMF n°98-28 du 9 décembre 1998 relative aux clauses obligatoires devant figurer dans la convention de services et d'ouverture de compte entre un prestataire et son client. La présente Charte s'adresse à des </w:t>
      </w:r>
      <w:r w:rsidR="00A2697A">
        <w:t>ressortissants</w:t>
      </w:r>
      <w:r>
        <w:t xml:space="preserve"> de l'Espace Economique Européen. </w:t>
      </w:r>
    </w:p>
    <w:p w:rsidR="00AF7312" w:rsidRDefault="00AF7312">
      <w:r>
        <w:t xml:space="preserve">Il </w:t>
      </w:r>
      <w:r w:rsidR="00A2697A">
        <w:t>appartient</w:t>
      </w:r>
      <w:r>
        <w:t xml:space="preserve"> aux ressortissants des autres pays de s'assurer de la compatibilité de l'offre avec la réglementation de leur pays de rattachement.</w:t>
      </w:r>
    </w:p>
    <w:p w:rsidR="00AF7312" w:rsidRDefault="00AF7312">
      <w:r>
        <w:t> </w:t>
      </w:r>
    </w:p>
    <w:p w:rsidR="00AF7312" w:rsidRPr="00B621DF" w:rsidRDefault="00AF7312" w:rsidP="00B621DF">
      <w:pPr>
        <w:pStyle w:val="Heading1"/>
      </w:pPr>
      <w:bookmarkStart w:id="2" w:name="_Toc124762868"/>
      <w:r w:rsidRPr="00A2697A">
        <w:t>SERVICES OFFERTS - INSTRUMENTS TRAITÉS</w:t>
      </w:r>
      <w:bookmarkEnd w:id="2"/>
    </w:p>
    <w:p w:rsidR="00AF7312" w:rsidRDefault="00AF7312" w:rsidP="00A2697A">
      <w:pPr>
        <w:pStyle w:val="Heading2"/>
      </w:pPr>
      <w:bookmarkStart w:id="3" w:name="_Toc124762869"/>
      <w:r w:rsidRPr="00A2697A">
        <w:t>Services offerts</w:t>
      </w:r>
      <w:bookmarkEnd w:id="3"/>
      <w:r w:rsidRPr="00A2697A">
        <w:t xml:space="preserve"> </w:t>
      </w:r>
    </w:p>
    <w:p w:rsidR="00B621DF" w:rsidRPr="00B621DF" w:rsidRDefault="00B621DF" w:rsidP="00B621DF"/>
    <w:p w:rsidR="00AF7312" w:rsidRDefault="00AF7312">
      <w:r>
        <w:t xml:space="preserve">ALTER Investissement propose au Client les services suivants par l'intermédiaire de son site Internet : </w:t>
      </w:r>
    </w:p>
    <w:p w:rsidR="00AF7312" w:rsidRDefault="00AF7312" w:rsidP="00AF7312">
      <w:pPr>
        <w:numPr>
          <w:ilvl w:val="0"/>
          <w:numId w:val="1"/>
        </w:numPr>
        <w:tabs>
          <w:tab w:val="clear" w:pos="720"/>
          <w:tab w:val="num" w:pos="284"/>
        </w:tabs>
        <w:spacing w:before="60" w:after="60" w:line="240" w:lineRule="auto"/>
        <w:ind w:left="284" w:hanging="284"/>
      </w:pPr>
      <w:r>
        <w:t>Réception et transmission d'ordres pour compte de tiers</w:t>
      </w:r>
    </w:p>
    <w:p w:rsidR="00AF7312" w:rsidRDefault="00AF7312" w:rsidP="00AF7312">
      <w:pPr>
        <w:numPr>
          <w:ilvl w:val="0"/>
          <w:numId w:val="1"/>
        </w:numPr>
        <w:tabs>
          <w:tab w:val="clear" w:pos="720"/>
          <w:tab w:val="num" w:pos="284"/>
        </w:tabs>
        <w:spacing w:before="60" w:after="60" w:line="240" w:lineRule="auto"/>
        <w:ind w:left="284" w:hanging="284"/>
      </w:pPr>
      <w:r>
        <w:t>Exécution d'ordres pour compte de tiers</w:t>
      </w:r>
    </w:p>
    <w:p w:rsidR="00AF7312" w:rsidRDefault="00AF7312" w:rsidP="00AF7312">
      <w:pPr>
        <w:numPr>
          <w:ilvl w:val="0"/>
          <w:numId w:val="1"/>
        </w:numPr>
        <w:tabs>
          <w:tab w:val="clear" w:pos="720"/>
          <w:tab w:val="num" w:pos="284"/>
        </w:tabs>
        <w:spacing w:before="60" w:after="60" w:line="240" w:lineRule="auto"/>
        <w:ind w:left="284" w:hanging="284"/>
      </w:pPr>
      <w:r>
        <w:t>Placement pour compte de tiers</w:t>
      </w:r>
    </w:p>
    <w:p w:rsidR="00AF7312" w:rsidRDefault="00AF7312" w:rsidP="00AF7312">
      <w:pPr>
        <w:numPr>
          <w:ilvl w:val="0"/>
          <w:numId w:val="1"/>
        </w:numPr>
        <w:tabs>
          <w:tab w:val="clear" w:pos="720"/>
          <w:tab w:val="num" w:pos="284"/>
        </w:tabs>
        <w:spacing w:before="60" w:after="60" w:line="240" w:lineRule="auto"/>
        <w:ind w:left="284" w:hanging="284"/>
      </w:pPr>
      <w:r>
        <w:t xml:space="preserve">La visualisation de </w:t>
      </w:r>
      <w:r w:rsidR="00B621DF">
        <w:t>leurs portefeuilles</w:t>
      </w:r>
    </w:p>
    <w:p w:rsidR="00AF7312" w:rsidRDefault="00AF7312" w:rsidP="00AF7312">
      <w:pPr>
        <w:numPr>
          <w:ilvl w:val="0"/>
          <w:numId w:val="1"/>
        </w:numPr>
        <w:tabs>
          <w:tab w:val="clear" w:pos="720"/>
          <w:tab w:val="num" w:pos="284"/>
        </w:tabs>
        <w:spacing w:before="60" w:after="60" w:line="240" w:lineRule="auto"/>
        <w:ind w:left="284" w:hanging="284"/>
      </w:pPr>
      <w:r>
        <w:t>L'accès à des contrats d'</w:t>
      </w:r>
      <w:r w:rsidR="00B621DF">
        <w:t>assurance</w:t>
      </w:r>
      <w:r>
        <w:t xml:space="preserve"> vie</w:t>
      </w:r>
    </w:p>
    <w:p w:rsidR="00AF7312" w:rsidRDefault="00AF7312" w:rsidP="00AF7312">
      <w:pPr>
        <w:numPr>
          <w:ilvl w:val="0"/>
          <w:numId w:val="1"/>
        </w:numPr>
        <w:tabs>
          <w:tab w:val="clear" w:pos="720"/>
          <w:tab w:val="num" w:pos="284"/>
        </w:tabs>
        <w:spacing w:before="60" w:after="60" w:line="240" w:lineRule="auto"/>
        <w:ind w:left="284" w:hanging="284"/>
      </w:pPr>
      <w:r>
        <w:t>L'accès à des informations financières sur les marchés</w:t>
      </w:r>
    </w:p>
    <w:p w:rsidR="00AF7312" w:rsidRDefault="00AF7312">
      <w:r>
        <w:t xml:space="preserve">Et tous autres services financiers </w:t>
      </w:r>
      <w:r w:rsidR="00B621DF">
        <w:t>qu’ALTER</w:t>
      </w:r>
      <w:r>
        <w:t xml:space="preserve"> Investissement pourrait être amenée à proposer. </w:t>
      </w:r>
    </w:p>
    <w:p w:rsidR="00AF7312" w:rsidRDefault="00AF7312">
      <w:r>
        <w:t>L’intermédiaire permet d’accéder aux transactions hors séance dans les conditions prévues par les règles de marché de la Bourse de Paris et des autorités de marché.  Complémentairement au site Internet, ALTER Investissement met à la disposition du Client des moyens alternatifs d'utilisation des services susvisés tels que le téléphone.</w:t>
      </w:r>
    </w:p>
    <w:p w:rsidR="00AF7312" w:rsidRDefault="00AF7312"/>
    <w:p w:rsidR="00AF7312" w:rsidRDefault="00AF7312" w:rsidP="00A2697A">
      <w:pPr>
        <w:pStyle w:val="Heading2"/>
      </w:pPr>
      <w:bookmarkStart w:id="4" w:name="_Toc124762870"/>
      <w:r>
        <w:t>Instruments traités</w:t>
      </w:r>
      <w:bookmarkEnd w:id="4"/>
    </w:p>
    <w:p w:rsidR="00B621DF" w:rsidRPr="00B621DF" w:rsidRDefault="00B621DF" w:rsidP="00B621DF"/>
    <w:p w:rsidR="00AF7312" w:rsidRDefault="00AF7312">
      <w:r>
        <w:t xml:space="preserve">Il est convenu que les dispositions de la Charte s'appliquent quelle que soit la catégorie d'instruments financiers traités pour le compte du Client. Au sens de la Charte, sont </w:t>
      </w:r>
      <w:r>
        <w:lastRenderedPageBreak/>
        <w:t xml:space="preserve">considérés comme instruments financiers tous les instruments financiers visés à l'article 1er de la loi n°96-597 du 2 juillet 1996 de modernisation des activités financières. </w:t>
      </w:r>
    </w:p>
    <w:p w:rsidR="00AF7312" w:rsidRDefault="00AF7312"/>
    <w:p w:rsidR="00AF7312" w:rsidRDefault="00AF7312" w:rsidP="00A2697A">
      <w:pPr>
        <w:pStyle w:val="Heading2"/>
      </w:pPr>
      <w:bookmarkStart w:id="5" w:name="_Toc124762871"/>
      <w:r>
        <w:t>Marchés</w:t>
      </w:r>
      <w:bookmarkEnd w:id="5"/>
    </w:p>
    <w:p w:rsidR="00B621DF" w:rsidRPr="00B621DF" w:rsidRDefault="00B621DF" w:rsidP="00B621DF"/>
    <w:p w:rsidR="00AF7312" w:rsidRDefault="00AF7312">
      <w:r>
        <w:t>Les marchés disponibles sur le site Internet sur lesquels le Client peut opérer sont :</w:t>
      </w:r>
    </w:p>
    <w:p w:rsidR="00AF7312" w:rsidRDefault="00AF7312" w:rsidP="00AF7312">
      <w:pPr>
        <w:numPr>
          <w:ilvl w:val="0"/>
          <w:numId w:val="1"/>
        </w:numPr>
        <w:tabs>
          <w:tab w:val="clear" w:pos="720"/>
          <w:tab w:val="num" w:pos="284"/>
        </w:tabs>
        <w:spacing w:after="0" w:line="240" w:lineRule="auto"/>
        <w:ind w:left="284" w:hanging="284"/>
      </w:pPr>
      <w:r>
        <w:t>La Bourse de Paris : premier marché, second marché, nouveau marché, marché libre</w:t>
      </w:r>
    </w:p>
    <w:p w:rsidR="00AF7312" w:rsidRDefault="00AF7312" w:rsidP="00AF7312">
      <w:pPr>
        <w:numPr>
          <w:ilvl w:val="0"/>
          <w:numId w:val="1"/>
        </w:numPr>
        <w:tabs>
          <w:tab w:val="clear" w:pos="720"/>
          <w:tab w:val="num" w:pos="284"/>
        </w:tabs>
        <w:spacing w:after="0" w:line="240" w:lineRule="auto"/>
        <w:ind w:left="284" w:hanging="284"/>
      </w:pPr>
      <w:r>
        <w:t xml:space="preserve">New York Stock Exchange et Nasdaq (l’accessibilité aux marchés américains est soumise à une déclaration spécifique du client disponible auprès </w:t>
      </w:r>
      <w:r w:rsidR="00B621DF">
        <w:t>d’ALTER</w:t>
      </w:r>
      <w:r>
        <w:t xml:space="preserve"> Investissement),</w:t>
      </w:r>
    </w:p>
    <w:p w:rsidR="00AF7312" w:rsidRDefault="00AF7312" w:rsidP="00AF7312">
      <w:pPr>
        <w:numPr>
          <w:ilvl w:val="0"/>
          <w:numId w:val="1"/>
        </w:numPr>
        <w:tabs>
          <w:tab w:val="clear" w:pos="720"/>
          <w:tab w:val="num" w:pos="284"/>
        </w:tabs>
        <w:spacing w:after="0" w:line="240" w:lineRule="auto"/>
        <w:ind w:left="284" w:hanging="284"/>
      </w:pPr>
      <w:r>
        <w:t xml:space="preserve">Marchés européens (Amsterdam, Bruxelles, Francfort, Madrid, Milan) </w:t>
      </w:r>
    </w:p>
    <w:p w:rsidR="00AF7312" w:rsidRDefault="00AF7312">
      <w:r>
        <w:t>Toutefois, l'ensemble des valeurs cotées sur les places (hors marché parisien) définies ci-dessus n'est pas accessible. De surcroît, l'Intermédiaire ne fournit pas l'ensemble des services sur tous les marchés ci-dessus énumérés. L'accès à un nombre plus important de valeurs et à d'autres marchés pourra être proposé ultérieurement et le Client en sera alors informé par voie télématique.</w:t>
      </w:r>
    </w:p>
    <w:p w:rsidR="00AF7312" w:rsidRDefault="00AF7312"/>
    <w:p w:rsidR="00AF7312" w:rsidRDefault="00AF7312" w:rsidP="00393B0B">
      <w:pPr>
        <w:pStyle w:val="Heading1"/>
      </w:pPr>
      <w:bookmarkStart w:id="6" w:name="_Toc124762872"/>
      <w:r>
        <w:t>DÉCLARATIONS ET AVERTISSEMENTS</w:t>
      </w:r>
      <w:bookmarkEnd w:id="6"/>
    </w:p>
    <w:p w:rsidR="00B621DF" w:rsidRPr="00B621DF" w:rsidRDefault="00B621DF" w:rsidP="00B621DF"/>
    <w:p w:rsidR="00AF7312" w:rsidRDefault="00393B0B">
      <w:r>
        <w:t>Lorsqu’ALTER</w:t>
      </w:r>
      <w:r w:rsidR="00AF7312">
        <w:t xml:space="preserve"> Investissement transmet un ordre sur l'un des marchés visés à l'article ci-dessus, elle agit conformément aux dispositions prévues par les règles de fonctionnement du dit marché. À cet égard, le Client déclare :</w:t>
      </w:r>
    </w:p>
    <w:p w:rsidR="00AF7312" w:rsidRDefault="00AF7312" w:rsidP="00AF7312">
      <w:pPr>
        <w:numPr>
          <w:ilvl w:val="0"/>
          <w:numId w:val="1"/>
        </w:numPr>
        <w:tabs>
          <w:tab w:val="clear" w:pos="720"/>
          <w:tab w:val="num" w:pos="284"/>
        </w:tabs>
        <w:spacing w:after="0" w:line="240" w:lineRule="auto"/>
        <w:ind w:left="284" w:hanging="284"/>
      </w:pPr>
      <w:r>
        <w:t>Connaître les règles de fonctionnement des marchés sur lesquels il peut opérer aux termes de la Charte ainsi que les caractéristiques des instruments financiers sur lesquels il envisage de transmettre des ordres. Le Client peut obtenir l'ensemble de ces informations auprès du Service Clientèle de ALTER Investissement.</w:t>
      </w:r>
    </w:p>
    <w:p w:rsidR="00AF7312" w:rsidRDefault="00AF7312" w:rsidP="00AF7312">
      <w:pPr>
        <w:numPr>
          <w:ilvl w:val="0"/>
          <w:numId w:val="1"/>
        </w:numPr>
        <w:tabs>
          <w:tab w:val="clear" w:pos="720"/>
          <w:tab w:val="num" w:pos="284"/>
        </w:tabs>
        <w:spacing w:after="0" w:line="240" w:lineRule="auto"/>
        <w:ind w:left="284" w:hanging="284"/>
      </w:pPr>
      <w:r>
        <w:t>Faire son affaire du suivi des éventuelles modifications apportées aux dites règles de fonctionnement.</w:t>
      </w:r>
    </w:p>
    <w:p w:rsidR="00AF7312" w:rsidRDefault="00AF7312">
      <w:r>
        <w:t xml:space="preserve">L'attention du Client est particulièrement attirée sur le caractère hautement spéculatif de certains instruments, tels que les warrants ou les certificats, dont la volatilité peut entraîner la perte totale de l'investissement. En conséquence, il est vivement recommandé au Client de s'informer, préalablement à toute passation d'ordre, sur les règles régissant les marchés et sur les caractéristiques des instruments sur lesquels il s'engage. Par ailleurs, le Client déclare être pleinement conscient des risques inhérents aux opérations qu'il initiera et s'engage à en assumer seul les conséquences. </w:t>
      </w:r>
    </w:p>
    <w:p w:rsidR="00AF7312" w:rsidRDefault="00AF7312">
      <w:r>
        <w:t>Le Client est réputé disposer des compétences et moyens nécessaires pour apprécier les différentes caractéristiques des opérations ainsi que les risques que ces opérations peuvent comporter. Un questionnaire permettant de connaître son profil d’investisseur est à la disposition du Client sur le site afin de l’aider à déterminer son niveau de connaissance et d’expérience. Un espace formation est également disponible sur le site et notre service clientèle est à la disposition du Client pour répondre à toutes ses questions.</w:t>
      </w:r>
    </w:p>
    <w:p w:rsidR="00AF7312" w:rsidRDefault="00AF7312">
      <w:r>
        <w:t xml:space="preserve">Le Client s'engage à faire part à ALTER Investissement des difficultés qu'il rencontrerait dans le cadre du fonctionnement de son compte ou en raison d'une connaissance insuffisante </w:t>
      </w:r>
      <w:r w:rsidR="00B621DF">
        <w:t>des règles</w:t>
      </w:r>
      <w:r>
        <w:t xml:space="preserve"> de marché afin que ALTER Investissement puisse lui apporter une information appropriée et préalable à toute opération. Il appartient au Client de satisfaire aux obligations légales et réglementaires qui lui incombent du fait, notamment, de la fiscalité qui lui est applicable.</w:t>
      </w:r>
    </w:p>
    <w:p w:rsidR="00AF7312" w:rsidRDefault="00AF7312">
      <w:r>
        <w:t xml:space="preserve">Le Client, s'il est une personne morale, s'engage à n'initier que des opérations conformes à son objet social et à ses statuts. Outre les informations que le Client s'engage à fournir à </w:t>
      </w:r>
      <w:r>
        <w:lastRenderedPageBreak/>
        <w:t>ALTER Investissement en exécution de la Charte, le Client informera l'Intermédiaire par lettre recommandée :</w:t>
      </w:r>
    </w:p>
    <w:p w:rsidR="00AF7312" w:rsidRDefault="00AF7312" w:rsidP="00AF7312">
      <w:pPr>
        <w:numPr>
          <w:ilvl w:val="0"/>
          <w:numId w:val="1"/>
        </w:numPr>
        <w:tabs>
          <w:tab w:val="clear" w:pos="720"/>
          <w:tab w:val="num" w:pos="284"/>
        </w:tabs>
        <w:spacing w:after="0" w:line="240" w:lineRule="auto"/>
        <w:ind w:left="284" w:hanging="284"/>
      </w:pPr>
      <w:r>
        <w:t>De tout événement modifiant sa capacité à agir,</w:t>
      </w:r>
    </w:p>
    <w:p w:rsidR="00AF7312" w:rsidRDefault="00AF7312" w:rsidP="00AF7312">
      <w:pPr>
        <w:numPr>
          <w:ilvl w:val="0"/>
          <w:numId w:val="1"/>
        </w:numPr>
        <w:tabs>
          <w:tab w:val="clear" w:pos="720"/>
          <w:tab w:val="num" w:pos="284"/>
        </w:tabs>
        <w:spacing w:after="0" w:line="240" w:lineRule="auto"/>
        <w:ind w:left="284" w:hanging="284"/>
      </w:pPr>
      <w:r>
        <w:t>De toute modification de sa forme juridique,</w:t>
      </w:r>
    </w:p>
    <w:p w:rsidR="00AF7312" w:rsidRDefault="00AF7312" w:rsidP="00AF7312">
      <w:pPr>
        <w:numPr>
          <w:ilvl w:val="0"/>
          <w:numId w:val="1"/>
        </w:numPr>
        <w:tabs>
          <w:tab w:val="clear" w:pos="720"/>
          <w:tab w:val="num" w:pos="284"/>
        </w:tabs>
        <w:spacing w:after="0" w:line="240" w:lineRule="auto"/>
        <w:ind w:left="284" w:hanging="284"/>
      </w:pPr>
      <w:r>
        <w:t>De toute cessation de fonctions d'un de ses représentants légaux,</w:t>
      </w:r>
    </w:p>
    <w:p w:rsidR="00AF7312" w:rsidRDefault="00AF7312" w:rsidP="00AF7312">
      <w:pPr>
        <w:numPr>
          <w:ilvl w:val="0"/>
          <w:numId w:val="1"/>
        </w:numPr>
        <w:tabs>
          <w:tab w:val="clear" w:pos="720"/>
          <w:tab w:val="num" w:pos="284"/>
        </w:tabs>
        <w:spacing w:after="0" w:line="240" w:lineRule="auto"/>
        <w:ind w:left="284" w:hanging="284"/>
      </w:pPr>
      <w:r>
        <w:t xml:space="preserve">De toute procédure de règlement amiable (article 35 et suivants de la loi n° 84-148 modifié du 1er mars 1984 relative à la prévention et au règlement des difficultés des entreprises), de redressement judiciaire ou de liquidation judiciaire (loi n° 85-98 du 25 janvier 1985 modifiée relative au redressement et </w:t>
      </w:r>
      <w:r w:rsidR="00B621DF">
        <w:t>à la liquidation judiciaire</w:t>
      </w:r>
      <w:r>
        <w:t xml:space="preserve"> des entreprises) dont il ferait l'objet, et plus généralement, de tout événement de nature à affecter capacité financière.</w:t>
      </w:r>
    </w:p>
    <w:p w:rsidR="00AF7312" w:rsidRDefault="00AF7312"/>
    <w:p w:rsidR="00AF7312" w:rsidRDefault="00AF7312" w:rsidP="00B621DF">
      <w:pPr>
        <w:pStyle w:val="Style1"/>
      </w:pPr>
      <w:bookmarkStart w:id="7" w:name="_Toc124762873"/>
      <w:r>
        <w:t>L'OUVERTURE D'UN COMPTE</w:t>
      </w:r>
      <w:bookmarkEnd w:id="7"/>
      <w:r>
        <w:t xml:space="preserve"> </w:t>
      </w:r>
    </w:p>
    <w:p w:rsidR="00AF7312" w:rsidRDefault="00AF7312" w:rsidP="00B621DF">
      <w:pPr>
        <w:pStyle w:val="Heading2"/>
      </w:pPr>
      <w:bookmarkStart w:id="8" w:name="_Toc124762874"/>
      <w:r>
        <w:t>Choix du type de compte</w:t>
      </w:r>
      <w:bookmarkEnd w:id="8"/>
    </w:p>
    <w:p w:rsidR="00B621DF" w:rsidRPr="00B621DF" w:rsidRDefault="00B621DF" w:rsidP="00B621DF"/>
    <w:p w:rsidR="00AF7312" w:rsidRDefault="00AF7312">
      <w:r>
        <w:t xml:space="preserve">Les comptes ouverts dans les livres </w:t>
      </w:r>
      <w:r w:rsidR="00B621DF">
        <w:t>d’ALTER</w:t>
      </w:r>
      <w:r>
        <w:t xml:space="preserve"> Investissement sont des comptes d'instruments financiers tels que définis par la loi n° 96-597 du 2 juillet 1996 de modernisation des activités financières, auxquels sont associés des comptes espèces sous un numéro unique par compte.</w:t>
      </w:r>
    </w:p>
    <w:p w:rsidR="00AF7312" w:rsidRDefault="00AF7312">
      <w:r>
        <w:t>Ces comptes enregistrent l'ensemble des opérations titres et espèces initiées par le Client. Le solde espèces du compte doit à tout moment être créditeur. Le Client ne dispose pas de moyens de paiement tels que chéquiers ou cartes de paiement sur son compte et il ne lui est pas possible d'y domicilier des prélèvements. Le Client choisit parmi les deux types de compte proposés à ce jour par ALTER Investissement ceux qui conviennent le mieux à son profil.</w:t>
      </w:r>
    </w:p>
    <w:p w:rsidR="00AF7312" w:rsidRDefault="00AF7312">
      <w:r>
        <w:t>Les deux types de compte sont les suivants :</w:t>
      </w:r>
    </w:p>
    <w:p w:rsidR="00AF7312" w:rsidRDefault="00AF7312" w:rsidP="00AF7312">
      <w:pPr>
        <w:numPr>
          <w:ilvl w:val="0"/>
          <w:numId w:val="1"/>
        </w:numPr>
        <w:tabs>
          <w:tab w:val="clear" w:pos="720"/>
          <w:tab w:val="num" w:pos="284"/>
        </w:tabs>
        <w:spacing w:after="0" w:line="240" w:lineRule="auto"/>
        <w:ind w:left="284" w:hanging="284"/>
      </w:pPr>
      <w:r>
        <w:t xml:space="preserve">Compte titres </w:t>
      </w:r>
    </w:p>
    <w:p w:rsidR="00AF7312" w:rsidRDefault="00AF7312" w:rsidP="00B621DF">
      <w:pPr>
        <w:numPr>
          <w:ilvl w:val="0"/>
          <w:numId w:val="1"/>
        </w:numPr>
        <w:tabs>
          <w:tab w:val="clear" w:pos="720"/>
          <w:tab w:val="num" w:pos="284"/>
        </w:tabs>
        <w:spacing w:after="0" w:line="240" w:lineRule="auto"/>
        <w:ind w:left="284" w:hanging="284"/>
      </w:pPr>
      <w:r>
        <w:t xml:space="preserve">Compte titres PEA </w:t>
      </w:r>
    </w:p>
    <w:p w:rsidR="00AF7312" w:rsidRDefault="00AF7312" w:rsidP="00B621DF">
      <w:pPr>
        <w:pStyle w:val="Heading2"/>
      </w:pPr>
      <w:bookmarkStart w:id="9" w:name="_Hlk61878391"/>
      <w:bookmarkStart w:id="10" w:name="_Toc124762875"/>
      <w:r>
        <w:t>La procédure d'ouverture de compte</w:t>
      </w:r>
      <w:bookmarkEnd w:id="10"/>
    </w:p>
    <w:p w:rsidR="00B621DF" w:rsidRPr="00B621DF" w:rsidRDefault="00B621DF" w:rsidP="00B621DF"/>
    <w:bookmarkEnd w:id="9"/>
    <w:p w:rsidR="00AF7312" w:rsidRDefault="00AF7312" w:rsidP="00AE4570">
      <w:r>
        <w:t xml:space="preserve">Le Client adresse un dossier d'ouverture de compte composé de la demande d'ouverture de compte ALTER Investissement sur le site Internet de ALTER Investissement, d'un versement minimum de 1000 euros par dépôt de chèque ou virement de titres et, le cas échéant, du </w:t>
      </w:r>
    </w:p>
    <w:p w:rsidR="00AF7312" w:rsidRDefault="00B621DF">
      <w:r>
        <w:t>Bordereau</w:t>
      </w:r>
      <w:r w:rsidR="00AF7312">
        <w:t xml:space="preserve"> de transfert de titres ainsi que les pièces suivantes :</w:t>
      </w:r>
    </w:p>
    <w:p w:rsidR="00AF7312" w:rsidRDefault="00AF7312"/>
    <w:p w:rsidR="00393B0B" w:rsidRDefault="00393B0B"/>
    <w:p w:rsidR="00393B0B" w:rsidRDefault="00393B0B"/>
    <w:p w:rsidR="00393B0B" w:rsidRDefault="00393B0B"/>
    <w:p w:rsidR="00393B0B" w:rsidRDefault="00393B0B"/>
    <w:tbl>
      <w:tblPr>
        <w:tblStyle w:val="TableGrid"/>
        <w:tblW w:w="0" w:type="auto"/>
        <w:tblLook w:val="04A0" w:firstRow="1" w:lastRow="0" w:firstColumn="1" w:lastColumn="0" w:noHBand="0" w:noVBand="1"/>
      </w:tblPr>
      <w:tblGrid>
        <w:gridCol w:w="4673"/>
        <w:gridCol w:w="4389"/>
      </w:tblGrid>
      <w:tr w:rsidR="002E4DBA" w:rsidTr="002E4DBA">
        <w:tc>
          <w:tcPr>
            <w:tcW w:w="4673" w:type="dxa"/>
          </w:tcPr>
          <w:p w:rsidR="002E4DBA" w:rsidRPr="002E4DBA" w:rsidRDefault="002E4DBA">
            <w:pPr>
              <w:rPr>
                <w:b/>
                <w:bCs/>
                <w:sz w:val="34"/>
                <w:szCs w:val="34"/>
              </w:rPr>
            </w:pPr>
            <w:bookmarkStart w:id="11" w:name="_Hlk61878428"/>
            <w:r w:rsidRPr="002E4DBA">
              <w:rPr>
                <w:b/>
                <w:bCs/>
                <w:sz w:val="34"/>
                <w:szCs w:val="34"/>
              </w:rPr>
              <w:t xml:space="preserve">Pour </w:t>
            </w:r>
            <w:r>
              <w:rPr>
                <w:b/>
                <w:bCs/>
                <w:sz w:val="34"/>
                <w:szCs w:val="34"/>
              </w:rPr>
              <w:t>les personnes p</w:t>
            </w:r>
            <w:r w:rsidRPr="002E4DBA">
              <w:rPr>
                <w:b/>
                <w:bCs/>
                <w:sz w:val="34"/>
                <w:szCs w:val="34"/>
              </w:rPr>
              <w:t>hysiques</w:t>
            </w:r>
            <w:r>
              <w:rPr>
                <w:b/>
                <w:bCs/>
                <w:sz w:val="34"/>
                <w:szCs w:val="34"/>
              </w:rPr>
              <w:t xml:space="preserve"> :</w:t>
            </w:r>
          </w:p>
        </w:tc>
        <w:tc>
          <w:tcPr>
            <w:tcW w:w="4389" w:type="dxa"/>
          </w:tcPr>
          <w:p w:rsidR="002E4DBA" w:rsidRPr="002E4DBA" w:rsidRDefault="002E4DBA">
            <w:pPr>
              <w:rPr>
                <w:b/>
                <w:bCs/>
                <w:sz w:val="34"/>
                <w:szCs w:val="34"/>
              </w:rPr>
            </w:pPr>
            <w:r w:rsidRPr="002E4DBA">
              <w:rPr>
                <w:b/>
                <w:bCs/>
                <w:sz w:val="34"/>
                <w:szCs w:val="34"/>
              </w:rPr>
              <w:t>Pour les personnes morales :</w:t>
            </w:r>
          </w:p>
        </w:tc>
      </w:tr>
      <w:tr w:rsidR="002E4DBA" w:rsidTr="002E4DBA">
        <w:tc>
          <w:tcPr>
            <w:tcW w:w="4673" w:type="dxa"/>
          </w:tcPr>
          <w:p w:rsidR="002E4DBA" w:rsidRPr="00A956D6" w:rsidRDefault="00A956D6" w:rsidP="00A956D6">
            <w:pPr>
              <w:pStyle w:val="ListParagraph"/>
              <w:numPr>
                <w:ilvl w:val="0"/>
                <w:numId w:val="4"/>
              </w:numPr>
              <w:spacing w:after="0"/>
              <w:rPr>
                <w:bCs/>
                <w:sz w:val="24"/>
                <w:szCs w:val="24"/>
              </w:rPr>
            </w:pPr>
            <w:r w:rsidRPr="00A956D6">
              <w:rPr>
                <w:bCs/>
                <w:sz w:val="24"/>
                <w:szCs w:val="24"/>
              </w:rPr>
              <w:t>Photocopie d’une pièces d’identité</w:t>
            </w:r>
            <w:r>
              <w:rPr>
                <w:bCs/>
                <w:sz w:val="24"/>
                <w:szCs w:val="24"/>
              </w:rPr>
              <w:t xml:space="preserve"> en cours de validité (Carte Nationale, Carte séjour,</w:t>
            </w:r>
            <w:r w:rsidRPr="00A956D6">
              <w:rPr>
                <w:bCs/>
                <w:sz w:val="24"/>
                <w:szCs w:val="24"/>
              </w:rPr>
              <w:t xml:space="preserve"> Passeport, Permis de conduire),</w:t>
            </w:r>
          </w:p>
        </w:tc>
        <w:tc>
          <w:tcPr>
            <w:tcW w:w="4389" w:type="dxa"/>
          </w:tcPr>
          <w:p w:rsidR="002E4DBA" w:rsidRPr="00A956D6" w:rsidRDefault="00A956D6" w:rsidP="00A956D6">
            <w:pPr>
              <w:pStyle w:val="ListParagraph"/>
              <w:numPr>
                <w:ilvl w:val="0"/>
                <w:numId w:val="5"/>
              </w:numPr>
              <w:spacing w:after="0"/>
              <w:rPr>
                <w:bCs/>
                <w:sz w:val="24"/>
                <w:szCs w:val="24"/>
              </w:rPr>
            </w:pPr>
            <w:r w:rsidRPr="00A956D6">
              <w:rPr>
                <w:bCs/>
                <w:sz w:val="24"/>
                <w:szCs w:val="24"/>
              </w:rPr>
              <w:t>Copie des statuts certifiée conforme l'original par le représentant légal.</w:t>
            </w:r>
          </w:p>
        </w:tc>
      </w:tr>
      <w:tr w:rsidR="002E4DBA" w:rsidTr="002E4DBA">
        <w:tc>
          <w:tcPr>
            <w:tcW w:w="4673" w:type="dxa"/>
          </w:tcPr>
          <w:p w:rsidR="002E4DBA" w:rsidRPr="00A956D6" w:rsidRDefault="00A956D6" w:rsidP="00A956D6">
            <w:pPr>
              <w:pStyle w:val="ListParagraph"/>
              <w:numPr>
                <w:ilvl w:val="0"/>
                <w:numId w:val="4"/>
              </w:numPr>
              <w:spacing w:after="0"/>
              <w:rPr>
                <w:bCs/>
                <w:sz w:val="24"/>
                <w:szCs w:val="24"/>
              </w:rPr>
            </w:pPr>
            <w:r w:rsidRPr="00A956D6">
              <w:rPr>
                <w:bCs/>
                <w:sz w:val="24"/>
                <w:szCs w:val="24"/>
              </w:rPr>
              <w:lastRenderedPageBreak/>
              <w:t>Photocopie de justificatif de domicile (quittance de loyer, facture EDF-GDF, facture de téléphone fixe, attestation de l'employeur pour un expatrié ou</w:t>
            </w:r>
            <w:r>
              <w:rPr>
                <w:bCs/>
                <w:sz w:val="24"/>
                <w:szCs w:val="24"/>
              </w:rPr>
              <w:t xml:space="preserve"> toute pièce justifiant de sa résidence)</w:t>
            </w:r>
          </w:p>
        </w:tc>
        <w:tc>
          <w:tcPr>
            <w:tcW w:w="4389" w:type="dxa"/>
          </w:tcPr>
          <w:p w:rsidR="002E4DBA" w:rsidRPr="00A956D6" w:rsidRDefault="00A956D6" w:rsidP="00A956D6">
            <w:pPr>
              <w:pStyle w:val="ListParagraph"/>
              <w:numPr>
                <w:ilvl w:val="0"/>
                <w:numId w:val="5"/>
              </w:numPr>
              <w:spacing w:after="0"/>
              <w:rPr>
                <w:bCs/>
                <w:sz w:val="24"/>
                <w:szCs w:val="24"/>
              </w:rPr>
            </w:pPr>
            <w:r w:rsidRPr="00A956D6">
              <w:rPr>
                <w:bCs/>
                <w:sz w:val="24"/>
                <w:szCs w:val="24"/>
              </w:rPr>
              <w:t>Copie certifiée conforme de la décision nomination du (ou des) représentant(s) légal (légaux)</w:t>
            </w:r>
          </w:p>
        </w:tc>
      </w:tr>
      <w:tr w:rsidR="002E4DBA" w:rsidTr="002E4DBA">
        <w:tc>
          <w:tcPr>
            <w:tcW w:w="4673" w:type="dxa"/>
          </w:tcPr>
          <w:p w:rsidR="002E4DBA" w:rsidRPr="00A956D6" w:rsidRDefault="00A956D6" w:rsidP="00A956D6">
            <w:pPr>
              <w:pStyle w:val="ListParagraph"/>
              <w:numPr>
                <w:ilvl w:val="0"/>
                <w:numId w:val="4"/>
              </w:numPr>
              <w:spacing w:after="0"/>
              <w:rPr>
                <w:b/>
                <w:bCs/>
                <w:sz w:val="34"/>
                <w:szCs w:val="34"/>
              </w:rPr>
            </w:pPr>
            <w:r w:rsidRPr="00A956D6">
              <w:rPr>
                <w:bCs/>
                <w:sz w:val="24"/>
                <w:szCs w:val="24"/>
              </w:rPr>
              <w:t xml:space="preserve">R.I.B. ou chèque barré au nom du titulaire   </w:t>
            </w:r>
          </w:p>
        </w:tc>
        <w:tc>
          <w:tcPr>
            <w:tcW w:w="4389" w:type="dxa"/>
          </w:tcPr>
          <w:p w:rsidR="002E4DBA" w:rsidRDefault="00A956D6" w:rsidP="00A956D6">
            <w:pPr>
              <w:pStyle w:val="ListParagraph"/>
              <w:numPr>
                <w:ilvl w:val="0"/>
                <w:numId w:val="5"/>
              </w:numPr>
              <w:rPr>
                <w:bCs/>
                <w:sz w:val="24"/>
                <w:szCs w:val="24"/>
              </w:rPr>
            </w:pPr>
            <w:r w:rsidRPr="00A956D6">
              <w:rPr>
                <w:bCs/>
                <w:sz w:val="24"/>
                <w:szCs w:val="24"/>
              </w:rPr>
              <w:t>Copie certifiée conforme de la décision nomination du (ou des) représentant(s) légal (légaux)</w:t>
            </w:r>
          </w:p>
          <w:p w:rsidR="00A956D6" w:rsidRPr="009A6BA1" w:rsidRDefault="00A956D6" w:rsidP="009A6BA1">
            <w:pPr>
              <w:pStyle w:val="ListParagraph"/>
              <w:numPr>
                <w:ilvl w:val="0"/>
                <w:numId w:val="5"/>
              </w:numPr>
              <w:spacing w:after="0"/>
              <w:rPr>
                <w:bCs/>
                <w:sz w:val="24"/>
                <w:szCs w:val="24"/>
              </w:rPr>
            </w:pPr>
            <w:r w:rsidRPr="00A956D6">
              <w:rPr>
                <w:bCs/>
                <w:sz w:val="24"/>
                <w:szCs w:val="24"/>
              </w:rPr>
              <w:t>Liste des signataires autorisés et pouvoirs</w:t>
            </w:r>
          </w:p>
          <w:p w:rsidR="00A956D6" w:rsidRPr="00A956D6" w:rsidRDefault="00A956D6" w:rsidP="00A956D6">
            <w:pPr>
              <w:pStyle w:val="ListParagraph"/>
              <w:numPr>
                <w:ilvl w:val="0"/>
                <w:numId w:val="5"/>
              </w:numPr>
              <w:spacing w:after="0"/>
              <w:rPr>
                <w:bCs/>
                <w:sz w:val="24"/>
                <w:szCs w:val="24"/>
              </w:rPr>
            </w:pPr>
            <w:r w:rsidRPr="00A956D6">
              <w:rPr>
                <w:bCs/>
                <w:sz w:val="24"/>
                <w:szCs w:val="24"/>
              </w:rPr>
              <w:t xml:space="preserve"> RIB ou chèque barré au nom de la personne morale.</w:t>
            </w:r>
          </w:p>
          <w:p w:rsidR="00A956D6" w:rsidRPr="00A956D6" w:rsidRDefault="00A956D6" w:rsidP="00A956D6">
            <w:pPr>
              <w:pStyle w:val="ListParagraph"/>
              <w:numPr>
                <w:ilvl w:val="0"/>
                <w:numId w:val="5"/>
              </w:numPr>
              <w:spacing w:after="0"/>
              <w:rPr>
                <w:bCs/>
                <w:sz w:val="24"/>
                <w:szCs w:val="24"/>
              </w:rPr>
            </w:pPr>
            <w:r w:rsidRPr="00A956D6">
              <w:rPr>
                <w:bCs/>
                <w:sz w:val="24"/>
                <w:szCs w:val="24"/>
              </w:rPr>
              <w:t>Photocopies recto verso des pièces d'identité en cours de validité des personnes autorisées,</w:t>
            </w:r>
          </w:p>
        </w:tc>
      </w:tr>
    </w:tbl>
    <w:p w:rsidR="00AF7312" w:rsidRPr="00AE4570" w:rsidRDefault="00AF7312">
      <w:pPr>
        <w:rPr>
          <w:b/>
          <w:bCs/>
          <w:sz w:val="44"/>
          <w:szCs w:val="44"/>
        </w:rPr>
      </w:pPr>
    </w:p>
    <w:bookmarkEnd w:id="11"/>
    <w:p w:rsidR="00AF7312" w:rsidRDefault="00AF7312"/>
    <w:p w:rsidR="00AF7312" w:rsidRDefault="00AF7312">
      <w:r>
        <w:t>Après validation des pièces, sont adressées au Client :</w:t>
      </w:r>
    </w:p>
    <w:p w:rsidR="00AF7312" w:rsidRDefault="00AF7312">
      <w:r>
        <w:t>Une lettre d'accueil contenant l'identifiant et le code confidentiel nécessaire au Client pour accéder à son compte par Internet, téléphone ou tout autre moyen de communication à distance proposé par ALTER Investissement. Cette lettre est envoyée avec accusé réception, conformément à la réglementation. Si cette lettre n'est pas retirée par le titulaire son compte sera bloqué. Le(s) compte(s) est (sont) réputé(s) actif(s) pour la passation d'ordre à partir du moment où un premier versement en numéraire ou un transfert de titre a été comptabilisé sur le(s) compte(s) et où l'intégralité des pièces nécessaires à l'ouverture du compte ont été reçues. En cas de défaut de réception de la lettre d'accueil, il appartient au Client d'avertir ALTER Investissement par lettre recommandée avec accusé de réception.</w:t>
      </w:r>
    </w:p>
    <w:p w:rsidR="00AF7312" w:rsidRDefault="00AF7312"/>
    <w:p w:rsidR="00AF7312" w:rsidRDefault="00AF7312" w:rsidP="00B621DF">
      <w:pPr>
        <w:pStyle w:val="Heading2"/>
      </w:pPr>
      <w:bookmarkStart w:id="12" w:name="_Toc124762876"/>
      <w:r>
        <w:t>Situation du Client</w:t>
      </w:r>
      <w:bookmarkEnd w:id="12"/>
    </w:p>
    <w:p w:rsidR="00B621DF" w:rsidRPr="00B621DF" w:rsidRDefault="00B621DF" w:rsidP="00B621DF"/>
    <w:p w:rsidR="00AF7312" w:rsidRDefault="00AF7312">
      <w:r>
        <w:t xml:space="preserve">Le Client s'engage à informer par écrit ALTER Investissement de toute modification de sa situation personnelle susceptible d'affecter le fonctionnement de son compte (état civil, domicile, résidence, téléphone, adresse email, capacité, solvabilité, </w:t>
      </w:r>
      <w:r w:rsidR="00B621DF">
        <w:t>etc.</w:t>
      </w:r>
      <w:r>
        <w:t xml:space="preserve">). A défaut d'information par le Client de son changement de domicile ou de résidence ou de coordonnées téléphoniques ou de coordonnées e-mail, tout envoi, toute notification </w:t>
      </w:r>
      <w:r w:rsidR="00B621DF">
        <w:t>d’ALTER</w:t>
      </w:r>
      <w:r>
        <w:t xml:space="preserve"> Investissement effectué à l'adresse de l'ancien domicile ou de l'ancienne résidence ou des anciennes coordonnées téléphoniques ou e-mail du Client sera réputé valablement fait et produira tous les effets qui y sont attachés. La présente clause vaut notamment pour l'envoi des documents énumérés ci-après. Les comptes ouverts au nom de mineurs fonctionnent dans les conditions prévues par la loi et donc sous la signature d'un titulaire de l'autorité parentale.</w:t>
      </w:r>
    </w:p>
    <w:p w:rsidR="00AF7312" w:rsidRDefault="00AF7312">
      <w:r>
        <w:t xml:space="preserve">Le Client peut donner une procuration à titre gratuit à un tiers en adressant à ALTER Investissement un pouvoir co-signé par le Client et son mandataire accompagné d'une photocopie d'une pièce d'identité de ce dernier. Un modèle de pouvoir est disponible sur simple demande. Sa révocation doit intervenir par lettre recommandée avec accusé de </w:t>
      </w:r>
      <w:r>
        <w:lastRenderedPageBreak/>
        <w:t>réception adressée à ALTER Investissement. ALTER Investissement se réserve le droit de refuser toute procuration sans avoir à en justifier.</w:t>
      </w:r>
    </w:p>
    <w:p w:rsidR="00AF7312" w:rsidRDefault="00AF7312">
      <w:r>
        <w:t xml:space="preserve">A l'annonce du décès d'un Client par un document officiel, et sauf application des dispositions propres aux comptes joints, aucun mouvement n'est accepté sur le(s) compte(s). Dans l'attente d'instructions par les ayants droits désignés ou leur </w:t>
      </w:r>
      <w:r w:rsidR="00B621DF">
        <w:t>représentant</w:t>
      </w:r>
      <w:r>
        <w:t xml:space="preserve"> légal, les frais seront prélevés et les actes liés au statut de teneur de compte </w:t>
      </w:r>
      <w:r w:rsidR="00B621DF">
        <w:t>d’ALTER</w:t>
      </w:r>
      <w:r>
        <w:t xml:space="preserve"> Investissement seront exécutés sur le(s) compte(s).</w:t>
      </w:r>
    </w:p>
    <w:p w:rsidR="00AF7312" w:rsidRDefault="00AF7312"/>
    <w:p w:rsidR="00AF7312" w:rsidRDefault="00AF7312" w:rsidP="00B621DF">
      <w:pPr>
        <w:pStyle w:val="Heading2"/>
      </w:pPr>
      <w:bookmarkStart w:id="13" w:name="_Toc124762877"/>
      <w:r>
        <w:t>Compte joint</w:t>
      </w:r>
      <w:bookmarkEnd w:id="13"/>
    </w:p>
    <w:p w:rsidR="00B621DF" w:rsidRPr="00B621DF" w:rsidRDefault="00B621DF" w:rsidP="00B621DF"/>
    <w:p w:rsidR="00AF7312" w:rsidRDefault="00AF7312">
      <w:r>
        <w:t xml:space="preserve">Le compte peut être ouvert conjointement au nom de deux personnes, mariées uniquement. Il est convenu entre les deux titulaires que chacun pourra, et sous sa seule signature, effectuer la totalité des opérations autorisées sur le compte. Il est expressément convenu que les co-titulaires sont solidairement tenus entre eux en cas de débit constaté sur le compte. En vertu du principe de solidarité active, chacun des </w:t>
      </w:r>
      <w:r w:rsidR="00B621DF">
        <w:t>Co</w:t>
      </w:r>
      <w:r>
        <w:t>-titulaires est autorisé à disposer de l'avoir en compte. Une saisie pratiquée par un créancier produira ses effets à l'égard de l'ensemble des co-titulaires.</w:t>
      </w:r>
    </w:p>
    <w:p w:rsidR="00AF7312" w:rsidRDefault="00AF7312">
      <w:r>
        <w:t xml:space="preserve">Tout courrier relatif au fonctionnement du compte sera adressé, à défaut d'instructions conjointes et écrites données par les deux </w:t>
      </w:r>
      <w:r w:rsidR="00B621DF">
        <w:t>Co</w:t>
      </w:r>
      <w:r>
        <w:t xml:space="preserve">-titulaires, au premier nommé sur le compte. De même, ALTER Investissement est autorisée à indiquer à l'émetteur d'un instrument financier le nom du premier titulaire nommé chaque fois qu'une telle indication sera nécessaire ou réclamée par l'émetteur, notamment pour l'inscription en compte auprès de l'émetteur des titres nominatifs. Chacun des titulaires d'un compte joint peut résilier la convention de compte joint. Les avoirs en compte resteront alors bloqués jusqu'au partage, amiable ou judiciaire, notifié à ALTER Investissement. </w:t>
      </w:r>
    </w:p>
    <w:p w:rsidR="00AF7312" w:rsidRDefault="00AF7312"/>
    <w:p w:rsidR="00AF7312" w:rsidRDefault="00AF7312" w:rsidP="00B621DF">
      <w:pPr>
        <w:pStyle w:val="Heading1"/>
      </w:pPr>
      <w:bookmarkStart w:id="14" w:name="_Toc124762878"/>
      <w:r>
        <w:t>LA TENUE DE COMPTE</w:t>
      </w:r>
      <w:bookmarkEnd w:id="14"/>
      <w:r>
        <w:t xml:space="preserve"> </w:t>
      </w:r>
    </w:p>
    <w:p w:rsidR="00AF7312" w:rsidRDefault="00AF7312"/>
    <w:p w:rsidR="00AF7312" w:rsidRDefault="00AF7312" w:rsidP="00B621DF">
      <w:pPr>
        <w:pStyle w:val="Heading2"/>
      </w:pPr>
      <w:bookmarkStart w:id="15" w:name="_Toc124762879"/>
      <w:r>
        <w:t>Fonctionnement du compte</w:t>
      </w:r>
      <w:bookmarkEnd w:id="15"/>
    </w:p>
    <w:p w:rsidR="00B621DF" w:rsidRPr="00B621DF" w:rsidRDefault="00B621DF" w:rsidP="00B621DF"/>
    <w:p w:rsidR="00AF7312" w:rsidRDefault="00AF7312">
      <w:r>
        <w:t>Conformément aux dispositions légales, réglementaires et contractuelles applicables, ALTER Investissement :</w:t>
      </w:r>
    </w:p>
    <w:p w:rsidR="00AF7312" w:rsidRDefault="00AF7312" w:rsidP="00AF7312">
      <w:pPr>
        <w:numPr>
          <w:ilvl w:val="0"/>
          <w:numId w:val="1"/>
        </w:numPr>
        <w:tabs>
          <w:tab w:val="clear" w:pos="720"/>
          <w:tab w:val="num" w:pos="284"/>
        </w:tabs>
        <w:spacing w:after="0" w:line="240" w:lineRule="auto"/>
        <w:ind w:left="284" w:hanging="284"/>
      </w:pPr>
      <w:r>
        <w:t>Conserve sur le(s) compte(s) les valeurs et les espèces détenues par le Client ;</w:t>
      </w:r>
    </w:p>
    <w:p w:rsidR="00AF7312" w:rsidRDefault="00AF7312" w:rsidP="00AF7312">
      <w:pPr>
        <w:numPr>
          <w:ilvl w:val="0"/>
          <w:numId w:val="1"/>
        </w:numPr>
        <w:tabs>
          <w:tab w:val="clear" w:pos="720"/>
          <w:tab w:val="num" w:pos="284"/>
        </w:tabs>
        <w:spacing w:after="0" w:line="240" w:lineRule="auto"/>
        <w:ind w:left="284" w:hanging="284"/>
      </w:pPr>
      <w:r>
        <w:t>Enregistre sur le(s) compte(s) les transactions réalisées en exécution des ordres passés par le Client et en attente de dénouement.</w:t>
      </w:r>
    </w:p>
    <w:p w:rsidR="00AF7312" w:rsidRDefault="00AF7312">
      <w:r>
        <w:t>ALTER Investissement est en droit de refuser, à sa seule convenance, l'inscription de titres émis ou conservés à l'étranger. Les mouvements titres et espèces résultant de l'exécution d'un OSRD (ordre stipulé règlement différé) sont comptabilisés au compte du Client dans les délais et conditions prévus par les règles de Euronext. Entre la date d'exécution de l'OSRD et la date de comptabilisation au compte du Client des instruments financiers (pour un OSRD d'achat) ou des espèces (pour un OSRD de vente), les valeurs sont comptabilisées sur un compte du membre du marché qui a assuré l'exécution de l'OSRD. Les instruments financiers ainsi comptabilisés sont la propriété du membre du marché qui a assuré l'exécution de l'OSRD depuis la date de leur inscription au compte du dit membre du marché et jusqu'à la date de leur inscription au compte du Client. S'agissant d'un OSRD d'achat, et dans le respect des règles de Euronext concernant les OST, le membre du marché qui a assuré l'exécution de l'OSRD peut, en vertu de ce droit de propriété, en disposer à sa convenance, notamment en les vendant ou en les prêtant, à charge pour lui d'en transférer la propriété au Client, à la date prévue par les règles de Euronext.</w:t>
      </w:r>
    </w:p>
    <w:p w:rsidR="00AF7312" w:rsidRDefault="00AF7312"/>
    <w:p w:rsidR="00B621DF" w:rsidRDefault="00AF7312" w:rsidP="00B621DF">
      <w:pPr>
        <w:pStyle w:val="Heading2"/>
      </w:pPr>
      <w:bookmarkStart w:id="16" w:name="_Toc124762880"/>
      <w:r>
        <w:t>L'alimentation du compte</w:t>
      </w:r>
      <w:bookmarkEnd w:id="16"/>
    </w:p>
    <w:p w:rsidR="00393B0B" w:rsidRPr="00393B0B" w:rsidRDefault="00393B0B" w:rsidP="00393B0B"/>
    <w:p w:rsidR="00AF7312" w:rsidRDefault="00AF7312">
      <w:r>
        <w:t>Les comptes peuvent être alimentés par dépôt de chèque, virement bancaire ou virement de titres, en Euro. Les chèques sont à envoyer à l'ordre de "ALTER Investissement Clientèle" suivi du numéro du compte à créditer. Ils sont traités dès réception et la provision est disponible dès que le solde espèces du compte est visible à l'écran. Les virements sont à effectuer vers votre compte ALTER Investissement Clientèle dont les coordonnées bancaires sont disponibles sur le site Internet. La comptabilité espèce et titre du compte est exprimée en Euro. Les chèques et les virements ne sont portés au crédit du compte du Client que sous réserve de leur encaissement et ALTER Investissement est en droit de contre-passer les impayés. ALTER Investissement effectue au nom des clients et pour leur compte les formalités de transfert de titres ou de portefeuille et du compte espèces attaché le cas échéant. A cet effet, le Client adresse à ALTER Investissement un bordereau de transfert dûment rempli. ALTER Investissement ne facture aucun frais à l'occasion de ce transfert. Il est précisé que le délai nécessaire à la réalisation de ce transfert n'est fonction que de la diligence de l'établissement dépositaire des titres du Client.</w:t>
      </w:r>
    </w:p>
    <w:p w:rsidR="00AF7312" w:rsidRDefault="00AF7312">
      <w:r>
        <w:t>ALTER Investissement pourra refuser toute demande :</w:t>
      </w:r>
    </w:p>
    <w:p w:rsidR="00AF7312" w:rsidRDefault="00AF7312">
      <w:r>
        <w:t>De retrait de fonds en cas d'alimentation du compte :</w:t>
      </w:r>
    </w:p>
    <w:p w:rsidR="00AF7312" w:rsidRDefault="00393B0B" w:rsidP="00AF7312">
      <w:pPr>
        <w:numPr>
          <w:ilvl w:val="0"/>
          <w:numId w:val="1"/>
        </w:numPr>
        <w:tabs>
          <w:tab w:val="clear" w:pos="720"/>
          <w:tab w:val="num" w:pos="284"/>
        </w:tabs>
        <w:spacing w:after="0" w:line="240" w:lineRule="auto"/>
        <w:ind w:left="284" w:hanging="284"/>
      </w:pPr>
      <w:r>
        <w:t>Par</w:t>
      </w:r>
      <w:r w:rsidR="00AF7312">
        <w:t xml:space="preserve"> la remise d'un chèque sur place moins de 5 (cinq) jours ouvrés avant la demande de retrait, </w:t>
      </w:r>
      <w:proofErr w:type="gramStart"/>
      <w:r w:rsidR="00AF7312">
        <w:t>ou</w:t>
      </w:r>
      <w:proofErr w:type="gramEnd"/>
    </w:p>
    <w:p w:rsidR="00AF7312" w:rsidRDefault="00393B0B" w:rsidP="00AF7312">
      <w:pPr>
        <w:numPr>
          <w:ilvl w:val="0"/>
          <w:numId w:val="1"/>
        </w:numPr>
        <w:tabs>
          <w:tab w:val="clear" w:pos="720"/>
          <w:tab w:val="num" w:pos="284"/>
        </w:tabs>
        <w:spacing w:after="0" w:line="240" w:lineRule="auto"/>
        <w:ind w:left="284" w:hanging="284"/>
      </w:pPr>
      <w:r>
        <w:t>Par</w:t>
      </w:r>
      <w:r w:rsidR="00AF7312">
        <w:t xml:space="preserve"> la remise d'un chèque hors-place moins de 15 (quinze) jours ouvrés avant la demande de retrait, </w:t>
      </w:r>
      <w:r>
        <w:t>où</w:t>
      </w:r>
    </w:p>
    <w:p w:rsidR="00AF7312" w:rsidRDefault="00393B0B" w:rsidP="00AF7312">
      <w:pPr>
        <w:numPr>
          <w:ilvl w:val="0"/>
          <w:numId w:val="1"/>
        </w:numPr>
        <w:tabs>
          <w:tab w:val="clear" w:pos="720"/>
          <w:tab w:val="num" w:pos="284"/>
        </w:tabs>
        <w:spacing w:after="0" w:line="240" w:lineRule="auto"/>
        <w:ind w:left="284" w:hanging="284"/>
      </w:pPr>
      <w:r>
        <w:t>Par</w:t>
      </w:r>
      <w:r w:rsidR="00AF7312">
        <w:t xml:space="preserve"> la remise d'un chèque tiré à l'étranger.</w:t>
      </w:r>
    </w:p>
    <w:p w:rsidR="00AF7312" w:rsidRDefault="00AF7312"/>
    <w:p w:rsidR="00AF7312" w:rsidRDefault="00AF7312" w:rsidP="00393B0B">
      <w:pPr>
        <w:pStyle w:val="Heading2"/>
      </w:pPr>
      <w:bookmarkStart w:id="17" w:name="_Toc124762881"/>
      <w:r>
        <w:t>L'information du Client</w:t>
      </w:r>
      <w:bookmarkEnd w:id="17"/>
    </w:p>
    <w:p w:rsidR="00AF7312" w:rsidRDefault="00AF7312">
      <w:r>
        <w:t>En plus de l'information disponible sur son site Internet, ALTER Investissement adresse au Client pour chaque compte ouvert (par courrier ou par voie électronique, selon le choix du client) :</w:t>
      </w:r>
    </w:p>
    <w:p w:rsidR="00AF7312" w:rsidRDefault="00AF7312" w:rsidP="00AF7312">
      <w:pPr>
        <w:numPr>
          <w:ilvl w:val="0"/>
          <w:numId w:val="1"/>
        </w:numPr>
        <w:tabs>
          <w:tab w:val="clear" w:pos="720"/>
          <w:tab w:val="num" w:pos="284"/>
        </w:tabs>
        <w:spacing w:after="0" w:line="240" w:lineRule="auto"/>
        <w:ind w:left="284" w:hanging="284"/>
      </w:pPr>
      <w:proofErr w:type="gramStart"/>
      <w:r>
        <w:t>un</w:t>
      </w:r>
      <w:proofErr w:type="gramEnd"/>
      <w:r>
        <w:t xml:space="preserve"> avis d'opéré (par courrier ou par voie électronique, selon le choix du client) résumant les caractéristiques de l'opération sur lequel figurent les mentions suivantes : dénomination du marché, valeur sur laquelle porte la négociation, nature de la négociation, sens de l'opération (achat ou vente), date d'exécution et cours d'exécution, montant brut de l'opération, frais prélevés par ALTER Investissement, montant net de l'opération.</w:t>
      </w:r>
    </w:p>
    <w:p w:rsidR="00AF7312" w:rsidRDefault="00AF7312" w:rsidP="00AF7312">
      <w:pPr>
        <w:numPr>
          <w:ilvl w:val="0"/>
          <w:numId w:val="1"/>
        </w:numPr>
        <w:tabs>
          <w:tab w:val="clear" w:pos="720"/>
          <w:tab w:val="num" w:pos="284"/>
        </w:tabs>
        <w:spacing w:after="0" w:line="240" w:lineRule="auto"/>
        <w:ind w:left="284" w:hanging="284"/>
      </w:pPr>
      <w:proofErr w:type="gramStart"/>
      <w:r>
        <w:t>un</w:t>
      </w:r>
      <w:proofErr w:type="gramEnd"/>
      <w:r>
        <w:t xml:space="preserve"> relevé de coupon mensuel s’il y a versement de dividende ;</w:t>
      </w:r>
    </w:p>
    <w:p w:rsidR="00AF7312" w:rsidRDefault="00AF7312" w:rsidP="00AF7312">
      <w:pPr>
        <w:numPr>
          <w:ilvl w:val="0"/>
          <w:numId w:val="1"/>
        </w:numPr>
        <w:tabs>
          <w:tab w:val="clear" w:pos="720"/>
          <w:tab w:val="num" w:pos="284"/>
        </w:tabs>
        <w:spacing w:after="0" w:line="240" w:lineRule="auto"/>
        <w:ind w:left="284" w:hanging="284"/>
      </w:pPr>
      <w:proofErr w:type="gramStart"/>
      <w:r>
        <w:t>chaque</w:t>
      </w:r>
      <w:proofErr w:type="gramEnd"/>
      <w:r>
        <w:t xml:space="preserve"> mois un relevé espèces donnant le solde et le détail des opérations espèces intervenues au cours du mois, ainsi qu'un relevé retraçant les opérations effectuées dans le cadre du SRD ;</w:t>
      </w:r>
    </w:p>
    <w:p w:rsidR="00AF7312" w:rsidRDefault="00AF7312" w:rsidP="00AF7312">
      <w:pPr>
        <w:numPr>
          <w:ilvl w:val="0"/>
          <w:numId w:val="1"/>
        </w:numPr>
        <w:tabs>
          <w:tab w:val="clear" w:pos="720"/>
          <w:tab w:val="num" w:pos="284"/>
        </w:tabs>
        <w:spacing w:after="0" w:line="240" w:lineRule="auto"/>
        <w:ind w:left="284" w:hanging="284"/>
      </w:pPr>
      <w:proofErr w:type="gramStart"/>
      <w:r>
        <w:t>un</w:t>
      </w:r>
      <w:proofErr w:type="gramEnd"/>
      <w:r>
        <w:t xml:space="preserve"> relevé d'opérations de prorogation le cas échéant ;</w:t>
      </w:r>
    </w:p>
    <w:p w:rsidR="00AF7312" w:rsidRDefault="00AF7312" w:rsidP="00AF7312">
      <w:pPr>
        <w:numPr>
          <w:ilvl w:val="0"/>
          <w:numId w:val="1"/>
        </w:numPr>
        <w:tabs>
          <w:tab w:val="clear" w:pos="720"/>
          <w:tab w:val="num" w:pos="284"/>
        </w:tabs>
        <w:spacing w:after="0" w:line="240" w:lineRule="auto"/>
        <w:ind w:left="284" w:hanging="284"/>
      </w:pPr>
      <w:r>
        <w:t xml:space="preserve">ALTER Investissement adresse au client par courrier un avis de virement de titres à chaque virement de titres dans les livres </w:t>
      </w:r>
      <w:proofErr w:type="gramStart"/>
      <w:r>
        <w:t>de ALTER</w:t>
      </w:r>
      <w:proofErr w:type="gramEnd"/>
      <w:r>
        <w:t xml:space="preserve"> Investissement.</w:t>
      </w:r>
    </w:p>
    <w:p w:rsidR="00AF7312" w:rsidRDefault="00AF7312">
      <w:r>
        <w:t xml:space="preserve">ALTER Investissement adresse chaque trimestre, par courrier et par voie électronique, un relevé de portefeuille donnant la valorisation des titres. </w:t>
      </w:r>
    </w:p>
    <w:p w:rsidR="00AF7312" w:rsidRDefault="00AF7312"/>
    <w:p w:rsidR="00AF7312" w:rsidRDefault="00AF7312" w:rsidP="00393B0B">
      <w:pPr>
        <w:pStyle w:val="Style1"/>
      </w:pPr>
      <w:bookmarkStart w:id="18" w:name="_Toc124762882"/>
      <w:r>
        <w:t>L'ACCÈS AUX MARCHÉS</w:t>
      </w:r>
      <w:bookmarkEnd w:id="18"/>
      <w:r>
        <w:t xml:space="preserve"> </w:t>
      </w:r>
    </w:p>
    <w:p w:rsidR="00AF7312" w:rsidRDefault="00AF7312"/>
    <w:p w:rsidR="00AF7312" w:rsidRDefault="00AF7312" w:rsidP="00393B0B">
      <w:pPr>
        <w:pStyle w:val="Heading2"/>
      </w:pPr>
      <w:bookmarkStart w:id="19" w:name="_Toc124762883"/>
      <w:r>
        <w:t>Sécurité - code confidentiel</w:t>
      </w:r>
      <w:bookmarkEnd w:id="19"/>
    </w:p>
    <w:p w:rsidR="00AF7312" w:rsidRDefault="00AF7312">
      <w:r>
        <w:t xml:space="preserve">Pour accéder à son compte, ALTER Investissement attribue à chaque Client un identifiant et un code confidentiel dans les conditions décrites ci-dessus. Le Client s'engage à modifier ce </w:t>
      </w:r>
      <w:r>
        <w:lastRenderedPageBreak/>
        <w:t>code confidentiel dès réception du code initial attribué par ALTER Investissement. Il devra être tenu secret par le Client qui sera seul responsable des conséquences, de toute nature, liées à un défaut de modification du code confidentiel initial ou à toute divulgation de ce code confidentiel initial ou du code confidentiel modifié. Le passage d'ordres par Internet, Minitel ou autre moyen de communication à distance mis à la disposition du Client devra s'accompagner de la fourniture de l'identifiant du Client et de son code confidentiel. Le passage d'ordres par téléphone sans communication de code confidentiel devra s'accompagner du nom du Client ainsi que de son identifiant. ALTER Investissement se réserve le droit de demander d’autres informations à des fins de vérification de l’identité du Client.</w:t>
      </w:r>
    </w:p>
    <w:p w:rsidR="00AF7312" w:rsidRDefault="00AF7312">
      <w:r>
        <w:t>Le Client accepte d'être réputé l'unique auteur de tout ordre affectant son compte et transmis en conformité avec les procédures décrites ci-dessus. Le Client décharge ALTER Investissement de toute responsabilité en cas d'utilisation abusive ou frauduleuse par un tiers de ses éléments d'identification. Le Client peut neutraliser à tout moment l'accès à son compte par simple appel téléphonique à ALTER Investissement qu'il devra confirmer par lettre recommandée avec demande d'avis de réception dans un délai de 48 heures à compter du jour de l'appel. La remise en service des fonctions concernées ne peut être obtenue que sur instruction écrite du Client adressée à ALTER Investissement.</w:t>
      </w:r>
    </w:p>
    <w:p w:rsidR="00AF7312" w:rsidRDefault="00AF7312"/>
    <w:p w:rsidR="00AF7312" w:rsidRDefault="00AF7312" w:rsidP="00393B0B">
      <w:pPr>
        <w:pStyle w:val="Heading2"/>
      </w:pPr>
      <w:bookmarkStart w:id="20" w:name="_Toc124762884"/>
      <w:r>
        <w:t>Caractéristiques des ordres</w:t>
      </w:r>
      <w:bookmarkEnd w:id="20"/>
    </w:p>
    <w:p w:rsidR="00393B0B" w:rsidRPr="00393B0B" w:rsidRDefault="00393B0B" w:rsidP="00393B0B"/>
    <w:p w:rsidR="00AF7312" w:rsidRDefault="00AF7312">
      <w:r>
        <w:t>Le Client peut adresser à ALTER Investissement et, ce, conformément aux dispositions des articles 3 et 4 de la Décision Générale n°98-28 du 9 décembre 1998 du CMF, six types d'ordre portant sur des instruments financiers, à l'exclusion de ceux traités sur le MONEP et le MATIF. Ces types d'ordre sont les ordres à cours limité, au prix du marché, à tout prix, tout ou rien, à seuil et à plage de déclenchement sauf règlementation particulière pour les transactions hors séance. Sur les marché étrangers, les seuls types d'ordre susceptibles d'être acceptés sont les ordres à cours limité et au prix du marché.</w:t>
      </w:r>
    </w:p>
    <w:p w:rsidR="00AF7312" w:rsidRDefault="00AF7312"/>
    <w:p w:rsidR="00AF7312" w:rsidRDefault="00AF7312" w:rsidP="00393B0B">
      <w:pPr>
        <w:pStyle w:val="Heading2"/>
      </w:pPr>
      <w:bookmarkStart w:id="21" w:name="_Toc124762885"/>
      <w:r>
        <w:t>Mode de transmission des ordres</w:t>
      </w:r>
      <w:bookmarkEnd w:id="21"/>
    </w:p>
    <w:p w:rsidR="00393B0B" w:rsidRPr="00393B0B" w:rsidRDefault="00393B0B" w:rsidP="00393B0B"/>
    <w:p w:rsidR="00AF7312" w:rsidRDefault="00AF7312">
      <w:r>
        <w:t xml:space="preserve">Les ordres sont transmis par le Client par Internet à titre principal, mais aussi par téléphone, système de téléphonie mobile ou tout autre moyen de communication à distance proposé par ALTER Investissement. Les ordres peuvent aussi être transmis par courrier ou fax. Compte tenu des aléas propres à ces deux derniers modes de transmission, ALTER Investissement ne pourra en aucun cas être tenue responsable du défaut d'exécution ou de l'exécution tardive d'ordres ainsi transmis. ALTER Investissement a la faculté d'exiger à tout moment la transmission d'ordres par écrit. L'ordre de bourse doit indiquer le sens de l'opération (achat ou vente), la désignation ou les caractéristiques de la valeur sur laquelle porte la négociation, le nombre de titres, et d'une manière générale toutes les précisions nécessaires à la bonne exécution de l'ordre. Le Client fixe la durée de validité de son ordre dans les conditions prévues par les règles du marché sur lequel il intervient. A défaut d'indication de validité, l'ordre est réputé à validité jour. Lorsqu'il a reçu l'ordre par Internet, l'Intermédiaire adresse au Client un message lui demandant de confirmer cet ordre. L'intermédiaire horodate l'ordre dès réception de cette confirmation. L'horodatage matérialise la prise en charge de l'ordre par ALTER Investissement. Cette prise en charge donne en outre lieu à l'émission par l'Intermédiaire d'une confirmation électronique dont la date et l'heure font foi. ALTER Investissement subordonne l'exécution de l'ordre à la présence préalable sur le compte du Client des espèces ou des instruments financiers nécessaires y </w:t>
      </w:r>
      <w:r>
        <w:lastRenderedPageBreak/>
        <w:t xml:space="preserve">compris les frais de transactions. L'ordre transmis par le Client est produit dans les meilleurs délais sur le marché pour y être exécuté aux conditions dudit marché. Les ordres portant sur des parts d'OPCVM sont exécutés au jour de souscription ou de rachat le plus proche sous réserve de la compatibilité de l'heure de la transmission de l'ordre avec les conditions d'exécution des OPCVM concernés. Le Client est expressément informé que la transmission de l'ordre en vue de son exécution ne préjuge pas de cette exécution. </w:t>
      </w:r>
    </w:p>
    <w:p w:rsidR="00AF7312" w:rsidRDefault="00AF7312"/>
    <w:p w:rsidR="00393B0B" w:rsidRDefault="00AF7312" w:rsidP="00393B0B">
      <w:pPr>
        <w:pStyle w:val="Heading2"/>
      </w:pPr>
      <w:bookmarkStart w:id="22" w:name="_Toc124762886"/>
      <w:r>
        <w:t>Annulation par le Client de l'ordre</w:t>
      </w:r>
      <w:bookmarkEnd w:id="22"/>
    </w:p>
    <w:p w:rsidR="00393B0B" w:rsidRPr="00393B0B" w:rsidRDefault="00393B0B" w:rsidP="00393B0B"/>
    <w:p w:rsidR="00AF7312" w:rsidRDefault="00AF7312">
      <w:r>
        <w:t xml:space="preserve">Après avoir transmis un ordre, le Client peut vouloir annuler son ordre. Cette demande d'annulation est possible sans frais à travers la plate-forme ALTER Investissement tant que l'exécution de l'ordre n'a pas été identifiée par le système informatique </w:t>
      </w:r>
      <w:proofErr w:type="gramStart"/>
      <w:r>
        <w:t>de ALTER</w:t>
      </w:r>
      <w:proofErr w:type="gramEnd"/>
      <w:r>
        <w:t xml:space="preserve"> Investissement et si l'ordre n'est pas à cours limité et dans la monnaie.</w:t>
      </w:r>
    </w:p>
    <w:p w:rsidR="00AF7312" w:rsidRDefault="00AF7312">
      <w:r>
        <w:t xml:space="preserve">Toutefois, l'exécution d'une demande d'annulation n'est jamais </w:t>
      </w:r>
      <w:proofErr w:type="gramStart"/>
      <w:r>
        <w:t>garanti</w:t>
      </w:r>
      <w:proofErr w:type="gramEnd"/>
      <w:r>
        <w:t>, l'ordre ayant pu être préalablement exécuté. La demande d'annulation ne pourra par conséquent être prise en compte que dans la mesure où elle sera reçue par l'Intermédiaire dans des délais compatibles avec les conditions d'exécution des ordres. ALTER Investissement se réserve le droit de refuser une demande d'annulation d'ordre. Un ordre exécuté malgré une demande d'annulation sera en tout état de cause imputé sur le compte du Client.</w:t>
      </w:r>
    </w:p>
    <w:p w:rsidR="00AF7312" w:rsidRDefault="00AF7312">
      <w:r>
        <w:t>Dans le cas où ALTER Investissement ne serait pas en mesure de transmettre un ordre émanant du Client, elle mettra tout en œuvre pour informer ce dernier dans les meilleurs délais.</w:t>
      </w:r>
    </w:p>
    <w:p w:rsidR="00AF7312" w:rsidRDefault="00AF7312">
      <w:r>
        <w:t xml:space="preserve">  </w:t>
      </w:r>
    </w:p>
    <w:p w:rsidR="00AF7312" w:rsidRDefault="00AF7312" w:rsidP="00393B0B">
      <w:pPr>
        <w:pStyle w:val="Style1"/>
      </w:pPr>
      <w:bookmarkStart w:id="23" w:name="_Toc124762887"/>
      <w:r>
        <w:t>LA COUVERTURE DES ORDRES</w:t>
      </w:r>
      <w:bookmarkEnd w:id="23"/>
      <w:r>
        <w:t xml:space="preserve"> </w:t>
      </w:r>
    </w:p>
    <w:p w:rsidR="00393B0B" w:rsidRDefault="00393B0B" w:rsidP="00393B0B">
      <w:pPr>
        <w:pStyle w:val="Style1"/>
        <w:numPr>
          <w:ilvl w:val="0"/>
          <w:numId w:val="0"/>
        </w:numPr>
        <w:ind w:left="432"/>
      </w:pPr>
    </w:p>
    <w:p w:rsidR="00AF7312" w:rsidRDefault="00AF7312">
      <w:r>
        <w:t>Après saisie et validation de la saisie d'un ordre de bourse par le Client sur les systèmes ALTER Investissement d'accès aux marchés, il est procédé à un contrôle de l'existence sur le compte du Client d'une provision espèces suffisante pour un achat de titres au comptant, d'un nombre de titres suffisant en cas de vente de titres au comptant et d'une couverture espèces ou titres suffisante pour un ordre à service de règlement différé (ci-après dénommé “OSRD”). ALTER Investissement peut refuser à sa seule discrétion l'exécution d'un OSRD. ALTER Investissement est dans l'obligation de refuser l'OSRD lorsque la couverture exigée par le Règlement Général du CMF n'est pas constituée préalablement à la passation de l'ordre. Dans ce cas, le système rejette l'ordre et le Client en est informé. De plus, ALTER Investissement à la faculté de refuser tout OSRD à sa seule discrétion.</w:t>
      </w:r>
    </w:p>
    <w:p w:rsidR="00AF7312" w:rsidRDefault="00AF7312">
      <w:r>
        <w:t xml:space="preserve">La couverture espèces ou titres suffisante pour un OSRD est calculée selon le barème applicable à la date de passation de l’ordre. Ce barème est consultable sur le site Internet et auprès </w:t>
      </w:r>
      <w:proofErr w:type="gramStart"/>
      <w:r>
        <w:t>de ALTER</w:t>
      </w:r>
      <w:proofErr w:type="gramEnd"/>
      <w:r>
        <w:t xml:space="preserve"> Investissement. En cas de pluralité de comptes, chaque compte est, pour l'appréciation de la couverture, réputé être indépendant l'un de l'autre de telle sorte que la couverture s'apprécie sans possibilité de consolidation entre les différents comptes. Le taux de couverture pourra être revu à la hausse à tout moment par ALTER Investissement ou par les autorités de marchés, en fonction de l'actualité des marchés et/ou de la réglementation en vigueur. Le Client sera informé par un message diffusé par voie télématique ou par courrier recommandé de la modification des règles de couverture, qu'il s'engage à respecter.</w:t>
      </w:r>
    </w:p>
    <w:p w:rsidR="00AF7312" w:rsidRDefault="00AF7312">
      <w:r>
        <w:t xml:space="preserve">ALTER Investissement peut exiger, à tout moment, une couverture supérieure au montant minimum imposé par le CMF. </w:t>
      </w:r>
    </w:p>
    <w:p w:rsidR="00AF7312" w:rsidRDefault="00AF7312"/>
    <w:p w:rsidR="00AF7312" w:rsidRDefault="00AF7312" w:rsidP="00393B0B">
      <w:pPr>
        <w:pStyle w:val="Style1"/>
      </w:pPr>
      <w:bookmarkStart w:id="24" w:name="_Toc124762888"/>
      <w:r>
        <w:lastRenderedPageBreak/>
        <w:t>COMPTE(S) DÉBITEUR(S)</w:t>
      </w:r>
      <w:bookmarkEnd w:id="24"/>
    </w:p>
    <w:p w:rsidR="00AF7312" w:rsidRDefault="00AF7312">
      <w:r>
        <w:t>La simple inscription en compte d'une position débitrice liée à une opération réalisée dans le cadre de la présente Charte ne pourra en aucun cas valoir autorisation de découvert tacite. Sauf accord particulier conclu avec l'Intermédiaire, le Client s'engage à ce que son(ses) compte(s) ne soi(en)t jamais débiteur(s). Dans ce cadre, et notamment, pour les comptes titres PEA, ALTER Investissement, en fonction des conditions de marché, peut être amené à ne pas autoriser la passation d’ordre pour la totalité du disponible espèces afin d’éviter au PEA de présenter un solde espèces débiteur suite à une variation de marché. Le montant retenu pourra être de plus ou moins 1 % du montant du solde espèces disponible pour les actions, et de plus ou moins 6 % pour les OPCVM. Sans préjudice des dispositions prévues ci-après, pour tout compte venant à être débiteur, le Client est de plein droit tenu de supporter tous les coûts pouvant résulter de ce débit pour l'Intermédiaire. L'intermédiaire pourra de surcroît prélever une pénalité forfaitaire de 50 euros HT (59,8 euros TTC) sur le compte du Client. Dans l’hypothèse où suite à des opérations sur titres le(s) compte(s) du Client présenterai(en)t une position débitrice en titres, le Client s’engage à régulariser la situation dans un délai d’un jour de bourse. À défaut, ALTER Investissement procèdera à la régularisation de la situation sur titres, le Client est de plein droit tenu de supporter tous les coûts pouvant résulter de la régularisation de la situation</w:t>
      </w:r>
    </w:p>
    <w:p w:rsidR="00AF7312" w:rsidRDefault="00AF7312"/>
    <w:p w:rsidR="00AF7312" w:rsidRDefault="00AF7312" w:rsidP="00393B0B">
      <w:pPr>
        <w:pStyle w:val="Style1"/>
      </w:pPr>
      <w:bookmarkStart w:id="25" w:name="_Toc124762889"/>
      <w:r>
        <w:t>DURÉE - RÉSILIATION - RÉSILIATION DE PLEIN DROIT</w:t>
      </w:r>
      <w:bookmarkEnd w:id="25"/>
      <w:r>
        <w:t xml:space="preserve"> </w:t>
      </w:r>
    </w:p>
    <w:p w:rsidR="00AF7312" w:rsidRDefault="00AF7312"/>
    <w:p w:rsidR="00AF7312" w:rsidRDefault="00AF7312" w:rsidP="00393B0B">
      <w:pPr>
        <w:pStyle w:val="Heading2"/>
      </w:pPr>
      <w:bookmarkStart w:id="26" w:name="_Toc124762890"/>
      <w:r>
        <w:t>Durée</w:t>
      </w:r>
      <w:bookmarkEnd w:id="26"/>
    </w:p>
    <w:p w:rsidR="00AF7312" w:rsidRDefault="00AF7312">
      <w:r>
        <w:t>La convention entre le Client et ALTER Investissement est conclue pour une durée indéterminée.</w:t>
      </w:r>
    </w:p>
    <w:p w:rsidR="00AF7312" w:rsidRDefault="00AF7312"/>
    <w:p w:rsidR="00AF7312" w:rsidRDefault="00AF7312" w:rsidP="00393B0B">
      <w:pPr>
        <w:pStyle w:val="Heading2"/>
      </w:pPr>
      <w:bookmarkStart w:id="27" w:name="_Toc124762891"/>
      <w:r>
        <w:t>Résiliation</w:t>
      </w:r>
      <w:bookmarkEnd w:id="27"/>
    </w:p>
    <w:p w:rsidR="00AF7312" w:rsidRDefault="00AF7312">
      <w:r>
        <w:t>La convention peut être résiliée à tout moment sans motivation à l'initiative de l'une ou l'autre des parties par lettre recommandée avec accusé de réception sous réserve de respecter un préavis de quinze jours courant à compter de la réception de la lettre recommandée.</w:t>
      </w:r>
    </w:p>
    <w:p w:rsidR="00AF7312" w:rsidRDefault="00AF7312">
      <w:r>
        <w:t>Pendant ce préavis, ALTER Investissement se réserve le droit de ne plus accepter aucun ordre ouvrant une position ni aucune connexion à son site. A l'issue de ce préavis, la résiliation entraîne</w:t>
      </w:r>
      <w:r>
        <w:rPr>
          <w:color w:val="FF0000"/>
        </w:rPr>
        <w:t xml:space="preserve"> </w:t>
      </w:r>
      <w:r>
        <w:t>le dénouement des opérations réalisables et la clôture du compte et les éventuels avoirs seront bloqués dans l'attente des instructions de transfert dans la mesure où le Client n'est redevable envers ALTER Investissement d'aucune somme ou instrument financier.</w:t>
      </w:r>
    </w:p>
    <w:p w:rsidR="00AF7312" w:rsidRDefault="00AF7312"/>
    <w:p w:rsidR="00AF7312" w:rsidRDefault="00AF7312" w:rsidP="00393B0B">
      <w:pPr>
        <w:pStyle w:val="Heading2"/>
      </w:pPr>
      <w:bookmarkStart w:id="28" w:name="_Toc124762892"/>
      <w:r>
        <w:t>Résiliation de plein droit</w:t>
      </w:r>
      <w:bookmarkEnd w:id="28"/>
    </w:p>
    <w:p w:rsidR="00AF7312" w:rsidRDefault="00AF7312">
      <w:r>
        <w:t xml:space="preserve">ALTER Investissement pourra résilier la convention de plein droit, sans mise en demeure préalable et sans avoir à respecter le moindre préavis, en cas de manquement du Client à l'une des obligations qui lui incombent en vertu des dispositions législatives et réglementaires applicables et des stipulations de la présente Charte. De même, ALTER Investissement pourra résilier la convention de plein droit, sans mise en demeure préalable et sans avoir à respecter le moindre préavis, en cas de réalisation de tout événement manifestant un état d'insolvabilité du Client tel que, par exemple, une saisie pratiquée sur le(s) compte(s) du Client ouvert(s) dans les livres </w:t>
      </w:r>
      <w:proofErr w:type="gramStart"/>
      <w:r>
        <w:t>de ALTER</w:t>
      </w:r>
      <w:proofErr w:type="gramEnd"/>
      <w:r>
        <w:t xml:space="preserve"> Investissement.</w:t>
      </w:r>
    </w:p>
    <w:p w:rsidR="00AF7312" w:rsidRDefault="00AF7312">
      <w:r>
        <w:t xml:space="preserve">En cas de résiliation de plein droit de la convention, ALTER Investissement en avisera le Client par l'envoi dès le jour de la résiliation d'une lettre recommandée avec accusé de réception. La résiliation de la convention entraîne la clôture du (des) compte(s) qu'elle régit. </w:t>
      </w:r>
      <w:r>
        <w:lastRenderedPageBreak/>
        <w:t>Toutefois, par dérogation, l'Intermédiaire assure le dénouement des opérations en cours. Les éventuels avoirs présents sur le(s) compte(s) seront bloqués dans l'attente des instructions de transfert dans la mesure où le Client n'est redevable envers ALTER Investissement d'aucune somme ou instrument financier.</w:t>
      </w:r>
    </w:p>
    <w:p w:rsidR="00AF7312" w:rsidRDefault="00AF7312"/>
    <w:p w:rsidR="00AF7312" w:rsidRDefault="00AF7312">
      <w:pPr>
        <w:jc w:val="center"/>
      </w:pPr>
      <w:r>
        <w:t>---------</w:t>
      </w:r>
    </w:p>
    <w:p w:rsidR="00AF7312" w:rsidRDefault="00AF7312">
      <w:pPr>
        <w:jc w:val="both"/>
      </w:pPr>
    </w:p>
    <w:p w:rsidR="00AF7312" w:rsidRDefault="00AF7312">
      <w:pPr>
        <w:jc w:val="both"/>
      </w:pPr>
    </w:p>
    <w:p w:rsidR="00AF7312" w:rsidRDefault="00AF7312">
      <w:pPr>
        <w:jc w:val="both"/>
      </w:pPr>
    </w:p>
    <w:p w:rsidR="00AF7312" w:rsidRDefault="00AF7312"/>
    <w:p w:rsidR="00AF7312" w:rsidRDefault="00AF7312"/>
    <w:p w:rsidR="00AF7312" w:rsidRDefault="00AF7312"/>
    <w:sectPr w:rsidR="00AF7312" w:rsidSect="00EA4BD9">
      <w:footerReference w:type="default" r:id="rId9"/>
      <w:headerReference w:type="firs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B76" w:rsidRDefault="00004B76" w:rsidP="00B30F27">
      <w:pPr>
        <w:spacing w:after="0" w:line="240" w:lineRule="auto"/>
      </w:pPr>
      <w:r>
        <w:separator/>
      </w:r>
    </w:p>
  </w:endnote>
  <w:endnote w:type="continuationSeparator" w:id="0">
    <w:p w:rsidR="00004B76" w:rsidRDefault="00004B76" w:rsidP="00B30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DBA" w:rsidRDefault="002E4DBA" w:rsidP="002E4DBA">
    <w:pPr>
      <w:tabs>
        <w:tab w:val="center" w:pos="4550"/>
        <w:tab w:val="left" w:pos="5818"/>
        <w:tab w:val="right" w:pos="8812"/>
      </w:tabs>
      <w:ind w:right="260"/>
      <w:rPr>
        <w:color w:val="222A35" w:themeColor="text2" w:themeShade="80"/>
        <w:sz w:val="24"/>
        <w:szCs w:val="24"/>
      </w:rPr>
    </w:pPr>
    <w:r>
      <w:rPr>
        <w:color w:val="8496B0" w:themeColor="text2" w:themeTint="99"/>
        <w:spacing w:val="60"/>
        <w:sz w:val="24"/>
        <w:szCs w:val="24"/>
      </w:rPr>
      <w:t>16/1/2023</w:t>
    </w:r>
    <w:r>
      <w:rPr>
        <w:color w:val="8496B0" w:themeColor="text2" w:themeTint="99"/>
        <w:spacing w:val="60"/>
        <w:sz w:val="24"/>
        <w:szCs w:val="24"/>
      </w:rPr>
      <w:ptab w:relativeTo="margin" w:alignment="center" w:leader="none"/>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548C3">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548C3">
      <w:rPr>
        <w:noProof/>
        <w:color w:val="323E4F" w:themeColor="text2" w:themeShade="BF"/>
        <w:sz w:val="24"/>
        <w:szCs w:val="24"/>
      </w:rPr>
      <w:t>12</w:t>
    </w:r>
    <w:r>
      <w:rPr>
        <w:color w:val="323E4F" w:themeColor="text2" w:themeShade="BF"/>
        <w:sz w:val="24"/>
        <w:szCs w:val="24"/>
      </w:rPr>
      <w:fldChar w:fldCharType="end"/>
    </w:r>
  </w:p>
  <w:p w:rsidR="002E4DBA" w:rsidRDefault="002E4DB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DBA" w:rsidRDefault="002E4DB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548C3">
      <w:rPr>
        <w:noProof/>
        <w:color w:val="323E4F" w:themeColor="text2" w:themeShade="BF"/>
        <w:sz w:val="24"/>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548C3">
      <w:rPr>
        <w:noProof/>
        <w:color w:val="323E4F" w:themeColor="text2" w:themeShade="BF"/>
        <w:sz w:val="24"/>
        <w:szCs w:val="24"/>
      </w:rPr>
      <w:t>12</w:t>
    </w:r>
    <w:r>
      <w:rPr>
        <w:color w:val="323E4F" w:themeColor="text2" w:themeShade="BF"/>
        <w:sz w:val="24"/>
        <w:szCs w:val="24"/>
      </w:rPr>
      <w:fldChar w:fldCharType="end"/>
    </w:r>
  </w:p>
  <w:p w:rsidR="00B30F27" w:rsidRDefault="00B30F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B76" w:rsidRDefault="00004B76" w:rsidP="00B30F27">
      <w:pPr>
        <w:spacing w:after="0" w:line="240" w:lineRule="auto"/>
      </w:pPr>
      <w:r>
        <w:separator/>
      </w:r>
    </w:p>
  </w:footnote>
  <w:footnote w:type="continuationSeparator" w:id="0">
    <w:p w:rsidR="00004B76" w:rsidRDefault="00004B76" w:rsidP="00B30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F27" w:rsidRDefault="00B30F27" w:rsidP="00B30F27">
    <w:pPr>
      <w:pStyle w:val="Header"/>
      <w:jc w:val="both"/>
      <w:rPr>
        <w:noProof/>
        <w:lang w:eastAsia="fr-FR"/>
      </w:rPr>
    </w:pPr>
    <w:r>
      <w:t xml:space="preserve">     </w:t>
    </w:r>
    <w:r>
      <w:rPr>
        <w:noProof/>
        <w:lang w:eastAsia="fr-FR"/>
      </w:rPr>
      <w:t xml:space="preserve">Examen de fin de module </w:t>
    </w:r>
  </w:p>
  <w:p w:rsidR="00B30F27" w:rsidRDefault="00B30F27" w:rsidP="00B30F27">
    <w:pPr>
      <w:pStyle w:val="Header"/>
      <w:jc w:val="both"/>
      <w:rPr>
        <w:noProof/>
        <w:lang w:eastAsia="fr-FR"/>
      </w:rPr>
    </w:pPr>
    <w:r>
      <w:rPr>
        <w:noProof/>
        <w:lang w:eastAsia="fr-FR"/>
      </w:rPr>
      <w:t xml:space="preserve"> Achraf belahbib</w:t>
    </w:r>
  </w:p>
  <w:p w:rsidR="00B30F27" w:rsidRDefault="00B30F27">
    <w:pPr>
      <w:pStyle w:val="Header"/>
    </w:pPr>
  </w:p>
  <w:p w:rsidR="00B30F27" w:rsidRDefault="00B30F2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E21"/>
    <w:multiLevelType w:val="hybridMultilevel"/>
    <w:tmpl w:val="0DB64F48"/>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C7F72"/>
    <w:multiLevelType w:val="hybridMultilevel"/>
    <w:tmpl w:val="1B1EA37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9051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70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A78194F"/>
    <w:multiLevelType w:val="hybridMultilevel"/>
    <w:tmpl w:val="A004561A"/>
    <w:lvl w:ilvl="0" w:tplc="B57025CC">
      <w:start w:val="1"/>
      <w:numFmt w:val="bullet"/>
      <w:lvlText w:val=""/>
      <w:lvlJc w:val="left"/>
      <w:pPr>
        <w:ind w:left="720" w:hanging="360"/>
      </w:pPr>
      <w:rPr>
        <w:rFonts w:ascii="Wingdings" w:hAnsi="Wingdings"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1351E8"/>
    <w:multiLevelType w:val="multilevel"/>
    <w:tmpl w:val="FC2A98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ED0273C"/>
    <w:multiLevelType w:val="hybridMultilevel"/>
    <w:tmpl w:val="A8C62BC6"/>
    <w:lvl w:ilvl="0" w:tplc="04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64576D4"/>
    <w:multiLevelType w:val="multilevel"/>
    <w:tmpl w:val="01845F5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BC9338E"/>
    <w:multiLevelType w:val="hybridMultilevel"/>
    <w:tmpl w:val="FAF8BD84"/>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3"/>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312"/>
    <w:rsid w:val="00004B76"/>
    <w:rsid w:val="002E4DBA"/>
    <w:rsid w:val="00393B0B"/>
    <w:rsid w:val="005548C3"/>
    <w:rsid w:val="00956D80"/>
    <w:rsid w:val="009A6BA1"/>
    <w:rsid w:val="00A2697A"/>
    <w:rsid w:val="00A956D6"/>
    <w:rsid w:val="00AF7312"/>
    <w:rsid w:val="00B30F27"/>
    <w:rsid w:val="00B621DF"/>
    <w:rsid w:val="00EA4B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E95E4"/>
  <w15:chartTrackingRefBased/>
  <w15:docId w15:val="{8C3A2F82-DE65-47B1-89E6-F0A53DEE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hraphe"/>
    <w:qFormat/>
    <w:rsid w:val="00B621DF"/>
    <w:pPr>
      <w:spacing w:after="40"/>
    </w:pPr>
    <w:rPr>
      <w:rFonts w:ascii="Arial" w:hAnsi="Arial"/>
    </w:rPr>
  </w:style>
  <w:style w:type="paragraph" w:styleId="Heading1">
    <w:name w:val="heading 1"/>
    <w:basedOn w:val="Normal"/>
    <w:next w:val="Normal"/>
    <w:link w:val="Heading1Char"/>
    <w:uiPriority w:val="9"/>
    <w:qFormat/>
    <w:rsid w:val="005548C3"/>
    <w:pPr>
      <w:keepNext/>
      <w:keepLines/>
      <w:numPr>
        <w:numId w:val="7"/>
      </w:numPr>
      <w:spacing w:before="120" w:after="0"/>
      <w:outlineLvl w:val="0"/>
    </w:pPr>
    <w:rPr>
      <w:rFonts w:ascii="Times New Roman" w:eastAsiaTheme="majorEastAsia" w:hAnsi="Times New Roman" w:cstheme="majorBidi"/>
      <w:b/>
      <w:color w:val="FF0000"/>
      <w:sz w:val="28"/>
      <w:szCs w:val="32"/>
    </w:rPr>
  </w:style>
  <w:style w:type="paragraph" w:styleId="Heading2">
    <w:name w:val="heading 2"/>
    <w:basedOn w:val="Normal"/>
    <w:next w:val="Normal"/>
    <w:link w:val="Heading2Char"/>
    <w:uiPriority w:val="9"/>
    <w:unhideWhenUsed/>
    <w:qFormat/>
    <w:rsid w:val="005548C3"/>
    <w:pPr>
      <w:keepNext/>
      <w:keepLines/>
      <w:numPr>
        <w:ilvl w:val="1"/>
        <w:numId w:val="7"/>
      </w:numPr>
      <w:spacing w:after="0"/>
      <w:ind w:left="1284"/>
      <w:outlineLvl w:val="1"/>
    </w:pPr>
    <w:rPr>
      <w:rFonts w:eastAsiaTheme="majorEastAsia" w:cstheme="majorBidi"/>
      <w:b/>
      <w:i/>
      <w:color w:val="1F4E79" w:themeColor="accent1" w:themeShade="80"/>
      <w:sz w:val="26"/>
      <w:szCs w:val="26"/>
    </w:rPr>
  </w:style>
  <w:style w:type="paragraph" w:styleId="Heading3">
    <w:name w:val="heading 3"/>
    <w:basedOn w:val="Normal"/>
    <w:next w:val="Normal"/>
    <w:link w:val="Heading3Char"/>
    <w:uiPriority w:val="9"/>
    <w:semiHidden/>
    <w:unhideWhenUsed/>
    <w:qFormat/>
    <w:rsid w:val="009A6BA1"/>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6BA1"/>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6BA1"/>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A6BA1"/>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A6BA1"/>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A6BA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6BA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4B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4BD9"/>
    <w:rPr>
      <w:rFonts w:eastAsiaTheme="minorEastAsia"/>
      <w:lang w:val="en-US"/>
    </w:rPr>
  </w:style>
  <w:style w:type="paragraph" w:styleId="Header">
    <w:name w:val="header"/>
    <w:basedOn w:val="Normal"/>
    <w:link w:val="HeaderChar"/>
    <w:uiPriority w:val="99"/>
    <w:unhideWhenUsed/>
    <w:rsid w:val="00B30F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0F27"/>
  </w:style>
  <w:style w:type="paragraph" w:styleId="Footer">
    <w:name w:val="footer"/>
    <w:basedOn w:val="Normal"/>
    <w:link w:val="FooterChar"/>
    <w:uiPriority w:val="99"/>
    <w:unhideWhenUsed/>
    <w:rsid w:val="00B30F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0F27"/>
  </w:style>
  <w:style w:type="table" w:styleId="TableGrid">
    <w:name w:val="Table Grid"/>
    <w:basedOn w:val="TableNormal"/>
    <w:uiPriority w:val="39"/>
    <w:rsid w:val="002E4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DBA"/>
    <w:pPr>
      <w:ind w:left="720"/>
      <w:contextualSpacing/>
    </w:pPr>
  </w:style>
  <w:style w:type="character" w:customStyle="1" w:styleId="Heading1Char">
    <w:name w:val="Heading 1 Char"/>
    <w:basedOn w:val="DefaultParagraphFont"/>
    <w:link w:val="Heading1"/>
    <w:uiPriority w:val="9"/>
    <w:rsid w:val="005548C3"/>
    <w:rPr>
      <w:rFonts w:ascii="Times New Roman" w:eastAsiaTheme="majorEastAsia" w:hAnsi="Times New Roman" w:cstheme="majorBidi"/>
      <w:b/>
      <w:color w:val="FF0000"/>
      <w:sz w:val="28"/>
      <w:szCs w:val="32"/>
    </w:rPr>
  </w:style>
  <w:style w:type="paragraph" w:customStyle="1" w:styleId="Style1">
    <w:name w:val="Style1"/>
    <w:basedOn w:val="Heading1"/>
    <w:link w:val="Style1Char"/>
    <w:qFormat/>
    <w:rsid w:val="009A6BA1"/>
  </w:style>
  <w:style w:type="character" w:customStyle="1" w:styleId="Heading2Char">
    <w:name w:val="Heading 2 Char"/>
    <w:basedOn w:val="DefaultParagraphFont"/>
    <w:link w:val="Heading2"/>
    <w:uiPriority w:val="9"/>
    <w:rsid w:val="005548C3"/>
    <w:rPr>
      <w:rFonts w:ascii="Arial" w:eastAsiaTheme="majorEastAsia" w:hAnsi="Arial" w:cstheme="majorBidi"/>
      <w:b/>
      <w:i/>
      <w:color w:val="1F4E79" w:themeColor="accent1" w:themeShade="80"/>
      <w:sz w:val="26"/>
      <w:szCs w:val="26"/>
    </w:rPr>
  </w:style>
  <w:style w:type="character" w:customStyle="1" w:styleId="Style1Char">
    <w:name w:val="Style1 Char"/>
    <w:basedOn w:val="Heading1Char"/>
    <w:link w:val="Style1"/>
    <w:rsid w:val="009A6BA1"/>
    <w:rPr>
      <w:rFonts w:ascii="Times New Roman" w:eastAsiaTheme="majorEastAsia" w:hAnsi="Times New Roman" w:cstheme="majorBidi"/>
      <w:b/>
      <w:color w:val="FF0000"/>
      <w:sz w:val="28"/>
      <w:szCs w:val="32"/>
    </w:rPr>
  </w:style>
  <w:style w:type="character" w:customStyle="1" w:styleId="Heading3Char">
    <w:name w:val="Heading 3 Char"/>
    <w:basedOn w:val="DefaultParagraphFont"/>
    <w:link w:val="Heading3"/>
    <w:uiPriority w:val="9"/>
    <w:semiHidden/>
    <w:rsid w:val="009A6B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A6B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A6B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A6B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A6B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A6B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6BA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548C3"/>
    <w:pPr>
      <w:numPr>
        <w:numId w:val="0"/>
      </w:numPr>
      <w:spacing w:before="24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5548C3"/>
    <w:pPr>
      <w:spacing w:after="100"/>
    </w:pPr>
  </w:style>
  <w:style w:type="paragraph" w:styleId="TOC2">
    <w:name w:val="toc 2"/>
    <w:basedOn w:val="Normal"/>
    <w:next w:val="Normal"/>
    <w:autoRedefine/>
    <w:uiPriority w:val="39"/>
    <w:unhideWhenUsed/>
    <w:rsid w:val="005548C3"/>
    <w:pPr>
      <w:spacing w:after="100"/>
      <w:ind w:left="220"/>
    </w:pPr>
  </w:style>
  <w:style w:type="character" w:styleId="Hyperlink">
    <w:name w:val="Hyperlink"/>
    <w:basedOn w:val="DefaultParagraphFont"/>
    <w:uiPriority w:val="99"/>
    <w:unhideWhenUsed/>
    <w:rsid w:val="005548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46F5C783B74AE9B742F47BD0D36FC8"/>
        <w:category>
          <w:name w:val="General"/>
          <w:gallery w:val="placeholder"/>
        </w:category>
        <w:types>
          <w:type w:val="bbPlcHdr"/>
        </w:types>
        <w:behaviors>
          <w:behavior w:val="content"/>
        </w:behaviors>
        <w:guid w:val="{97522437-847B-44F9-A72E-F82F89D06CEE}"/>
      </w:docPartPr>
      <w:docPartBody>
        <w:p w:rsidR="00000000" w:rsidRDefault="00F312E4" w:rsidP="00F312E4">
          <w:pPr>
            <w:pStyle w:val="F246F5C783B74AE9B742F47BD0D36FC8"/>
          </w:pPr>
          <w:r>
            <w:rPr>
              <w:rFonts w:asciiTheme="majorHAnsi" w:eastAsiaTheme="majorEastAsia" w:hAnsiTheme="majorHAnsi" w:cstheme="majorBidi"/>
              <w:color w:val="5B9BD5" w:themeColor="accent1"/>
              <w:sz w:val="88"/>
              <w:szCs w:val="88"/>
            </w:rPr>
            <w:t>[Document title]</w:t>
          </w:r>
        </w:p>
      </w:docPartBody>
    </w:docPart>
    <w:docPart>
      <w:docPartPr>
        <w:name w:val="87273DDCA8E5433782CCF54C4509BB8D"/>
        <w:category>
          <w:name w:val="General"/>
          <w:gallery w:val="placeholder"/>
        </w:category>
        <w:types>
          <w:type w:val="bbPlcHdr"/>
        </w:types>
        <w:behaviors>
          <w:behavior w:val="content"/>
        </w:behaviors>
        <w:guid w:val="{B587181E-4FB0-4CDD-AF59-E77A89A3356B}"/>
      </w:docPartPr>
      <w:docPartBody>
        <w:p w:rsidR="00000000" w:rsidRDefault="00F312E4" w:rsidP="00F312E4">
          <w:pPr>
            <w:pStyle w:val="87273DDCA8E5433782CCF54C4509BB8D"/>
          </w:pPr>
          <w:r>
            <w:rPr>
              <w:color w:val="2E74B5" w:themeColor="accent1" w:themeShade="BF"/>
              <w:sz w:val="24"/>
              <w:szCs w:val="24"/>
            </w:rPr>
            <w:t>[Document subtitle]</w:t>
          </w:r>
        </w:p>
      </w:docPartBody>
    </w:docPart>
    <w:docPart>
      <w:docPartPr>
        <w:name w:val="E308F31509B147EDBC537EC3EE753556"/>
        <w:category>
          <w:name w:val="General"/>
          <w:gallery w:val="placeholder"/>
        </w:category>
        <w:types>
          <w:type w:val="bbPlcHdr"/>
        </w:types>
        <w:behaviors>
          <w:behavior w:val="content"/>
        </w:behaviors>
        <w:guid w:val="{809ED375-6ECC-49EA-B90E-CC4C61A58E4D}"/>
      </w:docPartPr>
      <w:docPartBody>
        <w:p w:rsidR="00000000" w:rsidRDefault="00F312E4" w:rsidP="00F312E4">
          <w:pPr>
            <w:pStyle w:val="E308F31509B147EDBC537EC3EE753556"/>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E4"/>
    <w:rsid w:val="00AE67CA"/>
    <w:rsid w:val="00F312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BD10CF08E847C38191259518F9C50D">
    <w:name w:val="25BD10CF08E847C38191259518F9C50D"/>
    <w:rsid w:val="00F312E4"/>
  </w:style>
  <w:style w:type="paragraph" w:customStyle="1" w:styleId="F246F5C783B74AE9B742F47BD0D36FC8">
    <w:name w:val="F246F5C783B74AE9B742F47BD0D36FC8"/>
    <w:rsid w:val="00F312E4"/>
  </w:style>
  <w:style w:type="paragraph" w:customStyle="1" w:styleId="87273DDCA8E5433782CCF54C4509BB8D">
    <w:name w:val="87273DDCA8E5433782CCF54C4509BB8D"/>
    <w:rsid w:val="00F312E4"/>
  </w:style>
  <w:style w:type="paragraph" w:customStyle="1" w:styleId="E308F31509B147EDBC537EC3EE753556">
    <w:name w:val="E308F31509B147EDBC537EC3EE753556"/>
    <w:rsid w:val="00F312E4"/>
  </w:style>
  <w:style w:type="paragraph" w:customStyle="1" w:styleId="9412A424D076446A8FF0E77530C7135A">
    <w:name w:val="9412A424D076446A8FF0E77530C7135A"/>
    <w:rsid w:val="00F312E4"/>
  </w:style>
  <w:style w:type="paragraph" w:customStyle="1" w:styleId="3189B5F1E36A4F97B38E90FB858BA166">
    <w:name w:val="3189B5F1E36A4F97B38E90FB858BA166"/>
    <w:rsid w:val="00F312E4"/>
  </w:style>
  <w:style w:type="paragraph" w:customStyle="1" w:styleId="D15BA30443ED4AA3B60E136596109559">
    <w:name w:val="D15BA30443ED4AA3B60E136596109559"/>
    <w:rsid w:val="00F312E4"/>
  </w:style>
  <w:style w:type="paragraph" w:customStyle="1" w:styleId="DCF39D62E08544F19203AB80C2CD4B43">
    <w:name w:val="DCF39D62E08544F19203AB80C2CD4B43"/>
    <w:rsid w:val="00F312E4"/>
  </w:style>
  <w:style w:type="paragraph" w:customStyle="1" w:styleId="782AA3B6E6C1465DA10F4C6A9974BBD0">
    <w:name w:val="782AA3B6E6C1465DA10F4C6A9974BBD0"/>
    <w:rsid w:val="00F312E4"/>
  </w:style>
  <w:style w:type="paragraph" w:customStyle="1" w:styleId="E6C59C4BA43D473B9B54CFC32F5CDC4B">
    <w:name w:val="E6C59C4BA43D473B9B54CFC32F5CDC4B"/>
    <w:rsid w:val="00F312E4"/>
  </w:style>
  <w:style w:type="paragraph" w:customStyle="1" w:styleId="DF61F0837C004CC4B9232335B294019B">
    <w:name w:val="DF61F0837C004CC4B9232335B294019B"/>
    <w:rsid w:val="00F312E4"/>
  </w:style>
  <w:style w:type="paragraph" w:customStyle="1" w:styleId="42B81C8BF18E40939085F67B7E337CC8">
    <w:name w:val="42B81C8BF18E40939085F67B7E337CC8"/>
    <w:rsid w:val="00F31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F7920-AA21-482E-9D9F-88E9CABDE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13</Pages>
  <Words>4837</Words>
  <Characters>26604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Soutenu le 16 janvier 2023</dc:subject>
  <dc:creator>Jury : Monsieur le président du jury</dc:creator>
  <cp:keywords/>
  <dc:description/>
  <cp:lastModifiedBy>achraf belahbib</cp:lastModifiedBy>
  <cp:revision>3</cp:revision>
  <dcterms:created xsi:type="dcterms:W3CDTF">2023-01-16T09:26:00Z</dcterms:created>
  <dcterms:modified xsi:type="dcterms:W3CDTF">2023-01-16T11:02:00Z</dcterms:modified>
</cp:coreProperties>
</file>