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articles-of-association-aoa"/>
      <w:r>
        <w:rPr/>
        <w:t>Articles of Association (AoA)</w:t>
      </w:r>
    </w:p>
    <w:p>
      <w:pPr>
        <w:pStyle w:val="Heading2"/>
        <w:rPr/>
      </w:pPr>
      <w:bookmarkStart w:id="1" w:name="articles-of-association"/>
      <w:r>
        <w:rPr/>
        <w:t>Articles of Association</w:t>
      </w:r>
    </w:p>
    <w:p>
      <w:pPr>
        <w:pStyle w:val="FirstParagraph"/>
        <w:rPr/>
      </w:pPr>
      <w:r>
        <w:rPr/>
        <w:t>of</w:t>
      </w:r>
    </w:p>
    <w:p>
      <w:pPr>
        <w:pStyle w:val="BodyText"/>
        <w:rPr/>
      </w:pPr>
      <w:r>
        <w:rPr>
          <w:rStyle w:val="VerbatimChar"/>
          <w:b/>
          <w:bCs/>
        </w:rPr>
        <w:t>PRONTO BD</w:t>
      </w:r>
      <w:r>
        <w:rPr>
          <w:b/>
          <w:bCs/>
        </w:rPr>
        <w:t xml:space="preserve"> LIMITED</w:t>
      </w:r>
    </w:p>
    <w:p>
      <w:pPr>
        <w:pStyle w:val="Normal"/>
        <w:rPr/>
      </w:pPr>
      <w:bookmarkStart w:id="2" w:name="articles-of-association-aoa"/>
      <w:bookmarkStart w:id="3" w:name="articles-of-associ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3"/>
    </w:p>
    <w:p>
      <w:pPr>
        <w:pStyle w:val="Heading1"/>
        <w:rPr/>
      </w:pPr>
      <w:bookmarkStart w:id="4" w:name="definitions"/>
      <w:r>
        <w:rPr/>
        <w:t>1. Definitions</w:t>
      </w:r>
    </w:p>
    <w:p>
      <w:pPr>
        <w:pStyle w:val="FirstParagraph"/>
        <w:rPr/>
      </w:pPr>
      <w:r>
        <w:rPr/>
        <w:t>Unless the context otherwise requires:</w:t>
      </w:r>
    </w:p>
    <w:p>
      <w:pPr>
        <w:pStyle w:val="Compact"/>
        <w:numPr>
          <w:ilvl w:val="0"/>
          <w:numId w:val="1"/>
        </w:numPr>
        <w:rPr/>
      </w:pPr>
      <w:r>
        <w:rPr/>
        <w:t>“</w:t>
      </w:r>
      <w:r>
        <w:rPr/>
        <w:t>Act” means the Companies Act, 1994 and any amendment thereto.</w:t>
      </w:r>
    </w:p>
    <w:p>
      <w:pPr>
        <w:pStyle w:val="Compact"/>
        <w:numPr>
          <w:ilvl w:val="0"/>
          <w:numId w:val="1"/>
        </w:numPr>
        <w:rPr/>
      </w:pPr>
      <w:r>
        <w:rPr/>
        <w:t>“</w:t>
      </w:r>
      <w:r>
        <w:rPr/>
        <w:t>Board” means the Board of Directors.</w:t>
      </w:r>
    </w:p>
    <w:p>
      <w:pPr>
        <w:pStyle w:val="Compact"/>
        <w:numPr>
          <w:ilvl w:val="0"/>
          <w:numId w:val="1"/>
        </w:numPr>
        <w:rPr/>
      </w:pPr>
      <w:r>
        <w:rPr/>
        <w:t>“</w:t>
      </w:r>
      <w:r>
        <w:rPr/>
        <w:t xml:space="preserve">Company” means </w:t>
      </w:r>
      <w:r>
        <w:rPr>
          <w:rStyle w:val="VerbatimChar"/>
        </w:rPr>
        <w:t>Pronto BD</w:t>
      </w:r>
      <w:r>
        <w:rPr/>
        <w:t xml:space="preserve"> Limited.</w:t>
      </w:r>
    </w:p>
    <w:p>
      <w:pPr>
        <w:pStyle w:val="Normal"/>
        <w:rPr/>
      </w:pPr>
      <w:bookmarkStart w:id="5" w:name="defini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1"/>
        <w:rPr/>
      </w:pPr>
      <w:bookmarkStart w:id="6" w:name="share-capital"/>
      <w:r>
        <w:rPr/>
        <w:t>2. Share Capital</w:t>
      </w:r>
    </w:p>
    <w:p>
      <w:pPr>
        <w:pStyle w:val="FirstParagraph"/>
        <w:rPr/>
      </w:pPr>
      <w:r>
        <w:rPr/>
        <w:t>The Company may issue, allot, transfer and manage shares in accordance with the Companies Act and these Articles.</w:t>
      </w:r>
    </w:p>
    <w:p>
      <w:pPr>
        <w:pStyle w:val="Normal"/>
        <w:rPr/>
      </w:pPr>
      <w:bookmarkStart w:id="7" w:name="share-capit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1"/>
        <w:rPr/>
      </w:pPr>
      <w:bookmarkStart w:id="8" w:name="transfer-of-shares"/>
      <w:r>
        <w:rPr/>
        <w:t>3. Transfer of Shares</w:t>
      </w:r>
    </w:p>
    <w:p>
      <w:pPr>
        <w:pStyle w:val="FirstParagraph"/>
        <w:rPr/>
      </w:pPr>
      <w:r>
        <w:rPr/>
        <w:t>Shares may be transferred with approval of the Board, subject to applicable law.</w:t>
      </w:r>
    </w:p>
    <w:p>
      <w:pPr>
        <w:pStyle w:val="BodyText"/>
        <w:rPr/>
      </w:pPr>
      <w:r>
        <w:rPr/>
        <w:t>Existing shareholders shall have a right of first refusal unless waived.</w:t>
      </w:r>
    </w:p>
    <w:p>
      <w:pPr>
        <w:pStyle w:val="Normal"/>
        <w:rPr/>
      </w:pPr>
      <w:bookmarkStart w:id="9" w:name="transfer-of-sha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1"/>
        <w:rPr/>
      </w:pPr>
      <w:bookmarkStart w:id="10" w:name="directors"/>
      <w:r>
        <w:rPr/>
        <w:t>4. Directors</w:t>
      </w:r>
    </w:p>
    <w:p>
      <w:pPr>
        <w:pStyle w:val="FirstParagraph"/>
        <w:rPr/>
      </w:pPr>
      <w:r>
        <w:rPr/>
        <w:t>Minimum Directors:</w:t>
      </w:r>
    </w:p>
    <w:p>
      <w:pPr>
        <w:pStyle w:val="SourceCode"/>
        <w:rPr/>
      </w:pPr>
      <w:r>
        <w:rPr>
          <w:rStyle w:val="VerbatimChar"/>
        </w:rPr>
        <w:t>2</w:t>
      </w:r>
    </w:p>
    <w:p>
      <w:pPr>
        <w:pStyle w:val="FirstParagraph"/>
        <w:rPr/>
      </w:pPr>
      <w:r>
        <w:rPr/>
        <w:t>Maximum Directors:</w:t>
      </w:r>
    </w:p>
    <w:p>
      <w:pPr>
        <w:pStyle w:val="SourceCode"/>
        <w:rPr/>
      </w:pPr>
      <w:r>
        <w:rPr>
          <w:rStyle w:val="VerbatimChar"/>
        </w:rPr>
        <w:t>50</w:t>
      </w:r>
    </w:p>
    <w:p>
      <w:pPr>
        <w:pStyle w:val="FirstParagraph"/>
        <w:rPr/>
      </w:pPr>
      <w:r>
        <w:rPr/>
        <w:t>The first directors shall be: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Md Sharif Mehedi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Mst Humayra Tabassum</w:t>
      </w:r>
    </w:p>
    <w:p>
      <w:pPr>
        <w:pStyle w:val="Normal"/>
        <w:rPr/>
      </w:pPr>
      <w:bookmarkStart w:id="11" w:name="directo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managing-director-ceo"/>
      <w:r>
        <w:rPr/>
        <w:t>5. Managing Director / CEO</w:t>
      </w:r>
    </w:p>
    <w:p>
      <w:pPr>
        <w:pStyle w:val="FirstParagraph"/>
        <w:rPr/>
      </w:pPr>
      <w:r>
        <w:rPr/>
        <w:t>The Board may appoint a Managing Director or Chief Executive Officer and determine his or her powers.</w:t>
      </w:r>
    </w:p>
    <w:p>
      <w:pPr>
        <w:pStyle w:val="Normal"/>
        <w:rPr/>
      </w:pPr>
      <w:bookmarkStart w:id="13" w:name="managing-director-ce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meetings"/>
      <w:r>
        <w:rPr/>
        <w:t>6. Meetings</w:t>
      </w:r>
    </w:p>
    <w:p>
      <w:pPr>
        <w:pStyle w:val="FirstParagraph"/>
        <w:rPr/>
      </w:pPr>
      <w:r>
        <w:rPr/>
        <w:t>Board meetings shall be held as required by law.</w:t>
      </w:r>
    </w:p>
    <w:p>
      <w:pPr>
        <w:pStyle w:val="BodyText"/>
        <w:rPr/>
      </w:pPr>
      <w:r>
        <w:rPr/>
        <w:t>Meetings may be conducted physically or by electronic communication where legally permissible.</w:t>
      </w:r>
    </w:p>
    <w:p>
      <w:pPr>
        <w:pStyle w:val="Normal"/>
        <w:rPr/>
      </w:pPr>
      <w:bookmarkStart w:id="15" w:name="meeting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company-seal"/>
      <w:r>
        <w:rPr/>
        <w:t>7. Company Seal</w:t>
      </w:r>
    </w:p>
    <w:p>
      <w:pPr>
        <w:pStyle w:val="FirstParagraph"/>
        <w:rPr/>
      </w:pPr>
      <w:r>
        <w:rPr/>
        <w:t>The Company may adopt a common seal.</w:t>
      </w:r>
    </w:p>
    <w:p>
      <w:pPr>
        <w:pStyle w:val="Normal"/>
        <w:rPr/>
      </w:pPr>
      <w:bookmarkStart w:id="17" w:name="company-se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1"/>
        <w:rPr/>
      </w:pPr>
      <w:bookmarkStart w:id="18" w:name="bank-accounts"/>
      <w:r>
        <w:rPr/>
        <w:t>8. Bank Accounts</w:t>
      </w:r>
    </w:p>
    <w:p>
      <w:pPr>
        <w:pStyle w:val="FirstParagraph"/>
        <w:rPr/>
      </w:pPr>
      <w:r>
        <w:rPr/>
        <w:t>The Company may maintain bank accounts in Bangladesh and abroad where permitted by law.</w:t>
      </w:r>
    </w:p>
    <w:p>
      <w:pPr>
        <w:pStyle w:val="Normal"/>
        <w:rPr/>
      </w:pPr>
      <w:bookmarkStart w:id="19" w:name="bank-accou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1"/>
        <w:rPr/>
      </w:pPr>
      <w:bookmarkStart w:id="20" w:name="contracts"/>
      <w:r>
        <w:rPr/>
        <w:t>9. Contracts</w:t>
      </w:r>
    </w:p>
    <w:p>
      <w:pPr>
        <w:pStyle w:val="FirstParagraph"/>
        <w:rPr/>
      </w:pPr>
      <w:r>
        <w:rPr/>
        <w:t>The Company may enter into contracts for:</w:t>
      </w:r>
    </w:p>
    <w:p>
      <w:pPr>
        <w:pStyle w:val="Compact"/>
        <w:numPr>
          <w:ilvl w:val="0"/>
          <w:numId w:val="8"/>
        </w:numPr>
        <w:rPr/>
      </w:pPr>
      <w:r>
        <w:rPr/>
        <w:t>software licensing</w:t>
      </w:r>
    </w:p>
    <w:p>
      <w:pPr>
        <w:pStyle w:val="Compact"/>
        <w:numPr>
          <w:ilvl w:val="0"/>
          <w:numId w:val="9"/>
        </w:numPr>
        <w:rPr/>
      </w:pPr>
      <w:r>
        <w:rPr/>
        <w:t>SaaS</w:t>
      </w:r>
    </w:p>
    <w:p>
      <w:pPr>
        <w:pStyle w:val="Compact"/>
        <w:numPr>
          <w:ilvl w:val="0"/>
          <w:numId w:val="10"/>
        </w:numPr>
        <w:rPr/>
      </w:pPr>
      <w:r>
        <w:rPr/>
        <w:t>API services</w:t>
      </w:r>
    </w:p>
    <w:p>
      <w:pPr>
        <w:pStyle w:val="Compact"/>
        <w:numPr>
          <w:ilvl w:val="0"/>
          <w:numId w:val="11"/>
        </w:numPr>
        <w:rPr/>
      </w:pPr>
      <w:r>
        <w:rPr/>
        <w:t>consulting</w:t>
      </w:r>
    </w:p>
    <w:p>
      <w:pPr>
        <w:pStyle w:val="Compact"/>
        <w:numPr>
          <w:ilvl w:val="0"/>
          <w:numId w:val="12"/>
        </w:numPr>
        <w:rPr/>
      </w:pPr>
      <w:r>
        <w:rPr/>
        <w:t>cloud hosting</w:t>
      </w:r>
    </w:p>
    <w:p>
      <w:pPr>
        <w:pStyle w:val="Compact"/>
        <w:numPr>
          <w:ilvl w:val="0"/>
          <w:numId w:val="13"/>
        </w:numPr>
        <w:rPr/>
      </w:pPr>
      <w:r>
        <w:rPr/>
        <w:t>maintenance</w:t>
      </w:r>
    </w:p>
    <w:p>
      <w:pPr>
        <w:pStyle w:val="Compact"/>
        <w:numPr>
          <w:ilvl w:val="0"/>
          <w:numId w:val="14"/>
        </w:numPr>
        <w:rPr/>
      </w:pPr>
      <w:r>
        <w:rPr/>
        <w:t>subscriptions</w:t>
      </w:r>
    </w:p>
    <w:p>
      <w:pPr>
        <w:pStyle w:val="Compact"/>
        <w:numPr>
          <w:ilvl w:val="0"/>
          <w:numId w:val="15"/>
        </w:numPr>
        <w:rPr/>
      </w:pPr>
      <w:r>
        <w:rPr/>
        <w:t>manufacturer integration</w:t>
      </w:r>
    </w:p>
    <w:p>
      <w:pPr>
        <w:pStyle w:val="Compact"/>
        <w:numPr>
          <w:ilvl w:val="0"/>
          <w:numId w:val="16"/>
        </w:numPr>
        <w:rPr/>
      </w:pPr>
      <w:r>
        <w:rPr/>
        <w:t>distributor integration</w:t>
      </w:r>
    </w:p>
    <w:p>
      <w:pPr>
        <w:pStyle w:val="Compact"/>
        <w:numPr>
          <w:ilvl w:val="0"/>
          <w:numId w:val="17"/>
        </w:numPr>
        <w:rPr/>
      </w:pPr>
      <w:r>
        <w:rPr/>
        <w:t>retail services</w:t>
      </w:r>
    </w:p>
    <w:p>
      <w:pPr>
        <w:pStyle w:val="Compact"/>
        <w:numPr>
          <w:ilvl w:val="0"/>
          <w:numId w:val="18"/>
        </w:numPr>
        <w:rPr/>
      </w:pPr>
      <w:r>
        <w:rPr/>
        <w:t>e-commerce</w:t>
      </w:r>
    </w:p>
    <w:p>
      <w:pPr>
        <w:pStyle w:val="Compact"/>
        <w:numPr>
          <w:ilvl w:val="0"/>
          <w:numId w:val="19"/>
        </w:numPr>
        <w:rPr/>
      </w:pPr>
      <w:r>
        <w:rPr/>
        <w:t>technology partnerships</w:t>
      </w:r>
    </w:p>
    <w:p>
      <w:pPr>
        <w:pStyle w:val="Normal"/>
        <w:rPr/>
      </w:pPr>
      <w:bookmarkStart w:id="21" w:name="contrac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1"/>
        <w:rPr/>
      </w:pPr>
      <w:bookmarkStart w:id="22" w:name="data-governance"/>
      <w:r>
        <w:rPr/>
        <w:t>10. Data Governance</w:t>
      </w:r>
    </w:p>
    <w:p>
      <w:pPr>
        <w:pStyle w:val="FirstParagraph"/>
        <w:rPr/>
      </w:pPr>
      <w:r>
        <w:rPr/>
        <w:t>The Company may collect, process, store and distribute commercial data obtained through lawful agreements.</w:t>
      </w:r>
    </w:p>
    <w:p>
      <w:pPr>
        <w:pStyle w:val="BodyText"/>
        <w:rPr/>
      </w:pPr>
      <w:r>
        <w:rPr/>
        <w:t>Ownership and licensing of data shall remain subject to applicable contracts with the respective data owners.</w:t>
      </w:r>
    </w:p>
    <w:p>
      <w:pPr>
        <w:pStyle w:val="Normal"/>
        <w:rPr/>
      </w:pPr>
      <w:bookmarkStart w:id="23" w:name="data-govern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1"/>
        <w:rPr/>
      </w:pPr>
      <w:bookmarkStart w:id="24" w:name="intellectual-property"/>
      <w:r>
        <w:rPr/>
        <w:t>11. Intellectual Property</w:t>
      </w:r>
    </w:p>
    <w:p>
      <w:pPr>
        <w:pStyle w:val="FirstParagraph"/>
        <w:rPr/>
      </w:pPr>
      <w:r>
        <w:rPr/>
        <w:t>Unless otherwise agreed by contract, all software, databases, documentation, trademarks, source code, APIs and related intellectual property developed by or for the Company shall belong to the Company.</w:t>
      </w:r>
    </w:p>
    <w:p>
      <w:pPr>
        <w:pStyle w:val="Normal"/>
        <w:rPr/>
      </w:pPr>
      <w:bookmarkStart w:id="25" w:name="intellectual-proper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1"/>
        <w:rPr/>
      </w:pPr>
      <w:bookmarkStart w:id="26" w:name="electronic-services"/>
      <w:r>
        <w:rPr/>
        <w:t>12. Electronic Services</w:t>
      </w:r>
    </w:p>
    <w:p>
      <w:pPr>
        <w:pStyle w:val="FirstParagraph"/>
        <w:rPr/>
      </w:pPr>
      <w:r>
        <w:rPr/>
        <w:t>The Company may provide services through:</w:t>
      </w:r>
    </w:p>
    <w:p>
      <w:pPr>
        <w:pStyle w:val="Compact"/>
        <w:numPr>
          <w:ilvl w:val="0"/>
          <w:numId w:val="20"/>
        </w:numPr>
        <w:rPr/>
      </w:pPr>
      <w:r>
        <w:rPr/>
        <w:t>websites</w:t>
      </w:r>
    </w:p>
    <w:p>
      <w:pPr>
        <w:pStyle w:val="Compact"/>
        <w:numPr>
          <w:ilvl w:val="0"/>
          <w:numId w:val="21"/>
        </w:numPr>
        <w:rPr/>
      </w:pPr>
      <w:r>
        <w:rPr/>
        <w:t>mobile applications</w:t>
      </w:r>
    </w:p>
    <w:p>
      <w:pPr>
        <w:pStyle w:val="Compact"/>
        <w:numPr>
          <w:ilvl w:val="0"/>
          <w:numId w:val="22"/>
        </w:numPr>
        <w:rPr/>
      </w:pPr>
      <w:r>
        <w:rPr/>
        <w:t>APIs</w:t>
      </w:r>
    </w:p>
    <w:p>
      <w:pPr>
        <w:pStyle w:val="Compact"/>
        <w:numPr>
          <w:ilvl w:val="0"/>
          <w:numId w:val="23"/>
        </w:numPr>
        <w:rPr/>
      </w:pPr>
      <w:r>
        <w:rPr/>
        <w:t>cloud platforms</w:t>
      </w:r>
    </w:p>
    <w:p>
      <w:pPr>
        <w:pStyle w:val="Compact"/>
        <w:numPr>
          <w:ilvl w:val="0"/>
          <w:numId w:val="24"/>
        </w:numPr>
        <w:rPr/>
      </w:pPr>
      <w:r>
        <w:rPr/>
        <w:t>desktop software</w:t>
      </w:r>
    </w:p>
    <w:p>
      <w:pPr>
        <w:pStyle w:val="Compact"/>
        <w:numPr>
          <w:ilvl w:val="0"/>
          <w:numId w:val="25"/>
        </w:numPr>
        <w:rPr/>
      </w:pPr>
      <w:r>
        <w:rPr/>
        <w:t>embedded devices</w:t>
      </w:r>
    </w:p>
    <w:p>
      <w:pPr>
        <w:pStyle w:val="Compact"/>
        <w:numPr>
          <w:ilvl w:val="0"/>
          <w:numId w:val="26"/>
        </w:numPr>
        <w:rPr/>
      </w:pPr>
      <w:r>
        <w:rPr/>
        <w:t>future digital communication technologies</w:t>
      </w:r>
    </w:p>
    <w:p>
      <w:pPr>
        <w:pStyle w:val="Normal"/>
        <w:rPr/>
      </w:pPr>
      <w:bookmarkStart w:id="27" w:name="electronic-servi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1"/>
        <w:rPr/>
      </w:pPr>
      <w:bookmarkStart w:id="28" w:name="dividends"/>
      <w:r>
        <w:rPr/>
        <w:t>13. Dividends</w:t>
      </w:r>
    </w:p>
    <w:p>
      <w:pPr>
        <w:pStyle w:val="FirstParagraph"/>
        <w:rPr/>
      </w:pPr>
      <w:r>
        <w:rPr/>
        <w:t>Dividends may be declared by the Company in accordance with the Companies Act.</w:t>
      </w:r>
    </w:p>
    <w:p>
      <w:pPr>
        <w:pStyle w:val="Normal"/>
        <w:rPr/>
      </w:pPr>
      <w:bookmarkStart w:id="29" w:name="divide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1"/>
        <w:rPr/>
      </w:pPr>
      <w:bookmarkStart w:id="30" w:name="accounts"/>
      <w:r>
        <w:rPr/>
        <w:t>14. Accounts</w:t>
      </w:r>
    </w:p>
    <w:p>
      <w:pPr>
        <w:pStyle w:val="FirstParagraph"/>
        <w:rPr/>
      </w:pPr>
      <w:r>
        <w:rPr/>
        <w:t>Proper books of accounts shall be maintained.</w:t>
      </w:r>
    </w:p>
    <w:p>
      <w:pPr>
        <w:pStyle w:val="BodyText"/>
        <w:rPr/>
      </w:pPr>
      <w:r>
        <w:rPr/>
        <w:t>The financial year shall end on:</w:t>
      </w:r>
    </w:p>
    <w:p>
      <w:pPr>
        <w:pStyle w:val="SourceCode"/>
        <w:rPr/>
      </w:pPr>
      <w:r>
        <w:rPr>
          <w:rStyle w:val="VerbatimChar"/>
        </w:rPr>
        <w:t>&lt;FINANCIAL_YEAR_END&gt;</w:t>
      </w:r>
    </w:p>
    <w:p>
      <w:pPr>
        <w:pStyle w:val="Normal"/>
        <w:rPr/>
      </w:pPr>
      <w:bookmarkStart w:id="31" w:name="accou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1"/>
        <w:rPr/>
      </w:pPr>
      <w:bookmarkStart w:id="32" w:name="audit"/>
      <w:r>
        <w:rPr/>
        <w:t>15. Audit</w:t>
      </w:r>
    </w:p>
    <w:p>
      <w:pPr>
        <w:pStyle w:val="FirstParagraph"/>
        <w:rPr/>
      </w:pPr>
      <w:r>
        <w:rPr/>
        <w:t>The Company’s accounts shall be audited in accordance with applicable laws.</w:t>
      </w:r>
    </w:p>
    <w:p>
      <w:pPr>
        <w:pStyle w:val="Normal"/>
        <w:rPr/>
      </w:pPr>
      <w:bookmarkStart w:id="33" w:name="audi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1"/>
        <w:rPr/>
      </w:pPr>
      <w:bookmarkStart w:id="34" w:name="notices"/>
      <w:r>
        <w:rPr/>
        <w:t>16. Notices</w:t>
      </w:r>
    </w:p>
    <w:p>
      <w:pPr>
        <w:pStyle w:val="FirstParagraph"/>
        <w:rPr/>
      </w:pPr>
      <w:r>
        <w:rPr/>
        <w:t>Notices may be served personally, by registered mail, courier, or electronically where permitted by law.</w:t>
      </w:r>
    </w:p>
    <w:p>
      <w:pPr>
        <w:pStyle w:val="Normal"/>
        <w:rPr/>
      </w:pPr>
      <w:bookmarkStart w:id="35" w:name="noti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1"/>
        <w:rPr/>
      </w:pPr>
      <w:bookmarkStart w:id="36" w:name="indemnity"/>
      <w:r>
        <w:rPr/>
        <w:t>17. Indemnity</w:t>
      </w:r>
    </w:p>
    <w:p>
      <w:pPr>
        <w:pStyle w:val="FirstParagraph"/>
        <w:rPr/>
      </w:pPr>
      <w:r>
        <w:rPr/>
        <w:t>Subject to law, every director and officer of the Company shall be indemnified against liabilities incurred in the lawful execution of their duties.</w:t>
      </w:r>
    </w:p>
    <w:p>
      <w:pPr>
        <w:pStyle w:val="Normal"/>
        <w:rPr/>
      </w:pPr>
      <w:bookmarkStart w:id="37" w:name="indemn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1"/>
        <w:rPr/>
      </w:pPr>
      <w:bookmarkStart w:id="38" w:name="winding-up"/>
      <w:r>
        <w:rPr/>
        <w:t>18. Winding Up</w:t>
      </w:r>
    </w:p>
    <w:p>
      <w:pPr>
        <w:pStyle w:val="FirstParagraph"/>
        <w:rPr/>
      </w:pPr>
      <w:r>
        <w:rPr/>
        <w:t>Upon winding up, the assets remaining after satisfaction of liabilities shall be distributed among the shareholders according to their shareholdings unless otherwise required by law.</w:t>
      </w:r>
    </w:p>
    <w:p>
      <w:pPr>
        <w:pStyle w:val="Normal"/>
        <w:rPr/>
      </w:pPr>
      <w:bookmarkStart w:id="39" w:name="winding-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1"/>
        <w:rPr/>
      </w:pPr>
      <w:bookmarkStart w:id="40" w:name="general"/>
      <w:r>
        <w:rPr/>
        <w:t>19. General</w:t>
      </w:r>
    </w:p>
    <w:p>
      <w:pPr>
        <w:pStyle w:val="FirstParagraph"/>
        <w:spacing w:before="180" w:after="180"/>
        <w:rPr/>
      </w:pPr>
      <w:bookmarkStart w:id="41" w:name="general"/>
      <w:r>
        <w:rPr/>
        <w:t>Matters not expressly provided for in these Articles shall be governed by the Companies Act, 1994 and other applicable laws of Bangladesh.</w:t>
      </w:r>
      <w:bookmarkEnd w:id="4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5</Pages>
  <Words>456</Words>
  <Characters>2552</Characters>
  <CharactersWithSpaces>2909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2026-06-27T15:57:52Z</dcterms:created>
  <dc:creator/>
  <dc:description/>
  <dc:language>en-US</dc:language>
  <cp:lastModifiedBy/>
  <dcterms:modified xsi:type="dcterms:W3CDTF">2026-06-27T22:26:06Z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